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4200D600" w:rsidR="00C723BC" w:rsidRPr="00183F4C" w:rsidRDefault="000B62C5" w:rsidP="007B543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>
              <w:rPr>
                <w:lang w:eastAsia="ko-KR"/>
              </w:rPr>
              <w:t>for WUR FDMA transmission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F2FAC0" w:rsidR="00C723BC" w:rsidRPr="00183F4C" w:rsidRDefault="00C723BC" w:rsidP="00AF65C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</w:t>
            </w:r>
            <w:r w:rsidR="00AF65CF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F65CF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CA696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7A83D8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F4535E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636E1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636E1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</w:t>
                            </w:r>
                            <w:r w:rsidR="008233FC">
                              <w:rPr>
                                <w:lang w:eastAsia="ko-KR"/>
                              </w:rPr>
                              <w:t xml:space="preserve">lated to the following figure 32-2 and 32-3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7A83D8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F4535E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636E1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636E1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</w:t>
                      </w:r>
                      <w:r w:rsidR="008233FC">
                        <w:rPr>
                          <w:lang w:eastAsia="ko-KR"/>
                        </w:rPr>
                        <w:t xml:space="preserve">lated to the following figure 32-2 and 32-3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9218455" w14:textId="70AA0E60" w:rsidR="00F833CD" w:rsidRDefault="009B783D" w:rsidP="00F833CD">
      <w:pPr>
        <w:pStyle w:val="Default"/>
        <w:rPr>
          <w:sz w:val="20"/>
        </w:rPr>
      </w:pPr>
      <w:r w:rsidRPr="00B26233">
        <w:rPr>
          <w:sz w:val="20"/>
        </w:rPr>
        <w:t>Discussion:</w:t>
      </w:r>
      <w:r w:rsidR="00F833CD" w:rsidRPr="00B26233">
        <w:rPr>
          <w:rFonts w:hint="eastAsia"/>
          <w:sz w:val="20"/>
        </w:rPr>
        <w:t xml:space="preserve"> </w:t>
      </w:r>
    </w:p>
    <w:p w14:paraId="54AB09D8" w14:textId="1661154A" w:rsidR="00F833CD" w:rsidRDefault="00F833CD" w:rsidP="00F833CD">
      <w:pPr>
        <w:jc w:val="both"/>
        <w:rPr>
          <w:lang w:eastAsia="ko-KR"/>
        </w:rPr>
      </w:pPr>
      <w:r>
        <w:rPr>
          <w:lang w:eastAsia="ko-KR"/>
        </w:rPr>
        <w:t xml:space="preserve">We </w:t>
      </w:r>
      <w:r w:rsidR="0052670C">
        <w:rPr>
          <w:lang w:eastAsia="ko-KR"/>
        </w:rPr>
        <w:t xml:space="preserve">have </w:t>
      </w:r>
      <w:r>
        <w:rPr>
          <w:lang w:eastAsia="ko-KR"/>
        </w:rPr>
        <w:t xml:space="preserve">agreed the following concepts </w:t>
      </w:r>
      <w:r w:rsidR="0052670C">
        <w:rPr>
          <w:lang w:eastAsia="ko-KR"/>
        </w:rPr>
        <w:t>on</w:t>
      </w:r>
      <w:r>
        <w:rPr>
          <w:lang w:eastAsia="ko-KR"/>
        </w:rPr>
        <w:t xml:space="preserve"> the WUR FDMA transmission. </w:t>
      </w:r>
    </w:p>
    <w:p w14:paraId="139B577C" w14:textId="1079370D" w:rsidR="00F833CD" w:rsidRDefault="00F833CD" w:rsidP="00F833CD">
      <w:pPr>
        <w:jc w:val="both"/>
        <w:rPr>
          <w:lang w:eastAsia="ko-KR"/>
        </w:rPr>
      </w:pPr>
      <w:r>
        <w:rPr>
          <w:lang w:eastAsia="ko-KR"/>
        </w:rPr>
        <w:t xml:space="preserve">First, </w:t>
      </w:r>
      <w:r w:rsidR="0052670C">
        <w:rPr>
          <w:lang w:eastAsia="ko-KR"/>
        </w:rPr>
        <w:t>the</w:t>
      </w:r>
      <w:r>
        <w:rPr>
          <w:lang w:eastAsia="ko-KR"/>
        </w:rPr>
        <w:t xml:space="preserve"> </w:t>
      </w:r>
      <w:r w:rsidR="0052670C">
        <w:rPr>
          <w:lang w:eastAsia="ko-KR"/>
        </w:rPr>
        <w:t xml:space="preserve">applied </w:t>
      </w:r>
      <w:r>
        <w:rPr>
          <w:lang w:eastAsia="ko-KR"/>
        </w:rPr>
        <w:t xml:space="preserve">WUR data rate can be different for each 20MHz channel on the WUR FDMA transmission. </w:t>
      </w:r>
    </w:p>
    <w:p w14:paraId="17722251" w14:textId="3F5C00AA" w:rsidR="00F833CD" w:rsidRDefault="00F833CD" w:rsidP="00F833CD">
      <w:pPr>
        <w:jc w:val="both"/>
        <w:rPr>
          <w:lang w:eastAsia="ko-KR"/>
        </w:rPr>
      </w:pPr>
      <w:r>
        <w:rPr>
          <w:lang w:eastAsia="ko-KR"/>
        </w:rPr>
        <w:t xml:space="preserve">Second, the duration of WUR FDMA transmission for each 20MHz channel is equal. </w:t>
      </w:r>
    </w:p>
    <w:p w14:paraId="71141CD3" w14:textId="5AE6572B" w:rsidR="00F833CD" w:rsidRDefault="009B783D" w:rsidP="00A02557">
      <w:pPr>
        <w:pStyle w:val="SP9221374"/>
        <w:rPr>
          <w:rFonts w:ascii="Times New Roman" w:hAnsi="Times New Roman" w:cs="Times New Roman"/>
          <w:sz w:val="22"/>
          <w:szCs w:val="20"/>
          <w:lang w:val="en-GB"/>
        </w:rPr>
      </w:pPr>
      <w:r w:rsidRPr="009B783D">
        <w:rPr>
          <w:rFonts w:ascii="Times New Roman" w:hAnsi="Times New Roman" w:cs="Times New Roman"/>
          <w:sz w:val="22"/>
          <w:szCs w:val="20"/>
          <w:lang w:val="en-GB"/>
        </w:rPr>
        <w:t>But, the figure 32-2 and figure 32-3 did not apply the agreed concepts exactly so it can cause the misunderstanding. Therefore, for clarity, we need to modify these figures as following</w:t>
      </w:r>
    </w:p>
    <w:p w14:paraId="3C3DB760" w14:textId="77777777" w:rsidR="009B783D" w:rsidRDefault="009B783D" w:rsidP="009B783D">
      <w:pPr>
        <w:pStyle w:val="Default"/>
        <w:rPr>
          <w:highlight w:val="yellow"/>
          <w:lang w:val="en-GB"/>
        </w:rPr>
      </w:pPr>
    </w:p>
    <w:p w14:paraId="26B0A6C9" w14:textId="77777777" w:rsidR="009B783D" w:rsidRDefault="009B783D" w:rsidP="009B783D">
      <w:pPr>
        <w:pStyle w:val="Default"/>
        <w:rPr>
          <w:highlight w:val="yellow"/>
          <w:lang w:val="en-GB"/>
        </w:rPr>
      </w:pPr>
    </w:p>
    <w:p w14:paraId="61FB21D8" w14:textId="77777777" w:rsidR="009B783D" w:rsidRPr="009B783D" w:rsidRDefault="009B783D" w:rsidP="009B783D">
      <w:pPr>
        <w:pStyle w:val="Default"/>
        <w:rPr>
          <w:highlight w:val="yellow"/>
          <w:lang w:val="en-GB"/>
        </w:rPr>
      </w:pPr>
    </w:p>
    <w:p w14:paraId="486A8E96" w14:textId="1CAC6AD7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8233FC">
        <w:rPr>
          <w:rFonts w:eastAsia="Times New Roman"/>
          <w:b/>
          <w:i/>
          <w:color w:val="000000"/>
          <w:sz w:val="20"/>
        </w:rPr>
        <w:t>modify</w:t>
      </w:r>
      <w:r w:rsidR="000B62C5">
        <w:rPr>
          <w:rFonts w:eastAsia="Times New Roman"/>
          <w:b/>
          <w:i/>
          <w:color w:val="000000"/>
          <w:sz w:val="20"/>
        </w:rPr>
        <w:t xml:space="preserve"> the </w:t>
      </w:r>
      <w:r w:rsidR="008233FC">
        <w:rPr>
          <w:rFonts w:eastAsia="Times New Roman"/>
          <w:b/>
          <w:i/>
          <w:color w:val="000000"/>
          <w:sz w:val="20"/>
        </w:rPr>
        <w:t xml:space="preserve">figure 32-2 and figure 32-3 on </w:t>
      </w:r>
      <w:proofErr w:type="spellStart"/>
      <w:r>
        <w:rPr>
          <w:rFonts w:eastAsia="Times New Roman"/>
          <w:b/>
          <w:i/>
          <w:color w:val="000000"/>
          <w:sz w:val="20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</w:t>
      </w:r>
      <w:r w:rsidR="003C27EF">
        <w:rPr>
          <w:rStyle w:val="SC9204816"/>
        </w:rPr>
        <w:t>32.</w:t>
      </w:r>
      <w:r w:rsidR="00F4535E">
        <w:rPr>
          <w:rStyle w:val="SC9204816"/>
        </w:rPr>
        <w:t>2</w:t>
      </w:r>
      <w:r w:rsidR="003C27EF">
        <w:rPr>
          <w:rStyle w:val="SC9204816"/>
        </w:rPr>
        <w:t>.</w:t>
      </w:r>
      <w:r w:rsidR="000B62C5">
        <w:rPr>
          <w:rStyle w:val="SC9204816"/>
        </w:rPr>
        <w:t>2</w:t>
      </w:r>
      <w:r w:rsidR="00A02557">
        <w:rPr>
          <w:rStyle w:val="SC9204816"/>
        </w:rPr>
        <w:t xml:space="preserve"> </w:t>
      </w:r>
      <w:r w:rsidR="000B62C5">
        <w:rPr>
          <w:rStyle w:val="SC9204816"/>
        </w:rPr>
        <w:t>WUR PPDU format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12A2F9D9" w14:textId="7F0CDF73" w:rsidR="00A02557" w:rsidRPr="00D308DA" w:rsidRDefault="000B62C5" w:rsidP="00CE5F68">
      <w:pPr>
        <w:pStyle w:val="T"/>
        <w:rPr>
          <w:rFonts w:eastAsiaTheme="minorEastAsia"/>
          <w:b/>
          <w:w w:val="100"/>
          <w:lang w:eastAsia="ko-KR"/>
        </w:rPr>
      </w:pPr>
      <w:r w:rsidRPr="00D308DA">
        <w:rPr>
          <w:rFonts w:eastAsiaTheme="minorEastAsia"/>
          <w:b/>
          <w:w w:val="100"/>
          <w:lang w:eastAsia="ko-KR"/>
        </w:rPr>
        <w:t>…..</w:t>
      </w:r>
    </w:p>
    <w:p w14:paraId="17EEE83C" w14:textId="269CE85F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  <w:r w:rsidRPr="008233FC">
        <w:rPr>
          <w:rFonts w:eastAsia="맑은 고딕"/>
          <w:w w:val="100"/>
          <w:lang w:val="en-GB" w:eastAsia="en-US"/>
        </w:rPr>
        <w:t>The FDMA WUR PPDUs for 40 MHz and 80 MHz channel bandwidth are defined in Figure 32-2 (WUR FDMA PPDU for 40 MHz channel widths) and Figure 32-3 (WUR FDMA PPDU for 80 MHz channel widths), respectively.</w:t>
      </w:r>
      <w:r w:rsidR="005A4BC5">
        <w:rPr>
          <w:rFonts w:eastAsia="맑은 고딕"/>
          <w:w w:val="100"/>
          <w:lang w:val="en-GB" w:eastAsia="en-US"/>
        </w:rPr>
        <w:t xml:space="preserve"> </w:t>
      </w:r>
      <w:r w:rsidR="005A4BC5" w:rsidRPr="005A4BC5">
        <w:rPr>
          <w:rFonts w:eastAsia="맑은 고딕"/>
          <w:color w:val="0070C0"/>
          <w:w w:val="100"/>
          <w:u w:val="single"/>
          <w:lang w:val="en-GB" w:eastAsia="en-US"/>
        </w:rPr>
        <w:t xml:space="preserve">In that formats, the different WUR-Sync </w:t>
      </w:r>
      <w:r w:rsidR="003A2EAA">
        <w:rPr>
          <w:rFonts w:eastAsia="맑은 고딕"/>
          <w:color w:val="0070C0"/>
          <w:w w:val="100"/>
          <w:u w:val="single"/>
          <w:lang w:val="en-GB" w:eastAsia="en-US"/>
        </w:rPr>
        <w:t xml:space="preserve">according to </w:t>
      </w:r>
      <w:r w:rsidR="003A2EAA" w:rsidRPr="003A2EAA">
        <w:rPr>
          <w:rFonts w:eastAsia="맑은 고딕"/>
          <w:color w:val="0070C0"/>
          <w:w w:val="100"/>
          <w:u w:val="single"/>
          <w:lang w:val="en-GB" w:eastAsia="en-US"/>
        </w:rPr>
        <w:t>the rate of the WUR-Data field</w:t>
      </w:r>
      <w:r w:rsidR="003A2EAA">
        <w:rPr>
          <w:rFonts w:eastAsia="맑은 고딕"/>
          <w:color w:val="0070C0"/>
          <w:w w:val="100"/>
          <w:u w:val="single"/>
          <w:lang w:val="en-GB" w:eastAsia="en-US"/>
        </w:rPr>
        <w:t xml:space="preserve"> </w:t>
      </w:r>
      <w:r w:rsidR="005A4BC5" w:rsidRPr="005A4BC5">
        <w:rPr>
          <w:rFonts w:eastAsia="맑은 고딕"/>
          <w:color w:val="0070C0"/>
          <w:w w:val="100"/>
          <w:u w:val="single"/>
          <w:lang w:val="en-GB" w:eastAsia="en-US"/>
        </w:rPr>
        <w:t>can be applied to each 20MHz channel.</w:t>
      </w:r>
    </w:p>
    <w:p w14:paraId="7081E86C" w14:textId="77777777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</w:p>
    <w:p w14:paraId="42BE7770" w14:textId="65D27BF8" w:rsidR="008233FC" w:rsidRDefault="002D007A" w:rsidP="00D70301">
      <w:pPr>
        <w:pStyle w:val="T"/>
        <w:rPr>
          <w:rFonts w:eastAsia="맑은 고딕"/>
          <w:w w:val="100"/>
          <w:lang w:val="en-GB" w:eastAsia="en-US"/>
        </w:rPr>
      </w:pPr>
      <w:r w:rsidRPr="003B1E90">
        <w:rPr>
          <w:rFonts w:eastAsia="맑은 고딕"/>
          <w:strike/>
          <w:color w:val="FF0000"/>
          <w:w w:val="100"/>
          <w:lang w:val="en-GB" w:eastAsia="en-US"/>
        </w:rPr>
        <w:object w:dxaOrig="11221" w:dyaOrig="2851" w14:anchorId="6264D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8.85pt" o:ole="">
            <v:imagedata r:id="rId9" o:title=""/>
          </v:shape>
          <o:OLEObject Type="Embed" ProgID="Visio.Drawing.15" ShapeID="_x0000_i1025" DrawAspect="Content" ObjectID="_1598242122" r:id="rId10"/>
        </w:object>
      </w:r>
    </w:p>
    <w:p w14:paraId="1FF8D570" w14:textId="77777777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</w:p>
    <w:p w14:paraId="10CB7AAE" w14:textId="7414B1C4" w:rsidR="008233FC" w:rsidRDefault="001851DE" w:rsidP="00D70301">
      <w:pPr>
        <w:pStyle w:val="T"/>
        <w:rPr>
          <w:rFonts w:eastAsia="맑은 고딕"/>
          <w:w w:val="100"/>
          <w:lang w:val="en-GB" w:eastAsia="ko-KR"/>
        </w:rPr>
      </w:pPr>
      <w:r w:rsidRPr="00751E90">
        <w:rPr>
          <w:color w:val="0070C0"/>
          <w:u w:val="single"/>
        </w:rPr>
        <w:object w:dxaOrig="11220" w:dyaOrig="2805" w14:anchorId="43FB5805">
          <v:shape id="_x0000_i1026" type="#_x0000_t75" style="width:468pt;height:116.5pt" o:ole="">
            <v:imagedata r:id="rId11" o:title=""/>
          </v:shape>
          <o:OLEObject Type="Embed" ProgID="Visio.Drawing.15" ShapeID="_x0000_i1026" DrawAspect="Content" ObjectID="_1598242123" r:id="rId12"/>
        </w:object>
      </w:r>
    </w:p>
    <w:p w14:paraId="692E3156" w14:textId="77777777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</w:p>
    <w:p w14:paraId="5E33B511" w14:textId="77777777" w:rsidR="003B1E90" w:rsidRDefault="003B1E90" w:rsidP="00D70301">
      <w:pPr>
        <w:pStyle w:val="T"/>
        <w:rPr>
          <w:rFonts w:eastAsia="맑은 고딕"/>
          <w:w w:val="100"/>
          <w:lang w:val="en-GB" w:eastAsia="en-US"/>
        </w:rPr>
      </w:pPr>
    </w:p>
    <w:p w14:paraId="00B63242" w14:textId="77777777" w:rsidR="003B1E90" w:rsidRDefault="003B1E90" w:rsidP="00D70301">
      <w:pPr>
        <w:pStyle w:val="T"/>
        <w:rPr>
          <w:rFonts w:eastAsia="맑은 고딕"/>
          <w:w w:val="100"/>
          <w:lang w:val="en-GB" w:eastAsia="en-US"/>
        </w:rPr>
      </w:pPr>
    </w:p>
    <w:p w14:paraId="68B2C2B9" w14:textId="0E3F246B" w:rsidR="003B1E90" w:rsidRPr="003B1E90" w:rsidRDefault="003B1E90" w:rsidP="00D70301">
      <w:pPr>
        <w:pStyle w:val="T"/>
        <w:rPr>
          <w:strike/>
        </w:rPr>
      </w:pPr>
      <w:r w:rsidRPr="003B1E90">
        <w:rPr>
          <w:strike/>
          <w:color w:val="FF0000"/>
        </w:rPr>
        <w:object w:dxaOrig="11265" w:dyaOrig="4755" w14:anchorId="04D5CDC1">
          <v:shape id="_x0000_i1027" type="#_x0000_t75" style="width:467.6pt;height:197.05pt" o:ole="">
            <v:imagedata r:id="rId13" o:title=""/>
          </v:shape>
          <o:OLEObject Type="Embed" ProgID="Visio.Drawing.15" ShapeID="_x0000_i1027" DrawAspect="Content" ObjectID="_1598242124" r:id="rId14"/>
        </w:object>
      </w:r>
    </w:p>
    <w:p w14:paraId="284005A1" w14:textId="77777777" w:rsidR="003B1E90" w:rsidRDefault="003B1E90" w:rsidP="00D70301">
      <w:pPr>
        <w:pStyle w:val="T"/>
      </w:pPr>
    </w:p>
    <w:bookmarkStart w:id="0" w:name="_MON_1598164811"/>
    <w:bookmarkEnd w:id="0"/>
    <w:p w14:paraId="3B24BB71" w14:textId="7D19CB2A" w:rsidR="003B1E90" w:rsidRDefault="001851DE" w:rsidP="00D70301">
      <w:pPr>
        <w:pStyle w:val="T"/>
      </w:pPr>
      <w:r w:rsidRPr="00751E90">
        <w:rPr>
          <w:color w:val="0070C0"/>
          <w:u w:val="single"/>
        </w:rPr>
        <w:object w:dxaOrig="11265" w:dyaOrig="4755" w14:anchorId="565ABE01">
          <v:shape id="_x0000_i1028" type="#_x0000_t75" style="width:467.6pt;height:197.05pt" o:ole="">
            <v:imagedata r:id="rId15" o:title=""/>
          </v:shape>
          <o:OLEObject Type="Embed" ProgID="Visio.Drawing.15" ShapeID="_x0000_i1028" DrawAspect="Content" ObjectID="_1598242125" r:id="rId16"/>
        </w:object>
      </w:r>
    </w:p>
    <w:p w14:paraId="26F89D81" w14:textId="77777777" w:rsidR="001851DE" w:rsidRDefault="001851DE" w:rsidP="00D70301">
      <w:pPr>
        <w:pStyle w:val="T"/>
        <w:rPr>
          <w:rFonts w:eastAsia="맑은 고딕"/>
          <w:w w:val="100"/>
          <w:lang w:val="en-GB" w:eastAsia="ko-KR"/>
        </w:rPr>
      </w:pPr>
    </w:p>
    <w:p w14:paraId="2ABF3322" w14:textId="4BF2E35E" w:rsidR="001851DE" w:rsidRDefault="007F5F8B" w:rsidP="00D70301">
      <w:pPr>
        <w:pStyle w:val="T"/>
        <w:rPr>
          <w:rFonts w:eastAsia="맑은 고딕"/>
          <w:w w:val="100"/>
          <w:lang w:val="en-GB" w:eastAsia="ko-KR"/>
        </w:rPr>
      </w:pPr>
      <w:r>
        <w:rPr>
          <w:rFonts w:eastAsia="맑은 고딕" w:hint="eastAsia"/>
          <w:w w:val="100"/>
          <w:lang w:val="en-GB" w:eastAsia="ko-KR"/>
        </w:rPr>
        <w:t>S</w:t>
      </w:r>
      <w:r>
        <w:rPr>
          <w:rFonts w:eastAsia="맑은 고딕"/>
          <w:w w:val="100"/>
          <w:lang w:val="en-GB" w:eastAsia="ko-KR"/>
        </w:rPr>
        <w:t xml:space="preserve">traw poll </w:t>
      </w:r>
      <w:r w:rsidR="00A30EF6">
        <w:rPr>
          <w:rFonts w:eastAsia="맑은 고딕"/>
          <w:w w:val="100"/>
          <w:lang w:val="en-GB" w:eastAsia="ko-KR"/>
        </w:rPr>
        <w:t>1</w:t>
      </w:r>
    </w:p>
    <w:p w14:paraId="3761C010" w14:textId="1A2565F9" w:rsidR="00A30EF6" w:rsidRDefault="00A30EF6" w:rsidP="00A30EF6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>you support to incorporate the proposed changes in document 18/1</w:t>
      </w:r>
      <w:r>
        <w:rPr>
          <w:rFonts w:eastAsiaTheme="minorEastAsia"/>
          <w:w w:val="100"/>
          <w:lang w:eastAsia="ko-KR"/>
        </w:rPr>
        <w:t>477r1</w:t>
      </w:r>
      <w:r>
        <w:rPr>
          <w:rFonts w:eastAsiaTheme="minorEastAsia"/>
          <w:w w:val="100"/>
          <w:lang w:eastAsia="ko-KR"/>
        </w:rPr>
        <w:t xml:space="preserve"> to the </w:t>
      </w:r>
      <w:r w:rsidRPr="001851DE">
        <w:rPr>
          <w:rFonts w:eastAsia="맑은 고딕"/>
          <w:w w:val="100"/>
          <w:lang w:val="en-GB" w:eastAsia="ko-KR"/>
        </w:rPr>
        <w:t>next IEEE 802.11ba Draft</w:t>
      </w:r>
      <w:r>
        <w:rPr>
          <w:lang w:eastAsia="ko-KR"/>
        </w:rPr>
        <w:t xml:space="preserve">? </w:t>
      </w:r>
    </w:p>
    <w:p w14:paraId="3C11F4B6" w14:textId="77777777" w:rsidR="00A30EF6" w:rsidRDefault="00A30EF6" w:rsidP="00A30EF6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Y:</w:t>
      </w:r>
    </w:p>
    <w:p w14:paraId="5A353776" w14:textId="0908E4A5" w:rsidR="007F5F8B" w:rsidRDefault="00A30EF6" w:rsidP="00D70301">
      <w:pPr>
        <w:pStyle w:val="T"/>
        <w:rPr>
          <w:rFonts w:eastAsia="맑은 고딕" w:hint="eastAsia"/>
          <w:w w:val="100"/>
          <w:lang w:val="en-GB" w:eastAsia="ko-KR"/>
        </w:rPr>
      </w:pPr>
      <w:r>
        <w:rPr>
          <w:rFonts w:eastAsia="맑은 고딕" w:hint="eastAsia"/>
          <w:w w:val="100"/>
          <w:lang w:val="en-GB" w:eastAsia="ko-KR"/>
        </w:rPr>
        <w:t>N:</w:t>
      </w:r>
    </w:p>
    <w:p w14:paraId="6CCCD4B4" w14:textId="35384D1B" w:rsidR="00A30EF6" w:rsidRDefault="00A30EF6" w:rsidP="00D70301">
      <w:pPr>
        <w:pStyle w:val="T"/>
        <w:rPr>
          <w:rFonts w:eastAsia="맑은 고딕"/>
          <w:w w:val="100"/>
          <w:lang w:val="en-GB" w:eastAsia="ko-KR"/>
        </w:rPr>
      </w:pPr>
      <w:r>
        <w:rPr>
          <w:rFonts w:eastAsia="맑은 고딕"/>
          <w:w w:val="100"/>
          <w:lang w:val="en-GB" w:eastAsia="ko-KR"/>
        </w:rPr>
        <w:t>A:</w:t>
      </w:r>
    </w:p>
    <w:p w14:paraId="280877EE" w14:textId="77777777" w:rsidR="007F5F8B" w:rsidRDefault="007F5F8B" w:rsidP="00D70301">
      <w:pPr>
        <w:pStyle w:val="T"/>
        <w:rPr>
          <w:rFonts w:eastAsia="맑은 고딕"/>
          <w:w w:val="100"/>
          <w:lang w:val="en-GB" w:eastAsia="ko-KR"/>
        </w:rPr>
      </w:pPr>
    </w:p>
    <w:p w14:paraId="67EDB3FC" w14:textId="77777777" w:rsidR="007F5F8B" w:rsidRDefault="007F5F8B" w:rsidP="00D70301">
      <w:pPr>
        <w:pStyle w:val="T"/>
        <w:rPr>
          <w:rFonts w:eastAsia="맑은 고딕"/>
          <w:w w:val="100"/>
          <w:lang w:val="en-GB" w:eastAsia="ko-KR"/>
        </w:rPr>
      </w:pPr>
    </w:p>
    <w:p w14:paraId="251EB22D" w14:textId="77777777" w:rsidR="007F5F8B" w:rsidRDefault="007F5F8B" w:rsidP="00D70301">
      <w:pPr>
        <w:pStyle w:val="T"/>
        <w:rPr>
          <w:rFonts w:eastAsia="맑은 고딕"/>
          <w:w w:val="100"/>
          <w:lang w:val="en-GB" w:eastAsia="ko-KR"/>
        </w:rPr>
      </w:pPr>
    </w:p>
    <w:p w14:paraId="25A623D8" w14:textId="77777777" w:rsidR="007F5F8B" w:rsidRDefault="007F5F8B" w:rsidP="00D70301">
      <w:pPr>
        <w:pStyle w:val="T"/>
        <w:rPr>
          <w:rFonts w:eastAsia="맑은 고딕"/>
          <w:w w:val="100"/>
          <w:lang w:val="en-GB" w:eastAsia="ko-KR"/>
        </w:rPr>
      </w:pPr>
    </w:p>
    <w:p w14:paraId="04196DF5" w14:textId="40096FD4" w:rsidR="001851DE" w:rsidRDefault="001851DE" w:rsidP="00D70301">
      <w:pPr>
        <w:pStyle w:val="T"/>
        <w:rPr>
          <w:rFonts w:eastAsia="맑은 고딕"/>
          <w:w w:val="100"/>
          <w:lang w:val="en-GB" w:eastAsia="ko-KR"/>
        </w:rPr>
      </w:pPr>
      <w:r>
        <w:rPr>
          <w:rFonts w:eastAsia="맑은 고딕"/>
          <w:w w:val="100"/>
          <w:lang w:val="en-GB" w:eastAsia="ko-KR"/>
        </w:rPr>
        <w:t xml:space="preserve">Motion </w:t>
      </w:r>
      <w:r w:rsidR="00A30EF6">
        <w:rPr>
          <w:rFonts w:eastAsia="맑은 고딕"/>
          <w:w w:val="100"/>
          <w:lang w:val="en-GB" w:eastAsia="ko-KR"/>
        </w:rPr>
        <w:t>1</w:t>
      </w:r>
      <w:bookmarkStart w:id="1" w:name="_GoBack"/>
      <w:bookmarkEnd w:id="1"/>
    </w:p>
    <w:p w14:paraId="6189B663" w14:textId="5B95E137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  <w:r w:rsidRPr="001851DE">
        <w:rPr>
          <w:rFonts w:eastAsia="맑은 고딕"/>
          <w:w w:val="100"/>
          <w:lang w:val="en-GB" w:eastAsia="ko-KR"/>
        </w:rPr>
        <w:t>Move to adopt the spec. text changes in Doc. IEEE 802.11-18/1</w:t>
      </w:r>
      <w:r>
        <w:rPr>
          <w:rFonts w:eastAsia="맑은 고딕"/>
          <w:w w:val="100"/>
          <w:lang w:val="en-GB" w:eastAsia="ko-KR"/>
        </w:rPr>
        <w:t>4777r1</w:t>
      </w:r>
      <w:r w:rsidRPr="001851DE">
        <w:rPr>
          <w:rFonts w:eastAsia="맑은 고딕"/>
          <w:w w:val="100"/>
          <w:lang w:val="en-GB" w:eastAsia="ko-KR"/>
        </w:rPr>
        <w:t xml:space="preserve"> into the next IEEE 802.11ba Draft? </w:t>
      </w:r>
    </w:p>
    <w:p w14:paraId="7B26EEB2" w14:textId="77777777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</w:p>
    <w:p w14:paraId="1FA010BC" w14:textId="77777777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  <w:proofErr w:type="gramStart"/>
      <w:r w:rsidRPr="001851DE">
        <w:rPr>
          <w:rFonts w:eastAsia="맑은 고딕"/>
          <w:w w:val="100"/>
          <w:lang w:val="en-GB" w:eastAsia="ko-KR"/>
        </w:rPr>
        <w:t>Move :</w:t>
      </w:r>
      <w:proofErr w:type="gramEnd"/>
      <w:r w:rsidRPr="001851DE">
        <w:rPr>
          <w:rFonts w:eastAsia="맑은 고딕"/>
          <w:w w:val="100"/>
          <w:lang w:val="en-GB" w:eastAsia="ko-KR"/>
        </w:rPr>
        <w:t xml:space="preserve"> Dongguk Lim</w:t>
      </w:r>
    </w:p>
    <w:p w14:paraId="5AAECFB1" w14:textId="1FEDD053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  <w:proofErr w:type="gramStart"/>
      <w:r w:rsidRPr="001851DE">
        <w:rPr>
          <w:rFonts w:eastAsia="맑은 고딕"/>
          <w:w w:val="100"/>
          <w:lang w:val="en-GB" w:eastAsia="ko-KR"/>
        </w:rPr>
        <w:t>Second :</w:t>
      </w:r>
      <w:proofErr w:type="gramEnd"/>
      <w:r w:rsidRPr="001851DE">
        <w:rPr>
          <w:rFonts w:eastAsia="맑은 고딕"/>
          <w:w w:val="100"/>
          <w:lang w:val="en-GB" w:eastAsia="ko-KR"/>
        </w:rPr>
        <w:t xml:space="preserve"> </w:t>
      </w:r>
    </w:p>
    <w:p w14:paraId="7F629981" w14:textId="77777777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</w:p>
    <w:p w14:paraId="60C0A94C" w14:textId="015DD5B9" w:rsidR="00B61AE1" w:rsidRDefault="001851DE" w:rsidP="001851DE">
      <w:pPr>
        <w:pStyle w:val="T"/>
        <w:rPr>
          <w:rFonts w:eastAsia="맑은 고딕"/>
          <w:w w:val="100"/>
          <w:lang w:val="en-GB" w:eastAsia="ko-KR"/>
        </w:rPr>
      </w:pPr>
      <w:r w:rsidRPr="001851DE">
        <w:rPr>
          <w:rFonts w:eastAsia="맑은 고딕"/>
          <w:w w:val="100"/>
          <w:lang w:val="en-GB" w:eastAsia="ko-KR"/>
        </w:rPr>
        <w:t xml:space="preserve">Y/N/A </w:t>
      </w:r>
    </w:p>
    <w:sectPr w:rsidR="00B61AE1" w:rsidSect="00654B3B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6A85C" w14:textId="77777777" w:rsidR="00CA696C" w:rsidRDefault="00CA696C">
      <w:r>
        <w:separator/>
      </w:r>
    </w:p>
  </w:endnote>
  <w:endnote w:type="continuationSeparator" w:id="0">
    <w:p w14:paraId="01FA0963" w14:textId="77777777" w:rsidR="00CA696C" w:rsidRDefault="00CA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CA696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A30EF6">
      <w:rPr>
        <w:noProof/>
      </w:rPr>
      <w:t>4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76817" w14:textId="77777777" w:rsidR="00CA696C" w:rsidRDefault="00CA696C">
      <w:r>
        <w:separator/>
      </w:r>
    </w:p>
  </w:footnote>
  <w:footnote w:type="continuationSeparator" w:id="0">
    <w:p w14:paraId="0ECB1650" w14:textId="77777777" w:rsidR="00CA696C" w:rsidRDefault="00CA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43029739" w:rsidR="00C63D4E" w:rsidRDefault="003B555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CA696C">
      <w:fldChar w:fldCharType="begin"/>
    </w:r>
    <w:r w:rsidR="00CA696C">
      <w:instrText xml:space="preserve"> TITLE  \* MERGEFORMAT </w:instrText>
    </w:r>
    <w:r w:rsidR="00CA696C">
      <w:fldChar w:fldCharType="separate"/>
    </w:r>
    <w:r w:rsidR="00CA31CA">
      <w:t>doc.: IEEE 802.11-18/</w:t>
    </w:r>
    <w:r w:rsidR="007B5433">
      <w:rPr>
        <w:lang w:eastAsia="ko-KR"/>
      </w:rPr>
      <w:t>1477</w:t>
    </w:r>
    <w:r w:rsidR="00CA696C">
      <w:rPr>
        <w:lang w:eastAsia="ko-KR"/>
      </w:rPr>
      <w:fldChar w:fldCharType="end"/>
    </w:r>
    <w:r w:rsidR="00CA31CA">
      <w:rPr>
        <w:lang w:eastAsia="ko-KR"/>
      </w:rPr>
      <w:t>r</w:t>
    </w:r>
    <w:r w:rsidR="00FE15B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5CE0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184"/>
    <w:rsid w:val="00090640"/>
    <w:rsid w:val="000913C4"/>
    <w:rsid w:val="00092971"/>
    <w:rsid w:val="000929E2"/>
    <w:rsid w:val="00092AC6"/>
    <w:rsid w:val="00094DD7"/>
    <w:rsid w:val="00094FFA"/>
    <w:rsid w:val="00097873"/>
    <w:rsid w:val="000A29AE"/>
    <w:rsid w:val="000B1202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054"/>
    <w:rsid w:val="001776CE"/>
    <w:rsid w:val="001812B0"/>
    <w:rsid w:val="00181423"/>
    <w:rsid w:val="00181696"/>
    <w:rsid w:val="001828D8"/>
    <w:rsid w:val="00183F4C"/>
    <w:rsid w:val="0018466C"/>
    <w:rsid w:val="00184B1A"/>
    <w:rsid w:val="001851DE"/>
    <w:rsid w:val="00187129"/>
    <w:rsid w:val="0019164F"/>
    <w:rsid w:val="00192C6E"/>
    <w:rsid w:val="00193C39"/>
    <w:rsid w:val="00193C5D"/>
    <w:rsid w:val="001943F7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369E"/>
    <w:rsid w:val="001D4A93"/>
    <w:rsid w:val="001D56E6"/>
    <w:rsid w:val="001D7948"/>
    <w:rsid w:val="001E0946"/>
    <w:rsid w:val="001E26D0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07806"/>
    <w:rsid w:val="00210DDD"/>
    <w:rsid w:val="00213F4A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5399"/>
    <w:rsid w:val="002662A5"/>
    <w:rsid w:val="00272988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007A"/>
    <w:rsid w:val="002D1D40"/>
    <w:rsid w:val="002D36C5"/>
    <w:rsid w:val="002D518F"/>
    <w:rsid w:val="002D7ED5"/>
    <w:rsid w:val="002E1B18"/>
    <w:rsid w:val="002E5A6F"/>
    <w:rsid w:val="002E6FF6"/>
    <w:rsid w:val="002F25B2"/>
    <w:rsid w:val="002F2BC5"/>
    <w:rsid w:val="002F376B"/>
    <w:rsid w:val="002F5C8C"/>
    <w:rsid w:val="002F7199"/>
    <w:rsid w:val="002F7D11"/>
    <w:rsid w:val="003005BF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14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2EAA"/>
    <w:rsid w:val="003A3196"/>
    <w:rsid w:val="003A478D"/>
    <w:rsid w:val="003A5B1F"/>
    <w:rsid w:val="003A5BFF"/>
    <w:rsid w:val="003A6CBF"/>
    <w:rsid w:val="003B03CE"/>
    <w:rsid w:val="003B1E90"/>
    <w:rsid w:val="003B4DAD"/>
    <w:rsid w:val="003B52F2"/>
    <w:rsid w:val="003B5555"/>
    <w:rsid w:val="003B76BD"/>
    <w:rsid w:val="003C03E4"/>
    <w:rsid w:val="003C27EF"/>
    <w:rsid w:val="003C3B4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2CA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BE1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670C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BE1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A4BC5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3513"/>
    <w:rsid w:val="005F4AD8"/>
    <w:rsid w:val="005F5ADA"/>
    <w:rsid w:val="005F695C"/>
    <w:rsid w:val="005F7203"/>
    <w:rsid w:val="00600A10"/>
    <w:rsid w:val="00604112"/>
    <w:rsid w:val="00610A7B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36E1C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02C0D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1E90"/>
    <w:rsid w:val="00755DD7"/>
    <w:rsid w:val="007577D3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B5433"/>
    <w:rsid w:val="007C0795"/>
    <w:rsid w:val="007C14AD"/>
    <w:rsid w:val="007C1BC9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5F8B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3FC"/>
    <w:rsid w:val="008238BF"/>
    <w:rsid w:val="0082437A"/>
    <w:rsid w:val="008267F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DCD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621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B783D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0EF6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01D"/>
    <w:rsid w:val="00A66CBC"/>
    <w:rsid w:val="00A67E45"/>
    <w:rsid w:val="00A70990"/>
    <w:rsid w:val="00A70FF0"/>
    <w:rsid w:val="00A72738"/>
    <w:rsid w:val="00A73C55"/>
    <w:rsid w:val="00A80E2F"/>
    <w:rsid w:val="00A844CE"/>
    <w:rsid w:val="00A87886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AF65CF"/>
    <w:rsid w:val="00B0051A"/>
    <w:rsid w:val="00B00543"/>
    <w:rsid w:val="00B00FD8"/>
    <w:rsid w:val="00B02144"/>
    <w:rsid w:val="00B03DB7"/>
    <w:rsid w:val="00B04957"/>
    <w:rsid w:val="00B04CB8"/>
    <w:rsid w:val="00B06D01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149"/>
    <w:rsid w:val="00B6166F"/>
    <w:rsid w:val="00B61AE1"/>
    <w:rsid w:val="00B63F1C"/>
    <w:rsid w:val="00B7006B"/>
    <w:rsid w:val="00B712C6"/>
    <w:rsid w:val="00B717E9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BF7ACB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3D5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DE3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13F"/>
    <w:rsid w:val="00C8795F"/>
    <w:rsid w:val="00C912E8"/>
    <w:rsid w:val="00C95FF7"/>
    <w:rsid w:val="00C975ED"/>
    <w:rsid w:val="00CA1064"/>
    <w:rsid w:val="00CA2591"/>
    <w:rsid w:val="00CA31CA"/>
    <w:rsid w:val="00CA5057"/>
    <w:rsid w:val="00CA55A0"/>
    <w:rsid w:val="00CA59E1"/>
    <w:rsid w:val="00CA696C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5463"/>
    <w:rsid w:val="00D307A6"/>
    <w:rsid w:val="00D308DA"/>
    <w:rsid w:val="00D33D86"/>
    <w:rsid w:val="00D36C35"/>
    <w:rsid w:val="00D42073"/>
    <w:rsid w:val="00D472B8"/>
    <w:rsid w:val="00D5432B"/>
    <w:rsid w:val="00D5494D"/>
    <w:rsid w:val="00D574CA"/>
    <w:rsid w:val="00D57819"/>
    <w:rsid w:val="00D6072C"/>
    <w:rsid w:val="00D609F4"/>
    <w:rsid w:val="00D618A3"/>
    <w:rsid w:val="00D673F0"/>
    <w:rsid w:val="00D67D35"/>
    <w:rsid w:val="00D7019F"/>
    <w:rsid w:val="00D70301"/>
    <w:rsid w:val="00D72906"/>
    <w:rsid w:val="00D72BC8"/>
    <w:rsid w:val="00D73E07"/>
    <w:rsid w:val="00D77572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975"/>
    <w:rsid w:val="00DC0CA2"/>
    <w:rsid w:val="00DC176F"/>
    <w:rsid w:val="00DC2B1D"/>
    <w:rsid w:val="00DC64D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6A90"/>
    <w:rsid w:val="00E36D91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1641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02F2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35E"/>
    <w:rsid w:val="00F455E0"/>
    <w:rsid w:val="00F45E7C"/>
    <w:rsid w:val="00F516B4"/>
    <w:rsid w:val="00F5241E"/>
    <w:rsid w:val="00F5458D"/>
    <w:rsid w:val="00F54F3A"/>
    <w:rsid w:val="00F55A82"/>
    <w:rsid w:val="00F613DF"/>
    <w:rsid w:val="00F6459E"/>
    <w:rsid w:val="00F6554D"/>
    <w:rsid w:val="00F65695"/>
    <w:rsid w:val="00F659E1"/>
    <w:rsid w:val="00F70C92"/>
    <w:rsid w:val="00F71BD3"/>
    <w:rsid w:val="00F808C5"/>
    <w:rsid w:val="00F832E1"/>
    <w:rsid w:val="00F833CD"/>
    <w:rsid w:val="00F85369"/>
    <w:rsid w:val="00F867D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5B3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SP12204987">
    <w:name w:val="SP.12.20498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29">
    <w:name w:val="SP.12.205029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07">
    <w:name w:val="SP.12.20500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204878">
    <w:name w:val="SC.12.204878"/>
    <w:uiPriority w:val="99"/>
    <w:rsid w:val="00D308DA"/>
    <w:rPr>
      <w:color w:val="000000"/>
      <w:sz w:val="20"/>
      <w:szCs w:val="20"/>
    </w:rPr>
  </w:style>
  <w:style w:type="character" w:customStyle="1" w:styleId="SC12204915">
    <w:name w:val="SC.12.204915"/>
    <w:uiPriority w:val="99"/>
    <w:rsid w:val="00572BE1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3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658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55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3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156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_2.vs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___4.vs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___1.vsd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___3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41E9C84F-8871-45F4-9365-DCD96B0B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6</cp:revision>
  <cp:lastPrinted>2010-05-04T03:47:00Z</cp:lastPrinted>
  <dcterms:created xsi:type="dcterms:W3CDTF">2018-09-11T00:58:00Z</dcterms:created>
  <dcterms:modified xsi:type="dcterms:W3CDTF">2018-09-11T22:22:00Z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