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C61B5A" w:rsidRDefault="0016250B" w:rsidP="002C2AD0">
      <w:pPr>
        <w:pStyle w:val="T1"/>
        <w:pBdr>
          <w:bottom w:val="single" w:sz="6" w:space="0" w:color="auto"/>
        </w:pBdr>
        <w:spacing w:after="240"/>
        <w:jc w:val="both"/>
        <w:rPr>
          <w:sz w:val="22"/>
          <w:szCs w:val="22"/>
        </w:rPr>
      </w:pPr>
      <w:r w:rsidRPr="00C61B5A">
        <w:rPr>
          <w:sz w:val="22"/>
          <w:szCs w:val="22"/>
        </w:rPr>
        <w:t>I</w:t>
      </w:r>
      <w:r w:rsidR="00CA09B2" w:rsidRPr="00C61B5A">
        <w:rPr>
          <w:sz w:val="22"/>
          <w:szCs w:val="22"/>
        </w:rPr>
        <w:t>EEE P802.11</w:t>
      </w:r>
      <w:r w:rsidR="00CA09B2" w:rsidRPr="00C61B5A">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C61B5A" w14:paraId="58296235" w14:textId="77777777" w:rsidTr="0074761F">
        <w:trPr>
          <w:trHeight w:val="485"/>
          <w:jc w:val="center"/>
        </w:trPr>
        <w:tc>
          <w:tcPr>
            <w:tcW w:w="9576" w:type="dxa"/>
            <w:gridSpan w:val="5"/>
            <w:vAlign w:val="center"/>
          </w:tcPr>
          <w:p w14:paraId="72483BC1" w14:textId="0E8F869B" w:rsidR="00CA09B2" w:rsidRPr="00C61B5A" w:rsidRDefault="0016250B" w:rsidP="002C2AD0">
            <w:pPr>
              <w:pStyle w:val="T2"/>
              <w:jc w:val="both"/>
              <w:rPr>
                <w:sz w:val="22"/>
                <w:szCs w:val="22"/>
              </w:rPr>
            </w:pPr>
            <w:r w:rsidRPr="00C61B5A">
              <w:rPr>
                <w:sz w:val="22"/>
                <w:szCs w:val="22"/>
              </w:rPr>
              <w:t xml:space="preserve">Comment Resolution on PHY Introduction Part - </w:t>
            </w:r>
            <w:r w:rsidR="00133B82" w:rsidRPr="00C61B5A">
              <w:rPr>
                <w:sz w:val="22"/>
                <w:szCs w:val="22"/>
              </w:rPr>
              <w:t>2</w:t>
            </w:r>
          </w:p>
        </w:tc>
      </w:tr>
      <w:tr w:rsidR="00CA09B2" w:rsidRPr="00C61B5A" w14:paraId="6E77FA48" w14:textId="77777777" w:rsidTr="0074761F">
        <w:trPr>
          <w:trHeight w:val="359"/>
          <w:jc w:val="center"/>
        </w:trPr>
        <w:tc>
          <w:tcPr>
            <w:tcW w:w="9576" w:type="dxa"/>
            <w:gridSpan w:val="5"/>
            <w:vAlign w:val="center"/>
          </w:tcPr>
          <w:p w14:paraId="46A97846" w14:textId="56743CF7" w:rsidR="00CA09B2" w:rsidRPr="00C61B5A" w:rsidRDefault="00CA09B2" w:rsidP="002C2AD0">
            <w:pPr>
              <w:pStyle w:val="T2"/>
              <w:ind w:left="0"/>
              <w:jc w:val="both"/>
              <w:rPr>
                <w:sz w:val="22"/>
                <w:szCs w:val="22"/>
              </w:rPr>
            </w:pPr>
            <w:r w:rsidRPr="00C61B5A">
              <w:rPr>
                <w:sz w:val="22"/>
                <w:szCs w:val="22"/>
              </w:rPr>
              <w:t>Date:</w:t>
            </w:r>
            <w:r w:rsidRPr="00C61B5A">
              <w:rPr>
                <w:b w:val="0"/>
                <w:sz w:val="22"/>
                <w:szCs w:val="22"/>
              </w:rPr>
              <w:t xml:space="preserve">  </w:t>
            </w:r>
            <w:r w:rsidR="00FD7C52" w:rsidRPr="00C61B5A">
              <w:rPr>
                <w:b w:val="0"/>
                <w:sz w:val="22"/>
                <w:szCs w:val="22"/>
              </w:rPr>
              <w:t>201</w:t>
            </w:r>
            <w:r w:rsidR="002F40BD" w:rsidRPr="00C61B5A">
              <w:rPr>
                <w:b w:val="0"/>
                <w:sz w:val="22"/>
                <w:szCs w:val="22"/>
              </w:rPr>
              <w:t>8</w:t>
            </w:r>
            <w:r w:rsidRPr="00C61B5A">
              <w:rPr>
                <w:b w:val="0"/>
                <w:sz w:val="22"/>
                <w:szCs w:val="22"/>
              </w:rPr>
              <w:t>-</w:t>
            </w:r>
            <w:r w:rsidR="00F33644" w:rsidRPr="00C61B5A">
              <w:rPr>
                <w:b w:val="0"/>
                <w:sz w:val="22"/>
                <w:szCs w:val="22"/>
              </w:rPr>
              <w:t>0</w:t>
            </w:r>
            <w:r w:rsidR="00226B1A" w:rsidRPr="00C61B5A">
              <w:rPr>
                <w:b w:val="0"/>
                <w:sz w:val="22"/>
                <w:szCs w:val="22"/>
              </w:rPr>
              <w:t>9</w:t>
            </w:r>
            <w:r w:rsidRPr="00C61B5A">
              <w:rPr>
                <w:b w:val="0"/>
                <w:sz w:val="22"/>
                <w:szCs w:val="22"/>
              </w:rPr>
              <w:t>-</w:t>
            </w:r>
            <w:r w:rsidR="00F33644" w:rsidRPr="00C61B5A">
              <w:rPr>
                <w:b w:val="0"/>
                <w:sz w:val="22"/>
                <w:szCs w:val="22"/>
              </w:rPr>
              <w:t>0</w:t>
            </w:r>
            <w:r w:rsidR="00555A23" w:rsidRPr="00C61B5A">
              <w:rPr>
                <w:b w:val="0"/>
                <w:sz w:val="22"/>
                <w:szCs w:val="22"/>
              </w:rPr>
              <w:t>8</w:t>
            </w:r>
          </w:p>
        </w:tc>
      </w:tr>
      <w:tr w:rsidR="00CA09B2" w:rsidRPr="00C61B5A" w14:paraId="4D8F290D" w14:textId="77777777" w:rsidTr="0074761F">
        <w:trPr>
          <w:cantSplit/>
          <w:jc w:val="center"/>
        </w:trPr>
        <w:tc>
          <w:tcPr>
            <w:tcW w:w="9576" w:type="dxa"/>
            <w:gridSpan w:val="5"/>
            <w:vAlign w:val="center"/>
          </w:tcPr>
          <w:p w14:paraId="0BC988BB" w14:textId="77777777" w:rsidR="00CA09B2" w:rsidRPr="00C61B5A" w:rsidRDefault="00CA09B2" w:rsidP="002C2AD0">
            <w:pPr>
              <w:pStyle w:val="T2"/>
              <w:spacing w:after="0"/>
              <w:ind w:left="0" w:right="0"/>
              <w:jc w:val="both"/>
              <w:rPr>
                <w:sz w:val="22"/>
                <w:szCs w:val="22"/>
              </w:rPr>
            </w:pPr>
            <w:r w:rsidRPr="00C61B5A">
              <w:rPr>
                <w:sz w:val="22"/>
                <w:szCs w:val="22"/>
              </w:rPr>
              <w:t>Author(s):</w:t>
            </w:r>
          </w:p>
        </w:tc>
      </w:tr>
      <w:tr w:rsidR="00CA09B2" w:rsidRPr="00C61B5A" w14:paraId="1BC70B21" w14:textId="77777777" w:rsidTr="00E703C4">
        <w:trPr>
          <w:jc w:val="center"/>
        </w:trPr>
        <w:tc>
          <w:tcPr>
            <w:tcW w:w="1885" w:type="dxa"/>
            <w:vAlign w:val="center"/>
          </w:tcPr>
          <w:p w14:paraId="0826BDA1" w14:textId="77777777" w:rsidR="00CA09B2" w:rsidRPr="00C61B5A" w:rsidRDefault="00CA09B2" w:rsidP="002C2AD0">
            <w:pPr>
              <w:pStyle w:val="T2"/>
              <w:spacing w:after="0"/>
              <w:ind w:left="0" w:right="0"/>
              <w:jc w:val="both"/>
              <w:rPr>
                <w:sz w:val="22"/>
                <w:szCs w:val="22"/>
              </w:rPr>
            </w:pPr>
            <w:r w:rsidRPr="00C61B5A">
              <w:rPr>
                <w:sz w:val="22"/>
                <w:szCs w:val="22"/>
              </w:rPr>
              <w:t>Name</w:t>
            </w:r>
          </w:p>
        </w:tc>
        <w:tc>
          <w:tcPr>
            <w:tcW w:w="1260" w:type="dxa"/>
            <w:vAlign w:val="center"/>
          </w:tcPr>
          <w:p w14:paraId="51457E2A" w14:textId="77777777" w:rsidR="00CA09B2" w:rsidRPr="00C61B5A" w:rsidRDefault="0062440B" w:rsidP="002C2AD0">
            <w:pPr>
              <w:pStyle w:val="T2"/>
              <w:spacing w:after="0"/>
              <w:ind w:left="0" w:right="0"/>
              <w:jc w:val="both"/>
              <w:rPr>
                <w:sz w:val="22"/>
                <w:szCs w:val="22"/>
              </w:rPr>
            </w:pPr>
            <w:r w:rsidRPr="00C61B5A">
              <w:rPr>
                <w:sz w:val="22"/>
                <w:szCs w:val="22"/>
              </w:rPr>
              <w:t>Affiliation</w:t>
            </w:r>
          </w:p>
        </w:tc>
        <w:tc>
          <w:tcPr>
            <w:tcW w:w="2340" w:type="dxa"/>
            <w:vAlign w:val="center"/>
          </w:tcPr>
          <w:p w14:paraId="7205DF55" w14:textId="77777777" w:rsidR="00CA09B2" w:rsidRPr="00C61B5A" w:rsidRDefault="00CA09B2" w:rsidP="002C2AD0">
            <w:pPr>
              <w:pStyle w:val="T2"/>
              <w:spacing w:after="0"/>
              <w:ind w:left="0" w:right="0"/>
              <w:jc w:val="both"/>
              <w:rPr>
                <w:sz w:val="22"/>
                <w:szCs w:val="22"/>
              </w:rPr>
            </w:pPr>
            <w:r w:rsidRPr="00C61B5A">
              <w:rPr>
                <w:sz w:val="22"/>
                <w:szCs w:val="22"/>
              </w:rPr>
              <w:t>Address</w:t>
            </w:r>
          </w:p>
        </w:tc>
        <w:tc>
          <w:tcPr>
            <w:tcW w:w="1170" w:type="dxa"/>
            <w:vAlign w:val="center"/>
          </w:tcPr>
          <w:p w14:paraId="6655A40E" w14:textId="77777777" w:rsidR="00CA09B2" w:rsidRPr="00C61B5A" w:rsidRDefault="00CA09B2" w:rsidP="002C2AD0">
            <w:pPr>
              <w:pStyle w:val="T2"/>
              <w:spacing w:after="0"/>
              <w:ind w:left="0" w:right="0"/>
              <w:jc w:val="both"/>
              <w:rPr>
                <w:sz w:val="22"/>
                <w:szCs w:val="22"/>
              </w:rPr>
            </w:pPr>
            <w:r w:rsidRPr="00C61B5A">
              <w:rPr>
                <w:sz w:val="22"/>
                <w:szCs w:val="22"/>
              </w:rPr>
              <w:t>Phone</w:t>
            </w:r>
          </w:p>
        </w:tc>
        <w:tc>
          <w:tcPr>
            <w:tcW w:w="2921" w:type="dxa"/>
            <w:vAlign w:val="center"/>
          </w:tcPr>
          <w:p w14:paraId="7E83A7BD" w14:textId="77777777" w:rsidR="00CA09B2" w:rsidRPr="00C61B5A" w:rsidRDefault="00CA09B2" w:rsidP="002C2AD0">
            <w:pPr>
              <w:pStyle w:val="T2"/>
              <w:spacing w:after="0"/>
              <w:ind w:left="0" w:right="0"/>
              <w:jc w:val="both"/>
              <w:rPr>
                <w:sz w:val="22"/>
                <w:szCs w:val="22"/>
              </w:rPr>
            </w:pPr>
            <w:r w:rsidRPr="00C61B5A">
              <w:rPr>
                <w:sz w:val="22"/>
                <w:szCs w:val="22"/>
              </w:rPr>
              <w:t>email</w:t>
            </w:r>
          </w:p>
        </w:tc>
      </w:tr>
      <w:tr w:rsidR="0074761F" w:rsidRPr="00C61B5A" w14:paraId="42F0C313" w14:textId="77777777" w:rsidTr="00E703C4">
        <w:trPr>
          <w:jc w:val="center"/>
        </w:trPr>
        <w:tc>
          <w:tcPr>
            <w:tcW w:w="1885" w:type="dxa"/>
            <w:vAlign w:val="center"/>
          </w:tcPr>
          <w:p w14:paraId="3E02A211" w14:textId="2990E1EA" w:rsidR="0074761F" w:rsidRPr="00C61B5A" w:rsidRDefault="0016250B" w:rsidP="002C2AD0">
            <w:pPr>
              <w:pStyle w:val="NormalWeb"/>
              <w:spacing w:before="0" w:beforeAutospacing="0" w:after="0" w:afterAutospacing="0"/>
              <w:jc w:val="both"/>
              <w:rPr>
                <w:kern w:val="24"/>
                <w:sz w:val="22"/>
                <w:szCs w:val="22"/>
              </w:rPr>
            </w:pPr>
            <w:r w:rsidRPr="00C61B5A">
              <w:rPr>
                <w:kern w:val="24"/>
                <w:sz w:val="22"/>
                <w:szCs w:val="22"/>
              </w:rPr>
              <w:t>Lochan Verma</w:t>
            </w:r>
          </w:p>
        </w:tc>
        <w:tc>
          <w:tcPr>
            <w:tcW w:w="1260" w:type="dxa"/>
            <w:vAlign w:val="center"/>
          </w:tcPr>
          <w:p w14:paraId="06103F0B" w14:textId="32729527" w:rsidR="0074761F" w:rsidRPr="00C61B5A" w:rsidRDefault="0016250B" w:rsidP="002C2AD0">
            <w:pPr>
              <w:pStyle w:val="NormalWeb"/>
              <w:spacing w:before="0" w:beforeAutospacing="0" w:after="0" w:afterAutospacing="0"/>
              <w:jc w:val="both"/>
              <w:rPr>
                <w:sz w:val="22"/>
                <w:szCs w:val="22"/>
              </w:rPr>
            </w:pPr>
            <w:r w:rsidRPr="00C61B5A">
              <w:rPr>
                <w:kern w:val="24"/>
                <w:sz w:val="22"/>
                <w:szCs w:val="22"/>
              </w:rPr>
              <w:t>Qualcomm</w:t>
            </w:r>
          </w:p>
        </w:tc>
        <w:tc>
          <w:tcPr>
            <w:tcW w:w="2340" w:type="dxa"/>
            <w:vAlign w:val="center"/>
          </w:tcPr>
          <w:p w14:paraId="5542636F" w14:textId="0C5E315F" w:rsidR="0074761F" w:rsidRPr="00C61B5A" w:rsidRDefault="0074761F" w:rsidP="002C2AD0">
            <w:pPr>
              <w:pStyle w:val="NormalWeb"/>
              <w:spacing w:before="0" w:beforeAutospacing="0" w:after="0" w:afterAutospacing="0"/>
              <w:jc w:val="both"/>
              <w:rPr>
                <w:sz w:val="22"/>
                <w:szCs w:val="22"/>
              </w:rPr>
            </w:pPr>
          </w:p>
        </w:tc>
        <w:tc>
          <w:tcPr>
            <w:tcW w:w="1170" w:type="dxa"/>
            <w:vAlign w:val="center"/>
          </w:tcPr>
          <w:p w14:paraId="6EED890A" w14:textId="77777777" w:rsidR="0074761F" w:rsidRPr="00C61B5A" w:rsidRDefault="0074761F" w:rsidP="002C2AD0">
            <w:pPr>
              <w:jc w:val="both"/>
              <w:rPr>
                <w:szCs w:val="22"/>
              </w:rPr>
            </w:pPr>
          </w:p>
        </w:tc>
        <w:tc>
          <w:tcPr>
            <w:tcW w:w="2921" w:type="dxa"/>
            <w:vAlign w:val="center"/>
          </w:tcPr>
          <w:p w14:paraId="29AF3E2B" w14:textId="4170EDBA" w:rsidR="0074761F" w:rsidRPr="00C61B5A" w:rsidRDefault="0016250B" w:rsidP="002C2AD0">
            <w:pPr>
              <w:pStyle w:val="NormalWeb"/>
              <w:spacing w:before="0" w:beforeAutospacing="0" w:after="0" w:afterAutospacing="0"/>
              <w:jc w:val="both"/>
              <w:rPr>
                <w:kern w:val="24"/>
                <w:sz w:val="22"/>
                <w:szCs w:val="22"/>
              </w:rPr>
            </w:pPr>
            <w:r w:rsidRPr="00C61B5A">
              <w:rPr>
                <w:kern w:val="24"/>
                <w:sz w:val="22"/>
                <w:szCs w:val="22"/>
              </w:rPr>
              <w:t>lverma@qti.qualcomm.com</w:t>
            </w:r>
          </w:p>
        </w:tc>
      </w:tr>
      <w:tr w:rsidR="00E703C4" w:rsidRPr="00C61B5A" w14:paraId="4DC14401" w14:textId="77777777" w:rsidTr="00E703C4">
        <w:trPr>
          <w:jc w:val="center"/>
        </w:trPr>
        <w:tc>
          <w:tcPr>
            <w:tcW w:w="1885" w:type="dxa"/>
          </w:tcPr>
          <w:p w14:paraId="0601A11C" w14:textId="2B12D410" w:rsidR="00E703C4" w:rsidRPr="00C61B5A" w:rsidRDefault="00E703C4" w:rsidP="002C2AD0">
            <w:pPr>
              <w:pStyle w:val="NormalWeb"/>
              <w:spacing w:before="0" w:beforeAutospacing="0" w:after="0" w:afterAutospacing="0"/>
              <w:jc w:val="both"/>
              <w:rPr>
                <w:kern w:val="24"/>
                <w:sz w:val="22"/>
                <w:szCs w:val="22"/>
              </w:rPr>
            </w:pPr>
          </w:p>
        </w:tc>
        <w:tc>
          <w:tcPr>
            <w:tcW w:w="1260" w:type="dxa"/>
          </w:tcPr>
          <w:p w14:paraId="078E5431" w14:textId="5AB69F87" w:rsidR="00E703C4" w:rsidRPr="00C61B5A" w:rsidRDefault="00E703C4" w:rsidP="002C2AD0">
            <w:pPr>
              <w:pStyle w:val="NormalWeb"/>
              <w:spacing w:before="0" w:beforeAutospacing="0" w:after="0" w:afterAutospacing="0"/>
              <w:jc w:val="both"/>
              <w:rPr>
                <w:kern w:val="24"/>
                <w:sz w:val="22"/>
                <w:szCs w:val="22"/>
              </w:rPr>
            </w:pPr>
          </w:p>
        </w:tc>
        <w:tc>
          <w:tcPr>
            <w:tcW w:w="2340" w:type="dxa"/>
          </w:tcPr>
          <w:p w14:paraId="7A4084EF" w14:textId="4453B795" w:rsidR="00E703C4" w:rsidRPr="00C61B5A" w:rsidRDefault="00E703C4" w:rsidP="002C2AD0">
            <w:pPr>
              <w:pStyle w:val="NormalWeb"/>
              <w:spacing w:before="0" w:beforeAutospacing="0" w:after="0" w:afterAutospacing="0"/>
              <w:jc w:val="both"/>
              <w:rPr>
                <w:kern w:val="24"/>
                <w:sz w:val="22"/>
                <w:szCs w:val="22"/>
              </w:rPr>
            </w:pPr>
          </w:p>
        </w:tc>
        <w:tc>
          <w:tcPr>
            <w:tcW w:w="1170" w:type="dxa"/>
            <w:vAlign w:val="center"/>
          </w:tcPr>
          <w:p w14:paraId="1838BA51" w14:textId="77777777" w:rsidR="00E703C4" w:rsidRPr="00C61B5A" w:rsidRDefault="00E703C4" w:rsidP="002C2AD0">
            <w:pPr>
              <w:jc w:val="both"/>
              <w:rPr>
                <w:szCs w:val="22"/>
              </w:rPr>
            </w:pPr>
          </w:p>
        </w:tc>
        <w:tc>
          <w:tcPr>
            <w:tcW w:w="2921" w:type="dxa"/>
          </w:tcPr>
          <w:p w14:paraId="535061B5" w14:textId="5FCF9001" w:rsidR="00E703C4" w:rsidRPr="00C61B5A" w:rsidRDefault="00E703C4" w:rsidP="002C2AD0">
            <w:pPr>
              <w:pStyle w:val="NormalWeb"/>
              <w:spacing w:before="0" w:beforeAutospacing="0" w:after="0" w:afterAutospacing="0"/>
              <w:jc w:val="both"/>
              <w:rPr>
                <w:kern w:val="24"/>
                <w:sz w:val="22"/>
                <w:szCs w:val="22"/>
              </w:rPr>
            </w:pPr>
          </w:p>
        </w:tc>
      </w:tr>
    </w:tbl>
    <w:p w14:paraId="29A0C31A" w14:textId="77777777" w:rsidR="00CA09B2" w:rsidRPr="00C61B5A" w:rsidRDefault="008927F6" w:rsidP="002C2AD0">
      <w:pPr>
        <w:pStyle w:val="T1"/>
        <w:spacing w:after="120"/>
        <w:jc w:val="both"/>
        <w:rPr>
          <w:sz w:val="22"/>
          <w:szCs w:val="22"/>
        </w:rPr>
      </w:pPr>
      <w:r w:rsidRPr="00C61B5A">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9A4335">
                              <w:t>11ax D</w:t>
                            </w:r>
                            <w:r w:rsidR="003727F1" w:rsidRPr="009A4335">
                              <w:t>3</w:t>
                            </w:r>
                            <w:r w:rsidRPr="009A4335">
                              <w:t>.</w:t>
                            </w:r>
                            <w:r w:rsidR="003727F1" w:rsidRPr="009A4335">
                              <w:t>0</w:t>
                            </w:r>
                            <w:r w:rsidRPr="009A4335">
                              <w:t>.</w:t>
                            </w:r>
                          </w:p>
                          <w:p w14:paraId="12795FB2" w14:textId="77777777" w:rsidR="00C64097" w:rsidRPr="003727F1" w:rsidRDefault="00C64097" w:rsidP="009A08AB">
                            <w:pPr>
                              <w:ind w:left="360"/>
                            </w:pPr>
                          </w:p>
                          <w:p w14:paraId="18E3D580" w14:textId="469F8C43" w:rsidR="00C64097" w:rsidRPr="00B505BE" w:rsidRDefault="00C64097" w:rsidP="005149CB">
                            <w:pPr>
                              <w:jc w:val="both"/>
                            </w:pPr>
                            <w:r w:rsidRPr="00B505BE">
                              <w:t>The submission provides resolutions to comment</w:t>
                            </w:r>
                            <w:r w:rsidR="00526A53">
                              <w:t>s</w:t>
                            </w:r>
                            <w:r w:rsidRPr="00B505BE">
                              <w:t xml:space="preserve"> related to </w:t>
                            </w:r>
                            <w:r w:rsidR="0016250B">
                              <w:t>HE PHY Capabilities (9.4.2.237.3)</w:t>
                            </w:r>
                            <w:r w:rsidRPr="00B505BE">
                              <w:t>.</w:t>
                            </w:r>
                          </w:p>
                          <w:p w14:paraId="5AA4C0F5" w14:textId="4022A594" w:rsidR="009A4335" w:rsidRDefault="00C64097" w:rsidP="009A4335">
                            <w:pPr>
                              <w:pStyle w:val="ListParagraph"/>
                              <w:numPr>
                                <w:ilvl w:val="0"/>
                                <w:numId w:val="23"/>
                              </w:numPr>
                            </w:pPr>
                            <w:r w:rsidRPr="00B505BE">
                              <w:t xml:space="preserve">The submission provides </w:t>
                            </w:r>
                            <w:r w:rsidR="006F6F4F">
                              <w:t>re</w:t>
                            </w:r>
                            <w:r w:rsidRPr="00B505BE">
                              <w:t xml:space="preserve">solutions </w:t>
                            </w:r>
                            <w:r w:rsidRPr="009A4335">
                              <w:t xml:space="preserve">to </w:t>
                            </w:r>
                            <w:r w:rsidR="00F37003">
                              <w:t>9</w:t>
                            </w:r>
                            <w:r w:rsidRPr="009A4335">
                              <w:t xml:space="preserve"> CIDs</w:t>
                            </w:r>
                            <w:r w:rsidR="00FE5027" w:rsidRPr="009A4335">
                              <w:t>:</w:t>
                            </w:r>
                            <w:r w:rsidR="00FE5027">
                              <w:t xml:space="preserve"> </w:t>
                            </w:r>
                            <w:r>
                              <w:br/>
                            </w:r>
                            <w:r w:rsidR="009A4335">
                              <w:t>16178, 16185, 16238, 16239, 16240</w:t>
                            </w:r>
                          </w:p>
                          <w:p w14:paraId="49472D22" w14:textId="63775F7C" w:rsidR="00C64097" w:rsidRDefault="009A4335" w:rsidP="009A4335">
                            <w:pPr>
                              <w:pStyle w:val="ListParagraph"/>
                            </w:pPr>
                            <w:r>
                              <w:t>16316, 16593, 16922, 17144</w:t>
                            </w:r>
                          </w:p>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9A4335">
                        <w:t>11ax D</w:t>
                      </w:r>
                      <w:r w:rsidR="003727F1" w:rsidRPr="009A4335">
                        <w:t>3</w:t>
                      </w:r>
                      <w:r w:rsidRPr="009A4335">
                        <w:t>.</w:t>
                      </w:r>
                      <w:r w:rsidR="003727F1" w:rsidRPr="009A4335">
                        <w:t>0</w:t>
                      </w:r>
                      <w:r w:rsidRPr="009A4335">
                        <w:t>.</w:t>
                      </w:r>
                    </w:p>
                    <w:p w14:paraId="12795FB2" w14:textId="77777777" w:rsidR="00C64097" w:rsidRPr="003727F1" w:rsidRDefault="00C64097" w:rsidP="009A08AB">
                      <w:pPr>
                        <w:ind w:left="360"/>
                      </w:pPr>
                    </w:p>
                    <w:p w14:paraId="18E3D580" w14:textId="469F8C43" w:rsidR="00C64097" w:rsidRPr="00B505BE" w:rsidRDefault="00C64097" w:rsidP="005149CB">
                      <w:pPr>
                        <w:jc w:val="both"/>
                      </w:pPr>
                      <w:r w:rsidRPr="00B505BE">
                        <w:t>The submission provides resolutions to comment</w:t>
                      </w:r>
                      <w:r w:rsidR="00526A53">
                        <w:t>s</w:t>
                      </w:r>
                      <w:r w:rsidRPr="00B505BE">
                        <w:t xml:space="preserve"> related to </w:t>
                      </w:r>
                      <w:r w:rsidR="0016250B">
                        <w:t>HE PHY Capabilities (9.4.2.237.3)</w:t>
                      </w:r>
                      <w:r w:rsidRPr="00B505BE">
                        <w:t>.</w:t>
                      </w:r>
                    </w:p>
                    <w:p w14:paraId="5AA4C0F5" w14:textId="4022A594" w:rsidR="009A4335" w:rsidRDefault="00C64097" w:rsidP="009A4335">
                      <w:pPr>
                        <w:pStyle w:val="ListParagraph"/>
                        <w:numPr>
                          <w:ilvl w:val="0"/>
                          <w:numId w:val="23"/>
                        </w:numPr>
                      </w:pPr>
                      <w:r w:rsidRPr="00B505BE">
                        <w:t xml:space="preserve">The submission provides </w:t>
                      </w:r>
                      <w:r w:rsidR="006F6F4F">
                        <w:t>re</w:t>
                      </w:r>
                      <w:r w:rsidRPr="00B505BE">
                        <w:t xml:space="preserve">solutions </w:t>
                      </w:r>
                      <w:r w:rsidRPr="009A4335">
                        <w:t xml:space="preserve">to </w:t>
                      </w:r>
                      <w:r w:rsidR="00F37003">
                        <w:t>9</w:t>
                      </w:r>
                      <w:r w:rsidRPr="009A4335">
                        <w:t xml:space="preserve"> CIDs</w:t>
                      </w:r>
                      <w:r w:rsidR="00FE5027" w:rsidRPr="009A4335">
                        <w:t>:</w:t>
                      </w:r>
                      <w:r w:rsidR="00FE5027">
                        <w:t xml:space="preserve"> </w:t>
                      </w:r>
                      <w:r>
                        <w:br/>
                      </w:r>
                      <w:r w:rsidR="009A4335">
                        <w:t>16178, 16185, 16238, 16239, 16240</w:t>
                      </w:r>
                    </w:p>
                    <w:p w14:paraId="49472D22" w14:textId="63775F7C" w:rsidR="00C64097" w:rsidRDefault="009A4335" w:rsidP="009A4335">
                      <w:pPr>
                        <w:pStyle w:val="ListParagraph"/>
                      </w:pPr>
                      <w:r>
                        <w:t>16316, 16593, 16922, 17144</w:t>
                      </w:r>
                    </w:p>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C61B5A" w:rsidRDefault="00CA09B2" w:rsidP="002C2AD0">
      <w:pPr>
        <w:jc w:val="both"/>
        <w:rPr>
          <w:b/>
          <w:szCs w:val="22"/>
          <w:u w:val="single"/>
        </w:rPr>
      </w:pPr>
      <w:r w:rsidRPr="00C61B5A">
        <w:rPr>
          <w:szCs w:val="22"/>
        </w:rPr>
        <w:br w:type="page"/>
      </w:r>
    </w:p>
    <w:p w14:paraId="1F57A947" w14:textId="77777777" w:rsidR="006F1717" w:rsidRPr="00C61B5A" w:rsidRDefault="006F1717"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C61B5A" w14:paraId="02AE2D9B" w14:textId="77777777" w:rsidTr="00B82E0B">
        <w:trPr>
          <w:trHeight w:val="212"/>
        </w:trPr>
        <w:tc>
          <w:tcPr>
            <w:tcW w:w="810" w:type="dxa"/>
            <w:shd w:val="clear" w:color="auto" w:fill="auto"/>
            <w:noWrap/>
            <w:vAlign w:val="center"/>
            <w:hideMark/>
          </w:tcPr>
          <w:p w14:paraId="7D9B3E01" w14:textId="77777777" w:rsidR="002C4F58" w:rsidRPr="00C61B5A" w:rsidRDefault="002C4F58"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47A697F6" w14:textId="77777777" w:rsidR="002C4F58" w:rsidRPr="00C61B5A" w:rsidRDefault="002C4F58"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5D208BE9" w14:textId="77777777" w:rsidR="002C4F58" w:rsidRPr="00C61B5A" w:rsidRDefault="002C4F58"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44A457CA" w14:textId="77777777" w:rsidR="002C4F58" w:rsidRPr="00C61B5A" w:rsidRDefault="002C4F58"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6FC8BAAB" w14:textId="77777777" w:rsidR="002C4F58" w:rsidRPr="00C61B5A" w:rsidRDefault="002C4F58"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4D1370" w:rsidRPr="00C61B5A" w14:paraId="1B9389DF" w14:textId="77777777" w:rsidTr="00E72133">
        <w:trPr>
          <w:trHeight w:val="212"/>
        </w:trPr>
        <w:tc>
          <w:tcPr>
            <w:tcW w:w="810" w:type="dxa"/>
            <w:shd w:val="clear" w:color="auto" w:fill="auto"/>
            <w:noWrap/>
            <w:vAlign w:val="center"/>
          </w:tcPr>
          <w:p w14:paraId="38B0435F" w14:textId="71125B70" w:rsidR="004D1370" w:rsidRPr="00C61B5A" w:rsidRDefault="004D1370" w:rsidP="002C2AD0">
            <w:pPr>
              <w:jc w:val="both"/>
              <w:rPr>
                <w:rFonts w:eastAsia="Times New Roman"/>
                <w:bCs/>
                <w:color w:val="000000"/>
                <w:szCs w:val="22"/>
                <w:lang w:val="en-US"/>
              </w:rPr>
            </w:pPr>
            <w:r w:rsidRPr="00E23F5C">
              <w:rPr>
                <w:rFonts w:eastAsia="Times New Roman"/>
                <w:bCs/>
                <w:color w:val="000000"/>
                <w:szCs w:val="22"/>
                <w:lang w:val="en-US"/>
              </w:rPr>
              <w:t>16178</w:t>
            </w:r>
          </w:p>
        </w:tc>
        <w:tc>
          <w:tcPr>
            <w:tcW w:w="630" w:type="dxa"/>
            <w:shd w:val="clear" w:color="auto" w:fill="auto"/>
            <w:noWrap/>
            <w:vAlign w:val="center"/>
          </w:tcPr>
          <w:p w14:paraId="5D1567CE" w14:textId="54048351" w:rsidR="004D1370" w:rsidRPr="00C61B5A" w:rsidRDefault="004D1370" w:rsidP="002C2AD0">
            <w:pPr>
              <w:jc w:val="both"/>
              <w:rPr>
                <w:rFonts w:eastAsia="Times New Roman"/>
                <w:bCs/>
                <w:color w:val="000000"/>
                <w:szCs w:val="22"/>
                <w:lang w:val="en-US"/>
              </w:rPr>
            </w:pPr>
            <w:r w:rsidRPr="00C61B5A">
              <w:rPr>
                <w:rFonts w:eastAsia="Times New Roman"/>
                <w:bCs/>
                <w:color w:val="000000"/>
                <w:szCs w:val="22"/>
                <w:lang w:val="en-US"/>
              </w:rPr>
              <w:t>154.46</w:t>
            </w:r>
          </w:p>
        </w:tc>
        <w:tc>
          <w:tcPr>
            <w:tcW w:w="2516" w:type="dxa"/>
            <w:shd w:val="clear" w:color="auto" w:fill="auto"/>
            <w:noWrap/>
          </w:tcPr>
          <w:p w14:paraId="193C30F1" w14:textId="00DD07F6" w:rsidR="004D1370" w:rsidRPr="00C61B5A" w:rsidRDefault="004D1370" w:rsidP="002C2AD0">
            <w:pPr>
              <w:jc w:val="both"/>
              <w:rPr>
                <w:rFonts w:eastAsia="Times New Roman"/>
                <w:bCs/>
                <w:color w:val="000000"/>
                <w:szCs w:val="22"/>
                <w:lang w:val="en-US"/>
              </w:rPr>
            </w:pPr>
            <w:r w:rsidRPr="00C61B5A">
              <w:rPr>
                <w:szCs w:val="22"/>
              </w:rPr>
              <w:t xml:space="preserve">The resolution to CID 12798 "Sending an UL </w:t>
            </w:r>
            <w:r w:rsidRPr="00E23F5C">
              <w:rPr>
                <w:szCs w:val="22"/>
              </w:rPr>
              <w:t>MU PPDU has no value" was "Agree in principle.</w:t>
            </w:r>
            <w:r w:rsidRPr="00C61B5A">
              <w:rPr>
                <w:szCs w:val="22"/>
              </w:rPr>
              <w:t xml:space="preserve"> All references have been removed with resolutions to other comments. No further change required."  However, there do in fact remain various references to sending UL MU PPDUs</w:t>
            </w:r>
          </w:p>
        </w:tc>
        <w:tc>
          <w:tcPr>
            <w:tcW w:w="2835" w:type="dxa"/>
            <w:shd w:val="clear" w:color="auto" w:fill="auto"/>
            <w:noWrap/>
          </w:tcPr>
          <w:p w14:paraId="352E3EA1" w14:textId="3A870D02" w:rsidR="004D1370" w:rsidRPr="00C61B5A" w:rsidRDefault="004D1370" w:rsidP="002C2AD0">
            <w:pPr>
              <w:jc w:val="both"/>
              <w:rPr>
                <w:rFonts w:eastAsia="Times New Roman"/>
                <w:bCs/>
                <w:color w:val="000000"/>
                <w:szCs w:val="22"/>
                <w:lang w:val="en-US"/>
              </w:rPr>
            </w:pPr>
            <w:r w:rsidRPr="00C61B5A">
              <w:rPr>
                <w:szCs w:val="22"/>
              </w:rPr>
              <w:t>Make Rx HE MU PPDU</w:t>
            </w:r>
            <w:r w:rsidRPr="00C61B5A">
              <w:rPr>
                <w:szCs w:val="22"/>
              </w:rPr>
              <w:br/>
              <w:t>From Non-AP STA, Rx Full BW SU</w:t>
            </w:r>
            <w:r w:rsidRPr="00C61B5A">
              <w:rPr>
                <w:szCs w:val="22"/>
              </w:rPr>
              <w:br/>
              <w:t>Using HE MU</w:t>
            </w:r>
            <w:r w:rsidRPr="00C61B5A">
              <w:rPr>
                <w:szCs w:val="22"/>
              </w:rPr>
              <w:br/>
              <w:t>PPDU With Com-</w:t>
            </w:r>
            <w:r w:rsidRPr="00C61B5A">
              <w:rPr>
                <w:szCs w:val="22"/>
              </w:rPr>
              <w:br/>
              <w:t>pressed SIGB and Rx Full BW SU</w:t>
            </w:r>
            <w:r w:rsidRPr="00C61B5A">
              <w:rPr>
                <w:szCs w:val="22"/>
              </w:rPr>
              <w:br/>
              <w:t>Using HE MU</w:t>
            </w:r>
            <w:r w:rsidRPr="00C61B5A">
              <w:rPr>
                <w:szCs w:val="22"/>
              </w:rPr>
              <w:br/>
              <w:t>PPDU With Non-</w:t>
            </w:r>
            <w:r w:rsidRPr="00C61B5A">
              <w:rPr>
                <w:szCs w:val="22"/>
              </w:rPr>
              <w:br/>
              <w:t xml:space="preserve">Compressed SIGB only apply to </w:t>
            </w:r>
            <w:proofErr w:type="spellStart"/>
            <w:r w:rsidRPr="00C61B5A">
              <w:rPr>
                <w:szCs w:val="22"/>
              </w:rPr>
              <w:t>rx</w:t>
            </w:r>
            <w:proofErr w:type="spellEnd"/>
            <w:r w:rsidRPr="00C61B5A">
              <w:rPr>
                <w:szCs w:val="22"/>
              </w:rPr>
              <w:t xml:space="preserve"> by a non-AP STA</w:t>
            </w:r>
          </w:p>
        </w:tc>
        <w:tc>
          <w:tcPr>
            <w:tcW w:w="3379" w:type="dxa"/>
            <w:shd w:val="clear" w:color="auto" w:fill="auto"/>
            <w:vAlign w:val="center"/>
          </w:tcPr>
          <w:p w14:paraId="0117A2A7" w14:textId="3F348DF9" w:rsidR="004D1370" w:rsidRDefault="00E23F5C" w:rsidP="002C2AD0">
            <w:pPr>
              <w:jc w:val="both"/>
              <w:rPr>
                <w:rFonts w:eastAsia="Times New Roman"/>
                <w:bCs/>
                <w:color w:val="000000"/>
                <w:szCs w:val="22"/>
                <w:lang w:val="en-US"/>
              </w:rPr>
            </w:pPr>
            <w:r>
              <w:rPr>
                <w:rFonts w:eastAsia="Times New Roman"/>
                <w:bCs/>
                <w:color w:val="000000"/>
                <w:szCs w:val="22"/>
                <w:lang w:val="en-US"/>
              </w:rPr>
              <w:t>Reject—</w:t>
            </w:r>
          </w:p>
          <w:p w14:paraId="504A4A93" w14:textId="77777777" w:rsidR="00E23F5C" w:rsidRDefault="00E23F5C" w:rsidP="002C2AD0">
            <w:pPr>
              <w:jc w:val="both"/>
              <w:rPr>
                <w:rFonts w:eastAsia="Times New Roman"/>
                <w:bCs/>
                <w:color w:val="000000"/>
                <w:szCs w:val="22"/>
                <w:lang w:val="en-US"/>
              </w:rPr>
            </w:pPr>
            <w:r>
              <w:rPr>
                <w:rFonts w:eastAsia="Times New Roman"/>
                <w:bCs/>
                <w:color w:val="000000"/>
                <w:szCs w:val="22"/>
                <w:lang w:val="en-US"/>
              </w:rPr>
              <w:t>The resolution to CID12798 on D2.0 is “Reject” in document 685r0. The motion number 600 in May 2018 reflects it.</w:t>
            </w:r>
          </w:p>
          <w:p w14:paraId="3F87F764" w14:textId="1D993203" w:rsidR="00E23F5C" w:rsidRDefault="00E23F5C" w:rsidP="002C2AD0">
            <w:pPr>
              <w:jc w:val="both"/>
              <w:rPr>
                <w:rFonts w:eastAsia="Times New Roman"/>
                <w:bCs/>
                <w:color w:val="000000"/>
                <w:szCs w:val="22"/>
                <w:lang w:val="en-US"/>
              </w:rPr>
            </w:pPr>
            <w:r>
              <w:rPr>
                <w:rFonts w:eastAsia="Times New Roman"/>
                <w:bCs/>
                <w:color w:val="000000"/>
                <w:szCs w:val="22"/>
                <w:lang w:val="en-US"/>
              </w:rPr>
              <w:t>The reject reason is copied from 685r0.</w:t>
            </w:r>
          </w:p>
          <w:p w14:paraId="4A257F5A" w14:textId="0A33E45F" w:rsidR="00E23F5C" w:rsidRPr="00C61B5A" w:rsidRDefault="00E23F5C" w:rsidP="002C2AD0">
            <w:pPr>
              <w:jc w:val="both"/>
              <w:rPr>
                <w:rFonts w:eastAsia="Times New Roman"/>
                <w:bCs/>
                <w:color w:val="000000"/>
                <w:szCs w:val="22"/>
                <w:lang w:val="en-US"/>
              </w:rPr>
            </w:pPr>
            <w:r>
              <w:rPr>
                <w:color w:val="000000"/>
                <w:sz w:val="16"/>
                <w:szCs w:val="16"/>
                <w:lang w:eastAsia="ko-KR"/>
              </w:rPr>
              <w:t>“UL MU PPDU contains SIG-B field which contains the transmit identifier, or the receive identifier (depending if intended to an AP or a non-AP STA). This information contained in the PHY preamble is beneficial for the receiver to determine the transmitter or if it is the receiver of the PPDU even if all the PSDU is received incorrectly and can be used for fast recovery procedures at the MAC layer”</w:t>
            </w:r>
          </w:p>
        </w:tc>
      </w:tr>
    </w:tbl>
    <w:p w14:paraId="213CF7BD" w14:textId="77777777" w:rsidR="00716E09" w:rsidRPr="00C61B5A" w:rsidRDefault="00716E09" w:rsidP="002C2AD0">
      <w:pPr>
        <w:jc w:val="both"/>
        <w:rPr>
          <w:b/>
          <w:i/>
          <w:szCs w:val="22"/>
          <w:lang w:eastAsia="ko-KR"/>
        </w:rPr>
      </w:pPr>
    </w:p>
    <w:p w14:paraId="52F45020" w14:textId="1C91D249" w:rsidR="00B82E0B" w:rsidRPr="00C61B5A" w:rsidRDefault="00B82E0B" w:rsidP="002C2AD0">
      <w:pPr>
        <w:jc w:val="both"/>
        <w:rPr>
          <w:b/>
          <w:i/>
          <w:szCs w:val="22"/>
          <w:lang w:eastAsia="ko-KR"/>
        </w:rPr>
      </w:pPr>
      <w:r w:rsidRPr="00C61B5A">
        <w:rPr>
          <w:b/>
          <w:i/>
          <w:szCs w:val="22"/>
          <w:lang w:eastAsia="ko-KR"/>
        </w:rPr>
        <w:t>Discussion</w:t>
      </w:r>
    </w:p>
    <w:p w14:paraId="62548FEA" w14:textId="71A550C6" w:rsidR="005F4D3F" w:rsidRPr="00C61B5A" w:rsidRDefault="005F4D3F" w:rsidP="002C2AD0">
      <w:pPr>
        <w:pStyle w:val="T"/>
        <w:rPr>
          <w:b/>
          <w:i/>
          <w:sz w:val="22"/>
          <w:szCs w:val="22"/>
        </w:rPr>
      </w:pPr>
      <w:r w:rsidRPr="00C61B5A">
        <w:rPr>
          <w:b/>
          <w:i/>
          <w:sz w:val="22"/>
          <w:szCs w:val="22"/>
        </w:rPr>
        <w:t>------------- Begin Text Changes ---------------</w:t>
      </w:r>
    </w:p>
    <w:p w14:paraId="3041303A" w14:textId="1BFB8683" w:rsidR="00AA1DAE" w:rsidRPr="00C61B5A" w:rsidRDefault="00AA1DAE" w:rsidP="002C2AD0">
      <w:pPr>
        <w:pStyle w:val="T"/>
        <w:rPr>
          <w:b/>
          <w:i/>
          <w:sz w:val="22"/>
          <w:szCs w:val="22"/>
        </w:rPr>
      </w:pPr>
      <w:r w:rsidRPr="00C61B5A">
        <w:rPr>
          <w:b/>
          <w:i/>
          <w:sz w:val="22"/>
          <w:szCs w:val="22"/>
        </w:rPr>
        <w:t>------------- End Text Changes ---------------</w:t>
      </w:r>
    </w:p>
    <w:p w14:paraId="279D9FE9" w14:textId="77777777" w:rsidR="00A007BB" w:rsidRPr="00C61B5A" w:rsidRDefault="00A007BB"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007BB" w:rsidRPr="00C61B5A" w14:paraId="1E340A7B" w14:textId="77777777" w:rsidTr="00E035F8">
        <w:trPr>
          <w:trHeight w:val="212"/>
        </w:trPr>
        <w:tc>
          <w:tcPr>
            <w:tcW w:w="810" w:type="dxa"/>
            <w:shd w:val="clear" w:color="auto" w:fill="auto"/>
            <w:noWrap/>
            <w:vAlign w:val="center"/>
            <w:hideMark/>
          </w:tcPr>
          <w:p w14:paraId="650C7E31" w14:textId="77777777" w:rsidR="00A007BB" w:rsidRPr="00C61B5A" w:rsidRDefault="00A007BB"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2B5201C2" w14:textId="77777777" w:rsidR="00A007BB" w:rsidRPr="00C61B5A" w:rsidRDefault="00A007BB"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041A2ECC" w14:textId="77777777" w:rsidR="00A007BB" w:rsidRPr="00C61B5A" w:rsidRDefault="00A007BB"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7B81E7E0" w14:textId="77777777" w:rsidR="00A007BB" w:rsidRPr="00C61B5A" w:rsidRDefault="00A007BB"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41A97D2D" w14:textId="77777777" w:rsidR="00A007BB" w:rsidRPr="00C61B5A" w:rsidRDefault="00A007BB"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A007BB" w:rsidRPr="00C61B5A" w14:paraId="5BDB3916" w14:textId="77777777" w:rsidTr="00E035F8">
        <w:trPr>
          <w:trHeight w:val="212"/>
        </w:trPr>
        <w:tc>
          <w:tcPr>
            <w:tcW w:w="810" w:type="dxa"/>
            <w:shd w:val="clear" w:color="auto" w:fill="auto"/>
            <w:noWrap/>
            <w:vAlign w:val="center"/>
          </w:tcPr>
          <w:p w14:paraId="4D82D013" w14:textId="6B7DAE55" w:rsidR="00A007BB" w:rsidRPr="00C61B5A" w:rsidRDefault="00A007BB" w:rsidP="002C2AD0">
            <w:pPr>
              <w:jc w:val="both"/>
              <w:rPr>
                <w:rFonts w:eastAsia="Times New Roman"/>
                <w:bCs/>
                <w:color w:val="000000"/>
                <w:szCs w:val="22"/>
                <w:lang w:val="en-US"/>
              </w:rPr>
            </w:pPr>
            <w:r w:rsidRPr="00717661">
              <w:rPr>
                <w:rFonts w:eastAsia="Times New Roman"/>
                <w:bCs/>
                <w:color w:val="000000"/>
                <w:szCs w:val="22"/>
                <w:lang w:val="en-US"/>
              </w:rPr>
              <w:t>16185</w:t>
            </w:r>
          </w:p>
        </w:tc>
        <w:tc>
          <w:tcPr>
            <w:tcW w:w="630" w:type="dxa"/>
            <w:shd w:val="clear" w:color="auto" w:fill="auto"/>
            <w:noWrap/>
            <w:vAlign w:val="center"/>
          </w:tcPr>
          <w:p w14:paraId="2E753601" w14:textId="0B56E3DC" w:rsidR="00A007BB" w:rsidRPr="00C61B5A" w:rsidRDefault="00A007BB" w:rsidP="002C2AD0">
            <w:pPr>
              <w:jc w:val="both"/>
              <w:rPr>
                <w:rFonts w:eastAsia="Times New Roman"/>
                <w:bCs/>
                <w:color w:val="000000"/>
                <w:szCs w:val="22"/>
                <w:lang w:val="en-US"/>
              </w:rPr>
            </w:pPr>
            <w:r w:rsidRPr="00C61B5A">
              <w:rPr>
                <w:rFonts w:eastAsia="Times New Roman"/>
                <w:bCs/>
                <w:color w:val="000000"/>
                <w:szCs w:val="22"/>
                <w:lang w:val="en-US"/>
              </w:rPr>
              <w:t>161.37</w:t>
            </w:r>
          </w:p>
        </w:tc>
        <w:tc>
          <w:tcPr>
            <w:tcW w:w="2516" w:type="dxa"/>
            <w:shd w:val="clear" w:color="auto" w:fill="auto"/>
            <w:noWrap/>
          </w:tcPr>
          <w:p w14:paraId="61A59AAE" w14:textId="2C467E4C" w:rsidR="00A007BB" w:rsidRPr="00C61B5A" w:rsidRDefault="00A007BB" w:rsidP="002C2AD0">
            <w:pPr>
              <w:jc w:val="both"/>
              <w:rPr>
                <w:rFonts w:eastAsia="Times New Roman"/>
                <w:bCs/>
                <w:color w:val="000000"/>
                <w:szCs w:val="22"/>
                <w:lang w:val="en-US"/>
              </w:rPr>
            </w:pPr>
            <w:r w:rsidRPr="00C61B5A">
              <w:rPr>
                <w:szCs w:val="22"/>
              </w:rPr>
              <w:t>It's not just 160 MHz OFDMA.  The resolution to CID 12814 claims this is about the PPDU bandwidth, but this is not clear</w:t>
            </w:r>
          </w:p>
        </w:tc>
        <w:tc>
          <w:tcPr>
            <w:tcW w:w="2835" w:type="dxa"/>
            <w:shd w:val="clear" w:color="auto" w:fill="auto"/>
            <w:noWrap/>
          </w:tcPr>
          <w:p w14:paraId="292BE8A4" w14:textId="2767EB19" w:rsidR="00A007BB" w:rsidRPr="00C61B5A" w:rsidRDefault="00A007BB" w:rsidP="002C2AD0">
            <w:pPr>
              <w:jc w:val="both"/>
              <w:rPr>
                <w:rFonts w:eastAsia="Times New Roman"/>
                <w:bCs/>
                <w:color w:val="000000"/>
                <w:szCs w:val="22"/>
                <w:lang w:val="en-US"/>
              </w:rPr>
            </w:pPr>
            <w:r w:rsidRPr="00C61B5A">
              <w:rPr>
                <w:szCs w:val="22"/>
              </w:rPr>
              <w:t>Change "160 MHz" to "160/80+80 MHz" at the referenced location</w:t>
            </w:r>
          </w:p>
        </w:tc>
        <w:tc>
          <w:tcPr>
            <w:tcW w:w="3379" w:type="dxa"/>
            <w:shd w:val="clear" w:color="auto" w:fill="auto"/>
            <w:vAlign w:val="center"/>
          </w:tcPr>
          <w:p w14:paraId="1488B6D8" w14:textId="7902FC2F" w:rsidR="00A007BB" w:rsidRPr="00C61B5A" w:rsidRDefault="006D6D63" w:rsidP="002C2AD0">
            <w:pPr>
              <w:jc w:val="both"/>
              <w:rPr>
                <w:rFonts w:eastAsia="Times New Roman"/>
                <w:bCs/>
                <w:color w:val="000000"/>
                <w:szCs w:val="22"/>
                <w:lang w:val="en-US"/>
              </w:rPr>
            </w:pPr>
            <w:r>
              <w:rPr>
                <w:rFonts w:eastAsia="Times New Roman"/>
                <w:bCs/>
                <w:color w:val="000000"/>
                <w:szCs w:val="22"/>
                <w:lang w:val="en-US"/>
              </w:rPr>
              <w:t>Accept</w:t>
            </w:r>
            <w:r w:rsidR="00A007BB" w:rsidRPr="00C61B5A">
              <w:rPr>
                <w:rFonts w:eastAsia="Times New Roman"/>
                <w:bCs/>
                <w:color w:val="000000"/>
                <w:szCs w:val="22"/>
                <w:lang w:val="en-US"/>
              </w:rPr>
              <w:t>—</w:t>
            </w:r>
          </w:p>
        </w:tc>
      </w:tr>
    </w:tbl>
    <w:p w14:paraId="072F32E1" w14:textId="77777777" w:rsidR="00A007BB" w:rsidRPr="00C61B5A" w:rsidRDefault="00A007BB" w:rsidP="002C2AD0">
      <w:pPr>
        <w:jc w:val="both"/>
        <w:rPr>
          <w:b/>
          <w:i/>
          <w:szCs w:val="22"/>
          <w:lang w:eastAsia="ko-KR"/>
        </w:rPr>
      </w:pPr>
    </w:p>
    <w:p w14:paraId="38BF9EF5" w14:textId="4454E6A3" w:rsidR="00A007BB" w:rsidRPr="00C61B5A" w:rsidRDefault="00A007BB" w:rsidP="002C2AD0">
      <w:pPr>
        <w:jc w:val="both"/>
        <w:rPr>
          <w:b/>
          <w:i/>
          <w:szCs w:val="22"/>
          <w:lang w:eastAsia="ko-KR"/>
        </w:rPr>
      </w:pPr>
      <w:r w:rsidRPr="00C61B5A">
        <w:rPr>
          <w:b/>
          <w:i/>
          <w:szCs w:val="22"/>
          <w:lang w:eastAsia="ko-KR"/>
        </w:rPr>
        <w:t>Discussion</w:t>
      </w:r>
    </w:p>
    <w:p w14:paraId="0820E5D7" w14:textId="1D4E7FFC" w:rsidR="00A007BB" w:rsidRPr="00C61B5A" w:rsidRDefault="00A007BB" w:rsidP="002C2AD0">
      <w:pPr>
        <w:jc w:val="both"/>
        <w:rPr>
          <w:b/>
          <w:i/>
          <w:szCs w:val="22"/>
          <w:lang w:eastAsia="ko-KR"/>
        </w:rPr>
      </w:pPr>
      <w:r w:rsidRPr="00C61B5A">
        <w:rPr>
          <w:b/>
          <w:i/>
          <w:szCs w:val="22"/>
          <w:lang w:eastAsia="ko-KR"/>
        </w:rPr>
        <w:t>Table 9-262aa Subfields of the HE PHY Capabilities Information field</w:t>
      </w:r>
    </w:p>
    <w:p w14:paraId="1756A478" w14:textId="5875D4C8" w:rsidR="00A007BB" w:rsidRPr="00C61B5A" w:rsidRDefault="009E4CC0" w:rsidP="002C2AD0">
      <w:pPr>
        <w:jc w:val="both"/>
        <w:rPr>
          <w:b/>
          <w:i/>
          <w:szCs w:val="22"/>
          <w:lang w:eastAsia="ko-KR"/>
        </w:rPr>
      </w:pPr>
      <w:r w:rsidRPr="00C61B5A">
        <w:rPr>
          <w:b/>
          <w:i/>
          <w:noProof/>
          <w:szCs w:val="22"/>
          <w:lang w:eastAsia="ko-KR"/>
        </w:rPr>
        <mc:AlternateContent>
          <mc:Choice Requires="wps">
            <w:drawing>
              <wp:anchor distT="0" distB="0" distL="114300" distR="114300" simplePos="0" relativeHeight="251661312" behindDoc="0" locked="0" layoutInCell="1" allowOverlap="1" wp14:anchorId="3B70D153" wp14:editId="67B3EA4C">
                <wp:simplePos x="0" y="0"/>
                <wp:positionH relativeFrom="column">
                  <wp:posOffset>1390649</wp:posOffset>
                </wp:positionH>
                <wp:positionV relativeFrom="paragraph">
                  <wp:posOffset>629285</wp:posOffset>
                </wp:positionV>
                <wp:extent cx="2600325" cy="3810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2600325" cy="38100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75245" id="Rectangle 43" o:spid="_x0000_s1026" style="position:absolute;margin-left:109.5pt;margin-top:49.55pt;width:204.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" filled="f" strokecolor="red" strokeweight="1pt"/>
            </w:pict>
          </mc:Fallback>
        </mc:AlternateContent>
      </w:r>
      <w:r w:rsidR="00A007BB" w:rsidRPr="00C61B5A">
        <w:rPr>
          <w:b/>
          <w:i/>
          <w:noProof/>
          <w:szCs w:val="22"/>
          <w:lang w:eastAsia="ko-KR"/>
        </w:rPr>
        <mc:AlternateContent>
          <mc:Choice Requires="wps">
            <w:drawing>
              <wp:anchor distT="0" distB="0" distL="114300" distR="114300" simplePos="0" relativeHeight="251659264" behindDoc="0" locked="0" layoutInCell="1" allowOverlap="1" wp14:anchorId="2CE224F8" wp14:editId="4A3A475B">
                <wp:simplePos x="0" y="0"/>
                <wp:positionH relativeFrom="column">
                  <wp:posOffset>2395538</wp:posOffset>
                </wp:positionH>
                <wp:positionV relativeFrom="paragraph">
                  <wp:posOffset>100648</wp:posOffset>
                </wp:positionV>
                <wp:extent cx="47625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76250" cy="123825"/>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9B6C4" id="Rectangle 4" o:spid="_x0000_s1026" style="position:absolute;margin-left:188.65pt;margin-top:7.95pt;width:3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" filled="f" strokecolor="red" strokeweight="1pt"/>
            </w:pict>
          </mc:Fallback>
        </mc:AlternateContent>
      </w:r>
      <w:r w:rsidR="00A007BB" w:rsidRPr="00C61B5A">
        <w:rPr>
          <w:b/>
          <w:i/>
          <w:noProof/>
          <w:szCs w:val="22"/>
          <w:lang w:eastAsia="ko-KR"/>
        </w:rPr>
        <w:drawing>
          <wp:inline distT="0" distB="0" distL="0" distR="0" wp14:anchorId="566AF487" wp14:editId="55DAC218">
            <wp:extent cx="5943600" cy="136973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69738"/>
                    </a:xfrm>
                    <a:prstGeom prst="rect">
                      <a:avLst/>
                    </a:prstGeom>
                    <a:noFill/>
                    <a:ln>
                      <a:noFill/>
                    </a:ln>
                  </pic:spPr>
                </pic:pic>
              </a:graphicData>
            </a:graphic>
          </wp:inline>
        </w:drawing>
      </w:r>
    </w:p>
    <w:p w14:paraId="2A41DFD7" w14:textId="77777777" w:rsidR="00A007BB" w:rsidRPr="00C61B5A" w:rsidRDefault="00A007BB" w:rsidP="002C2AD0">
      <w:pPr>
        <w:pStyle w:val="T"/>
        <w:rPr>
          <w:b/>
          <w:i/>
          <w:sz w:val="22"/>
          <w:szCs w:val="22"/>
        </w:rPr>
      </w:pPr>
      <w:r w:rsidRPr="00C61B5A">
        <w:rPr>
          <w:b/>
          <w:i/>
          <w:sz w:val="22"/>
          <w:szCs w:val="22"/>
        </w:rPr>
        <w:t>------------- Begin Text Changes ---------------</w:t>
      </w:r>
    </w:p>
    <w:p w14:paraId="5B93D808" w14:textId="77777777" w:rsidR="00A007BB" w:rsidRPr="00C61B5A" w:rsidRDefault="00A007BB" w:rsidP="002C2AD0">
      <w:pPr>
        <w:pStyle w:val="T"/>
        <w:rPr>
          <w:b/>
          <w:i/>
          <w:sz w:val="22"/>
          <w:szCs w:val="22"/>
        </w:rPr>
      </w:pPr>
      <w:r w:rsidRPr="00C61B5A">
        <w:rPr>
          <w:b/>
          <w:i/>
          <w:sz w:val="22"/>
          <w:szCs w:val="22"/>
        </w:rPr>
        <w:t>------------- End Text Changes ---------------</w:t>
      </w:r>
    </w:p>
    <w:p w14:paraId="2946D2F5" w14:textId="77777777" w:rsidR="00600A65" w:rsidRPr="00C61B5A" w:rsidRDefault="00600A65"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600A65" w:rsidRPr="00C61B5A" w14:paraId="6FD781D0" w14:textId="77777777" w:rsidTr="00E035F8">
        <w:trPr>
          <w:trHeight w:val="212"/>
        </w:trPr>
        <w:tc>
          <w:tcPr>
            <w:tcW w:w="810" w:type="dxa"/>
            <w:shd w:val="clear" w:color="auto" w:fill="auto"/>
            <w:noWrap/>
            <w:vAlign w:val="center"/>
            <w:hideMark/>
          </w:tcPr>
          <w:p w14:paraId="1D17C0C6" w14:textId="77777777" w:rsidR="00600A65" w:rsidRPr="00C61B5A" w:rsidRDefault="00600A65"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334B2626" w14:textId="77777777" w:rsidR="00600A65" w:rsidRPr="00C61B5A" w:rsidRDefault="00600A65"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65035ED0" w14:textId="77777777" w:rsidR="00600A65" w:rsidRPr="00C61B5A" w:rsidRDefault="00600A65"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4D5937B0" w14:textId="77777777" w:rsidR="00600A65" w:rsidRPr="00C61B5A" w:rsidRDefault="00600A65"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72BA4AE1" w14:textId="77777777" w:rsidR="00600A65" w:rsidRPr="00C61B5A" w:rsidRDefault="00600A65"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600A65" w:rsidRPr="00C61B5A" w14:paraId="06E69F60" w14:textId="77777777" w:rsidTr="00E035F8">
        <w:trPr>
          <w:trHeight w:val="212"/>
        </w:trPr>
        <w:tc>
          <w:tcPr>
            <w:tcW w:w="810" w:type="dxa"/>
            <w:shd w:val="clear" w:color="auto" w:fill="auto"/>
            <w:noWrap/>
            <w:vAlign w:val="center"/>
          </w:tcPr>
          <w:p w14:paraId="399BEDF1" w14:textId="79335935" w:rsidR="00600A65" w:rsidRPr="00C61B5A" w:rsidRDefault="00600A65" w:rsidP="002C2AD0">
            <w:pPr>
              <w:jc w:val="both"/>
              <w:rPr>
                <w:rFonts w:eastAsia="Times New Roman"/>
                <w:bCs/>
                <w:color w:val="000000"/>
                <w:szCs w:val="22"/>
                <w:lang w:val="en-US"/>
              </w:rPr>
            </w:pPr>
            <w:r w:rsidRPr="00C61B5A">
              <w:rPr>
                <w:rFonts w:eastAsia="Times New Roman"/>
                <w:bCs/>
                <w:color w:val="000000"/>
                <w:szCs w:val="22"/>
                <w:lang w:val="en-US"/>
              </w:rPr>
              <w:t>16238</w:t>
            </w:r>
          </w:p>
        </w:tc>
        <w:tc>
          <w:tcPr>
            <w:tcW w:w="630" w:type="dxa"/>
            <w:shd w:val="clear" w:color="auto" w:fill="auto"/>
            <w:noWrap/>
            <w:vAlign w:val="center"/>
          </w:tcPr>
          <w:p w14:paraId="2E040740" w14:textId="108C384A" w:rsidR="00600A65" w:rsidRPr="00C61B5A" w:rsidRDefault="00600A65" w:rsidP="002C2AD0">
            <w:pPr>
              <w:jc w:val="both"/>
              <w:rPr>
                <w:rFonts w:eastAsia="Times New Roman"/>
                <w:bCs/>
                <w:color w:val="000000"/>
                <w:szCs w:val="22"/>
                <w:lang w:val="en-US"/>
              </w:rPr>
            </w:pPr>
            <w:r w:rsidRPr="00C61B5A">
              <w:rPr>
                <w:rFonts w:eastAsia="Times New Roman"/>
                <w:bCs/>
                <w:color w:val="000000"/>
                <w:szCs w:val="22"/>
                <w:lang w:val="en-US"/>
              </w:rPr>
              <w:t>159.6</w:t>
            </w:r>
          </w:p>
        </w:tc>
        <w:tc>
          <w:tcPr>
            <w:tcW w:w="2516" w:type="dxa"/>
            <w:shd w:val="clear" w:color="auto" w:fill="auto"/>
            <w:noWrap/>
          </w:tcPr>
          <w:p w14:paraId="6B96EDC6" w14:textId="7547523C" w:rsidR="00600A65" w:rsidRPr="00C61B5A" w:rsidRDefault="00600A65" w:rsidP="002C2AD0">
            <w:pPr>
              <w:jc w:val="both"/>
              <w:rPr>
                <w:rFonts w:eastAsia="Times New Roman"/>
                <w:bCs/>
                <w:color w:val="000000"/>
                <w:szCs w:val="22"/>
                <w:lang w:val="en-US"/>
              </w:rPr>
            </w:pPr>
            <w:r w:rsidRPr="00C61B5A">
              <w:rPr>
                <w:szCs w:val="22"/>
              </w:rPr>
              <w:t xml:space="preserve">There is no normative behaviour associated with the SU </w:t>
            </w:r>
            <w:proofErr w:type="spellStart"/>
            <w:r w:rsidRPr="00C61B5A">
              <w:rPr>
                <w:szCs w:val="22"/>
              </w:rPr>
              <w:t>Beamformee</w:t>
            </w:r>
            <w:proofErr w:type="spellEnd"/>
            <w:r w:rsidRPr="00C61B5A">
              <w:rPr>
                <w:szCs w:val="22"/>
              </w:rPr>
              <w:t xml:space="preserve"> field</w:t>
            </w:r>
          </w:p>
        </w:tc>
        <w:tc>
          <w:tcPr>
            <w:tcW w:w="2835" w:type="dxa"/>
            <w:shd w:val="clear" w:color="auto" w:fill="auto"/>
            <w:noWrap/>
          </w:tcPr>
          <w:p w14:paraId="182CC8BB" w14:textId="20B1D4E4" w:rsidR="00600A65" w:rsidRPr="00C61B5A" w:rsidRDefault="00600A65" w:rsidP="002C2AD0">
            <w:pPr>
              <w:jc w:val="both"/>
              <w:rPr>
                <w:rFonts w:eastAsia="Times New Roman"/>
                <w:bCs/>
                <w:color w:val="000000"/>
                <w:szCs w:val="22"/>
                <w:lang w:val="en-US"/>
              </w:rPr>
            </w:pPr>
            <w:r w:rsidRPr="00C61B5A">
              <w:rPr>
                <w:szCs w:val="22"/>
              </w:rPr>
              <w:t xml:space="preserve">Add at the end of 27.6.2 (or in 27.6.3?) wording like "A STA shall not request non-trigger-based SU-type feedback from another STA unless it has received from that STA an </w:t>
            </w:r>
            <w:r w:rsidRPr="00C61B5A">
              <w:rPr>
                <w:szCs w:val="22"/>
              </w:rPr>
              <w:lastRenderedPageBreak/>
              <w:t xml:space="preserve">HE PHY Capabilities Indication field with the SU </w:t>
            </w:r>
            <w:proofErr w:type="spellStart"/>
            <w:r w:rsidRPr="00C61B5A">
              <w:rPr>
                <w:szCs w:val="22"/>
              </w:rPr>
              <w:t>Beamformee</w:t>
            </w:r>
            <w:proofErr w:type="spellEnd"/>
            <w:r w:rsidRPr="00C61B5A">
              <w:rPr>
                <w:szCs w:val="22"/>
              </w:rPr>
              <w:t xml:space="preserve"> subfield equal to 1."</w:t>
            </w:r>
          </w:p>
        </w:tc>
        <w:tc>
          <w:tcPr>
            <w:tcW w:w="3379" w:type="dxa"/>
            <w:shd w:val="clear" w:color="auto" w:fill="auto"/>
            <w:vAlign w:val="center"/>
          </w:tcPr>
          <w:p w14:paraId="091D74E5" w14:textId="658BC3A1" w:rsidR="00600A65" w:rsidRPr="00C61B5A" w:rsidRDefault="007C3B5F" w:rsidP="002C2AD0">
            <w:pPr>
              <w:jc w:val="both"/>
              <w:rPr>
                <w:rFonts w:eastAsia="Times New Roman"/>
                <w:bCs/>
                <w:color w:val="000000"/>
                <w:szCs w:val="22"/>
                <w:lang w:val="en-US"/>
              </w:rPr>
            </w:pPr>
            <w:r w:rsidRPr="00C61B5A">
              <w:rPr>
                <w:rFonts w:eastAsia="Times New Roman"/>
                <w:bCs/>
                <w:color w:val="000000"/>
                <w:szCs w:val="22"/>
                <w:lang w:val="en-US"/>
              </w:rPr>
              <w:lastRenderedPageBreak/>
              <w:t>Reject</w:t>
            </w:r>
            <w:r w:rsidR="00600A65" w:rsidRPr="00C61B5A">
              <w:rPr>
                <w:rFonts w:eastAsia="Times New Roman"/>
                <w:bCs/>
                <w:color w:val="000000"/>
                <w:szCs w:val="22"/>
                <w:lang w:val="en-US"/>
              </w:rPr>
              <w:t>—</w:t>
            </w:r>
          </w:p>
          <w:p w14:paraId="5FC758BF" w14:textId="77777777" w:rsidR="00582C57" w:rsidRDefault="00582C57" w:rsidP="002C2AD0">
            <w:pPr>
              <w:jc w:val="both"/>
              <w:rPr>
                <w:szCs w:val="22"/>
              </w:rPr>
            </w:pPr>
          </w:p>
          <w:p w14:paraId="4A1A2931" w14:textId="4DB97B98" w:rsidR="00600A65" w:rsidRPr="00C61B5A" w:rsidRDefault="00CD7431" w:rsidP="002C2AD0">
            <w:pPr>
              <w:jc w:val="both"/>
              <w:rPr>
                <w:rFonts w:eastAsia="Times New Roman"/>
                <w:bCs/>
                <w:color w:val="000000"/>
                <w:szCs w:val="22"/>
                <w:lang w:val="en-US"/>
              </w:rPr>
            </w:pPr>
            <w:r w:rsidRPr="00C61B5A">
              <w:rPr>
                <w:szCs w:val="22"/>
              </w:rPr>
              <w:t xml:space="preserve">The spec. describes on </w:t>
            </w:r>
            <w:proofErr w:type="gramStart"/>
            <w:r w:rsidRPr="00C61B5A">
              <w:rPr>
                <w:szCs w:val="22"/>
              </w:rPr>
              <w:t>P:L::</w:t>
            </w:r>
            <w:proofErr w:type="gramEnd"/>
            <w:r w:rsidRPr="00C61B5A">
              <w:rPr>
                <w:szCs w:val="22"/>
              </w:rPr>
              <w:t xml:space="preserve">303:50, the definition of SU </w:t>
            </w:r>
            <w:proofErr w:type="spellStart"/>
            <w:r w:rsidRPr="00C61B5A">
              <w:rPr>
                <w:szCs w:val="22"/>
              </w:rPr>
              <w:t>beamfomee</w:t>
            </w:r>
            <w:proofErr w:type="spellEnd"/>
            <w:r w:rsidRPr="00C61B5A">
              <w:rPr>
                <w:szCs w:val="22"/>
              </w:rPr>
              <w:t xml:space="preserve"> (a STA with SU </w:t>
            </w:r>
            <w:proofErr w:type="spellStart"/>
            <w:r w:rsidRPr="00C61B5A">
              <w:rPr>
                <w:szCs w:val="22"/>
              </w:rPr>
              <w:t>Beamformee</w:t>
            </w:r>
            <w:proofErr w:type="spellEnd"/>
            <w:r w:rsidRPr="00C61B5A">
              <w:rPr>
                <w:szCs w:val="22"/>
              </w:rPr>
              <w:t xml:space="preserve"> = 1). </w:t>
            </w:r>
            <w:r w:rsidRPr="00C61B5A">
              <w:rPr>
                <w:szCs w:val="22"/>
              </w:rPr>
              <w:lastRenderedPageBreak/>
              <w:t xml:space="preserve">Then on </w:t>
            </w:r>
            <w:proofErr w:type="gramStart"/>
            <w:r w:rsidRPr="00C61B5A">
              <w:rPr>
                <w:szCs w:val="22"/>
              </w:rPr>
              <w:t>P:L::</w:t>
            </w:r>
            <w:proofErr w:type="gramEnd"/>
            <w:r w:rsidRPr="00C61B5A">
              <w:rPr>
                <w:szCs w:val="22"/>
              </w:rPr>
              <w:t xml:space="preserve">304:33, behaviour of SU </w:t>
            </w:r>
            <w:proofErr w:type="spellStart"/>
            <w:r w:rsidRPr="00C61B5A">
              <w:rPr>
                <w:szCs w:val="22"/>
              </w:rPr>
              <w:t>beamformee</w:t>
            </w:r>
            <w:proofErr w:type="spellEnd"/>
            <w:r w:rsidRPr="00C61B5A">
              <w:rPr>
                <w:szCs w:val="22"/>
              </w:rPr>
              <w:t xml:space="preserve"> is described.</w:t>
            </w:r>
          </w:p>
          <w:p w14:paraId="68AB18E3" w14:textId="77777777" w:rsidR="00600A65" w:rsidRPr="00C61B5A" w:rsidRDefault="00600A65" w:rsidP="002C2AD0">
            <w:pPr>
              <w:jc w:val="both"/>
              <w:rPr>
                <w:rFonts w:eastAsia="Times New Roman"/>
                <w:bCs/>
                <w:color w:val="000000"/>
                <w:szCs w:val="22"/>
                <w:lang w:val="en-US"/>
              </w:rPr>
            </w:pPr>
          </w:p>
        </w:tc>
      </w:tr>
    </w:tbl>
    <w:p w14:paraId="32A82F5F" w14:textId="77777777" w:rsidR="00600A65" w:rsidRPr="00C61B5A" w:rsidRDefault="00600A65" w:rsidP="002C2AD0">
      <w:pPr>
        <w:jc w:val="both"/>
        <w:rPr>
          <w:b/>
          <w:i/>
          <w:szCs w:val="22"/>
          <w:lang w:eastAsia="ko-KR"/>
        </w:rPr>
      </w:pPr>
    </w:p>
    <w:p w14:paraId="792E22E7" w14:textId="77777777" w:rsidR="00600A65" w:rsidRPr="00C61B5A" w:rsidRDefault="00600A65" w:rsidP="002C2AD0">
      <w:pPr>
        <w:jc w:val="both"/>
        <w:rPr>
          <w:b/>
          <w:i/>
          <w:szCs w:val="22"/>
          <w:lang w:eastAsia="ko-KR"/>
        </w:rPr>
      </w:pPr>
      <w:r w:rsidRPr="00C61B5A">
        <w:rPr>
          <w:b/>
          <w:i/>
          <w:szCs w:val="22"/>
          <w:lang w:eastAsia="ko-KR"/>
        </w:rPr>
        <w:t>Discussion</w:t>
      </w:r>
    </w:p>
    <w:p w14:paraId="79FDFE7C" w14:textId="4FB166B9" w:rsidR="00600A65" w:rsidRPr="00C61B5A" w:rsidRDefault="00600A65" w:rsidP="002C2AD0">
      <w:pPr>
        <w:jc w:val="both"/>
        <w:rPr>
          <w:b/>
          <w:i/>
          <w:szCs w:val="22"/>
          <w:lang w:eastAsia="ko-KR"/>
        </w:rPr>
      </w:pPr>
      <w:r w:rsidRPr="00C61B5A">
        <w:rPr>
          <w:b/>
          <w:i/>
          <w:szCs w:val="22"/>
          <w:lang w:eastAsia="ko-KR"/>
        </w:rPr>
        <w:t>Table 9-262aa Subfields of the HE PHY Capabilities Information field</w:t>
      </w:r>
    </w:p>
    <w:p w14:paraId="63BEA3AB" w14:textId="6D5CB496" w:rsidR="00FE30C3" w:rsidRPr="00C61B5A" w:rsidRDefault="00FE30C3" w:rsidP="002C2AD0">
      <w:pPr>
        <w:jc w:val="both"/>
        <w:rPr>
          <w:b/>
          <w:i/>
          <w:szCs w:val="22"/>
          <w:lang w:eastAsia="ko-KR"/>
        </w:rPr>
      </w:pPr>
      <w:r w:rsidRPr="00C61B5A">
        <w:rPr>
          <w:b/>
          <w:i/>
          <w:noProof/>
          <w:szCs w:val="22"/>
          <w:lang w:eastAsia="ko-KR"/>
        </w:rPr>
        <w:drawing>
          <wp:inline distT="0" distB="0" distL="0" distR="0" wp14:anchorId="5B6287A3" wp14:editId="2F361A36">
            <wp:extent cx="5943600" cy="854447"/>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54447"/>
                    </a:xfrm>
                    <a:prstGeom prst="rect">
                      <a:avLst/>
                    </a:prstGeom>
                    <a:noFill/>
                    <a:ln>
                      <a:noFill/>
                    </a:ln>
                  </pic:spPr>
                </pic:pic>
              </a:graphicData>
            </a:graphic>
          </wp:inline>
        </w:drawing>
      </w:r>
    </w:p>
    <w:p w14:paraId="2018E3F1" w14:textId="4F5374B7" w:rsidR="00600A65" w:rsidRPr="00C61B5A" w:rsidRDefault="00600A65" w:rsidP="002C2AD0">
      <w:pPr>
        <w:jc w:val="both"/>
        <w:rPr>
          <w:b/>
          <w:i/>
          <w:szCs w:val="22"/>
          <w:lang w:eastAsia="ko-KR"/>
        </w:rPr>
      </w:pPr>
    </w:p>
    <w:p w14:paraId="5D4E5E8E" w14:textId="228E4EB2" w:rsidR="007C3B5F" w:rsidRPr="00C61B5A" w:rsidRDefault="007C3B5F" w:rsidP="002C2AD0">
      <w:pPr>
        <w:jc w:val="both"/>
        <w:rPr>
          <w:b/>
          <w:i/>
          <w:szCs w:val="22"/>
          <w:lang w:eastAsia="ko-KR"/>
        </w:rPr>
      </w:pPr>
    </w:p>
    <w:p w14:paraId="486DC5BA" w14:textId="63423A15" w:rsidR="007C3B5F" w:rsidRPr="00C61B5A" w:rsidRDefault="007C3B5F" w:rsidP="002C2AD0">
      <w:pPr>
        <w:jc w:val="both"/>
        <w:rPr>
          <w:b/>
          <w:i/>
          <w:szCs w:val="22"/>
          <w:lang w:eastAsia="ko-KR"/>
        </w:rPr>
      </w:pPr>
      <w:r w:rsidRPr="00C61B5A">
        <w:rPr>
          <w:b/>
          <w:i/>
          <w:szCs w:val="22"/>
          <w:lang w:eastAsia="ko-KR"/>
        </w:rPr>
        <w:t xml:space="preserve">In Section 27.6.2 (Sounding sequences and support) there exists a definition of “SU </w:t>
      </w:r>
      <w:proofErr w:type="spellStart"/>
      <w:r w:rsidR="00A47275" w:rsidRPr="00C61B5A">
        <w:rPr>
          <w:b/>
          <w:i/>
          <w:szCs w:val="22"/>
          <w:lang w:eastAsia="ko-KR"/>
        </w:rPr>
        <w:t>b</w:t>
      </w:r>
      <w:r w:rsidRPr="00C61B5A">
        <w:rPr>
          <w:b/>
          <w:i/>
          <w:szCs w:val="22"/>
          <w:lang w:eastAsia="ko-KR"/>
        </w:rPr>
        <w:t>eamformee</w:t>
      </w:r>
      <w:proofErr w:type="spellEnd"/>
      <w:r w:rsidRPr="00C61B5A">
        <w:rPr>
          <w:b/>
          <w:i/>
          <w:szCs w:val="22"/>
          <w:lang w:eastAsia="ko-KR"/>
        </w:rPr>
        <w:t xml:space="preserve">” on </w:t>
      </w:r>
      <w:proofErr w:type="gramStart"/>
      <w:r w:rsidRPr="00C61B5A">
        <w:rPr>
          <w:b/>
          <w:i/>
          <w:szCs w:val="22"/>
          <w:lang w:eastAsia="ko-KR"/>
        </w:rPr>
        <w:t>P:L::</w:t>
      </w:r>
      <w:proofErr w:type="gramEnd"/>
      <w:r w:rsidRPr="00C61B5A">
        <w:rPr>
          <w:b/>
          <w:i/>
          <w:szCs w:val="22"/>
          <w:lang w:eastAsia="ko-KR"/>
        </w:rPr>
        <w:t>303:50</w:t>
      </w:r>
    </w:p>
    <w:p w14:paraId="15327A53" w14:textId="51A5D220" w:rsidR="007C3B5F" w:rsidRPr="00C61B5A" w:rsidRDefault="007C3B5F" w:rsidP="002C2AD0">
      <w:pPr>
        <w:jc w:val="both"/>
        <w:rPr>
          <w:b/>
          <w:i/>
          <w:szCs w:val="22"/>
          <w:lang w:eastAsia="ko-KR"/>
        </w:rPr>
      </w:pPr>
      <w:r w:rsidRPr="00C61B5A">
        <w:rPr>
          <w:b/>
          <w:i/>
          <w:noProof/>
          <w:szCs w:val="22"/>
          <w:lang w:eastAsia="ko-KR"/>
        </w:rPr>
        <w:drawing>
          <wp:inline distT="0" distB="0" distL="0" distR="0" wp14:anchorId="390EB994" wp14:editId="3FB9B01B">
            <wp:extent cx="5943600" cy="551938"/>
            <wp:effectExtent l="19050" t="19050" r="19050" b="196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51938"/>
                    </a:xfrm>
                    <a:prstGeom prst="rect">
                      <a:avLst/>
                    </a:prstGeom>
                    <a:noFill/>
                    <a:ln>
                      <a:solidFill>
                        <a:schemeClr val="accent1"/>
                      </a:solidFill>
                    </a:ln>
                  </pic:spPr>
                </pic:pic>
              </a:graphicData>
            </a:graphic>
          </wp:inline>
        </w:drawing>
      </w:r>
    </w:p>
    <w:p w14:paraId="617AF90E" w14:textId="2E0F003C" w:rsidR="007C3B5F" w:rsidRPr="00C61B5A" w:rsidRDefault="007C3B5F" w:rsidP="002C2AD0">
      <w:pPr>
        <w:jc w:val="both"/>
        <w:rPr>
          <w:b/>
          <w:i/>
          <w:szCs w:val="22"/>
          <w:lang w:eastAsia="ko-KR"/>
        </w:rPr>
      </w:pPr>
      <w:r w:rsidRPr="00C61B5A">
        <w:rPr>
          <w:b/>
          <w:i/>
          <w:szCs w:val="22"/>
          <w:lang w:eastAsia="ko-KR"/>
        </w:rPr>
        <w:t xml:space="preserve">Then, the behaviour of SU </w:t>
      </w:r>
      <w:proofErr w:type="spellStart"/>
      <w:r w:rsidRPr="00C61B5A">
        <w:rPr>
          <w:b/>
          <w:i/>
          <w:szCs w:val="22"/>
          <w:lang w:eastAsia="ko-KR"/>
        </w:rPr>
        <w:t>beamformee</w:t>
      </w:r>
      <w:proofErr w:type="spellEnd"/>
      <w:r w:rsidRPr="00C61B5A">
        <w:rPr>
          <w:b/>
          <w:i/>
          <w:szCs w:val="22"/>
          <w:lang w:eastAsia="ko-KR"/>
        </w:rPr>
        <w:t xml:space="preserve"> is described </w:t>
      </w:r>
      <w:proofErr w:type="gramStart"/>
      <w:r w:rsidRPr="00C61B5A">
        <w:rPr>
          <w:b/>
          <w:i/>
          <w:szCs w:val="22"/>
          <w:lang w:eastAsia="ko-KR"/>
        </w:rPr>
        <w:t>P:L::</w:t>
      </w:r>
      <w:proofErr w:type="gramEnd"/>
      <w:r w:rsidRPr="00C61B5A">
        <w:rPr>
          <w:b/>
          <w:i/>
          <w:szCs w:val="22"/>
          <w:lang w:eastAsia="ko-KR"/>
        </w:rPr>
        <w:t>304:33</w:t>
      </w:r>
    </w:p>
    <w:p w14:paraId="24AC2E85" w14:textId="2D8756C7" w:rsidR="007C3B5F" w:rsidRPr="00C61B5A" w:rsidRDefault="007C3B5F" w:rsidP="002C2AD0">
      <w:pPr>
        <w:jc w:val="both"/>
        <w:rPr>
          <w:b/>
          <w:i/>
          <w:szCs w:val="22"/>
          <w:lang w:eastAsia="ko-KR"/>
        </w:rPr>
      </w:pPr>
      <w:r w:rsidRPr="00C61B5A">
        <w:rPr>
          <w:b/>
          <w:i/>
          <w:noProof/>
          <w:szCs w:val="22"/>
          <w:lang w:eastAsia="ko-KR"/>
        </w:rPr>
        <w:drawing>
          <wp:inline distT="0" distB="0" distL="0" distR="0" wp14:anchorId="0318B667" wp14:editId="34F106C7">
            <wp:extent cx="5943600" cy="994720"/>
            <wp:effectExtent l="19050" t="19050" r="19050" b="152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94720"/>
                    </a:xfrm>
                    <a:prstGeom prst="rect">
                      <a:avLst/>
                    </a:prstGeom>
                    <a:noFill/>
                    <a:ln>
                      <a:solidFill>
                        <a:schemeClr val="accent1"/>
                      </a:solidFill>
                    </a:ln>
                  </pic:spPr>
                </pic:pic>
              </a:graphicData>
            </a:graphic>
          </wp:inline>
        </w:drawing>
      </w:r>
    </w:p>
    <w:p w14:paraId="3C18E064" w14:textId="21653CD7" w:rsidR="00D02993" w:rsidRPr="00C61B5A" w:rsidRDefault="00D02993" w:rsidP="002C2AD0">
      <w:pPr>
        <w:jc w:val="both"/>
        <w:rPr>
          <w:b/>
          <w:i/>
          <w:szCs w:val="22"/>
          <w:lang w:eastAsia="ko-KR"/>
        </w:rPr>
      </w:pPr>
    </w:p>
    <w:p w14:paraId="43DBB5C8" w14:textId="5F646309" w:rsidR="00D02993" w:rsidRPr="00C61B5A" w:rsidRDefault="00D02993" w:rsidP="002C2AD0">
      <w:pPr>
        <w:jc w:val="both"/>
        <w:rPr>
          <w:b/>
          <w:i/>
          <w:szCs w:val="22"/>
          <w:lang w:eastAsia="ko-KR"/>
        </w:rPr>
      </w:pPr>
      <w:r w:rsidRPr="00C61B5A">
        <w:rPr>
          <w:b/>
          <w:i/>
          <w:szCs w:val="22"/>
          <w:lang w:eastAsia="ko-KR"/>
        </w:rPr>
        <w:t xml:space="preserve">The normative behaviour for “SU </w:t>
      </w:r>
      <w:proofErr w:type="spellStart"/>
      <w:r w:rsidRPr="00C61B5A">
        <w:rPr>
          <w:b/>
          <w:i/>
          <w:szCs w:val="22"/>
          <w:lang w:eastAsia="ko-KR"/>
        </w:rPr>
        <w:t>Beamformee</w:t>
      </w:r>
      <w:proofErr w:type="spellEnd"/>
      <w:r w:rsidRPr="00C61B5A">
        <w:rPr>
          <w:b/>
          <w:i/>
          <w:szCs w:val="22"/>
          <w:lang w:eastAsia="ko-KR"/>
        </w:rPr>
        <w:t>” capability is described through above.</w:t>
      </w:r>
    </w:p>
    <w:p w14:paraId="75ED68FE" w14:textId="77777777" w:rsidR="00600A65" w:rsidRPr="00C61B5A" w:rsidRDefault="00600A65" w:rsidP="002C2AD0">
      <w:pPr>
        <w:pStyle w:val="T"/>
        <w:rPr>
          <w:b/>
          <w:i/>
          <w:sz w:val="22"/>
          <w:szCs w:val="22"/>
        </w:rPr>
      </w:pPr>
      <w:r w:rsidRPr="00C61B5A">
        <w:rPr>
          <w:b/>
          <w:i/>
          <w:sz w:val="22"/>
          <w:szCs w:val="22"/>
        </w:rPr>
        <w:t>------------- Begin Text Changes ---------------</w:t>
      </w:r>
    </w:p>
    <w:p w14:paraId="2FE1CD50" w14:textId="77777777" w:rsidR="00600A65" w:rsidRPr="00C61B5A" w:rsidRDefault="00600A65" w:rsidP="002C2AD0">
      <w:pPr>
        <w:pStyle w:val="T"/>
        <w:rPr>
          <w:b/>
          <w:i/>
          <w:sz w:val="22"/>
          <w:szCs w:val="22"/>
        </w:rPr>
      </w:pPr>
      <w:r w:rsidRPr="00C61B5A">
        <w:rPr>
          <w:b/>
          <w:i/>
          <w:sz w:val="22"/>
          <w:szCs w:val="22"/>
        </w:rPr>
        <w:t>------------- End Text Changes ---------------</w:t>
      </w:r>
    </w:p>
    <w:p w14:paraId="0DBD9DD1" w14:textId="77777777" w:rsidR="00DD7AE8" w:rsidRPr="00C61B5A" w:rsidRDefault="00DD7AE8"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D7AE8" w:rsidRPr="00C61B5A" w14:paraId="28A6174E" w14:textId="77777777" w:rsidTr="00E035F8">
        <w:trPr>
          <w:trHeight w:val="212"/>
        </w:trPr>
        <w:tc>
          <w:tcPr>
            <w:tcW w:w="810" w:type="dxa"/>
            <w:shd w:val="clear" w:color="auto" w:fill="auto"/>
            <w:noWrap/>
            <w:vAlign w:val="center"/>
            <w:hideMark/>
          </w:tcPr>
          <w:p w14:paraId="3E5C04BC" w14:textId="77777777" w:rsidR="00DD7AE8" w:rsidRPr="00C61B5A" w:rsidRDefault="00DD7AE8"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6B2E87C5" w14:textId="77777777" w:rsidR="00DD7AE8" w:rsidRPr="00C61B5A" w:rsidRDefault="00DD7AE8"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731B8AD9" w14:textId="77777777" w:rsidR="00DD7AE8" w:rsidRPr="00C61B5A" w:rsidRDefault="00DD7AE8"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02AA9176" w14:textId="77777777" w:rsidR="00DD7AE8" w:rsidRPr="00C61B5A" w:rsidRDefault="00DD7AE8"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649AFB43" w14:textId="77777777" w:rsidR="00DD7AE8" w:rsidRPr="00C61B5A" w:rsidRDefault="00DD7AE8"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6A2689" w:rsidRPr="00C61B5A" w14:paraId="1B6B62C8" w14:textId="77777777" w:rsidTr="00E035F8">
        <w:trPr>
          <w:trHeight w:val="212"/>
        </w:trPr>
        <w:tc>
          <w:tcPr>
            <w:tcW w:w="810" w:type="dxa"/>
            <w:shd w:val="clear" w:color="auto" w:fill="auto"/>
            <w:noWrap/>
            <w:vAlign w:val="center"/>
          </w:tcPr>
          <w:p w14:paraId="06D8CD47" w14:textId="68A4BFEC" w:rsidR="006A2689" w:rsidRPr="00C61B5A" w:rsidRDefault="006A2689" w:rsidP="002C2AD0">
            <w:pPr>
              <w:jc w:val="both"/>
              <w:rPr>
                <w:rFonts w:eastAsia="Times New Roman"/>
                <w:bCs/>
                <w:color w:val="000000"/>
                <w:szCs w:val="22"/>
                <w:lang w:val="en-US"/>
              </w:rPr>
            </w:pPr>
            <w:r w:rsidRPr="00C61B5A">
              <w:rPr>
                <w:rFonts w:eastAsia="Times New Roman"/>
                <w:bCs/>
                <w:color w:val="000000"/>
                <w:szCs w:val="22"/>
                <w:lang w:val="en-US"/>
              </w:rPr>
              <w:t>16239</w:t>
            </w:r>
          </w:p>
        </w:tc>
        <w:tc>
          <w:tcPr>
            <w:tcW w:w="630" w:type="dxa"/>
            <w:shd w:val="clear" w:color="auto" w:fill="auto"/>
            <w:noWrap/>
            <w:vAlign w:val="center"/>
          </w:tcPr>
          <w:p w14:paraId="4647CA46" w14:textId="0225B556" w:rsidR="006A2689" w:rsidRPr="00C61B5A" w:rsidRDefault="006A2689" w:rsidP="002C2AD0">
            <w:pPr>
              <w:jc w:val="both"/>
              <w:rPr>
                <w:rFonts w:eastAsia="Times New Roman"/>
                <w:bCs/>
                <w:color w:val="000000"/>
                <w:szCs w:val="22"/>
                <w:lang w:val="en-US"/>
              </w:rPr>
            </w:pPr>
            <w:r w:rsidRPr="00C61B5A">
              <w:rPr>
                <w:rFonts w:eastAsia="Times New Roman"/>
                <w:bCs/>
                <w:color w:val="000000"/>
                <w:szCs w:val="22"/>
                <w:lang w:val="en-US"/>
              </w:rPr>
              <w:t>158.54</w:t>
            </w:r>
          </w:p>
        </w:tc>
        <w:tc>
          <w:tcPr>
            <w:tcW w:w="2516" w:type="dxa"/>
            <w:shd w:val="clear" w:color="auto" w:fill="auto"/>
            <w:noWrap/>
          </w:tcPr>
          <w:p w14:paraId="4B27C315" w14:textId="4445BB10" w:rsidR="006A2689" w:rsidRPr="00C61B5A" w:rsidRDefault="006A2689" w:rsidP="002C2AD0">
            <w:pPr>
              <w:jc w:val="both"/>
              <w:rPr>
                <w:rFonts w:eastAsia="Times New Roman"/>
                <w:bCs/>
                <w:color w:val="000000"/>
                <w:szCs w:val="22"/>
                <w:lang w:val="en-US"/>
              </w:rPr>
            </w:pPr>
            <w:r w:rsidRPr="00C61B5A">
              <w:rPr>
                <w:szCs w:val="22"/>
              </w:rPr>
              <w:t>There is no normative behaviour associated with the SU Beamformer field</w:t>
            </w:r>
          </w:p>
        </w:tc>
        <w:tc>
          <w:tcPr>
            <w:tcW w:w="2835" w:type="dxa"/>
            <w:shd w:val="clear" w:color="auto" w:fill="auto"/>
            <w:noWrap/>
          </w:tcPr>
          <w:p w14:paraId="4F73ECCC" w14:textId="4E6E079D" w:rsidR="006A2689" w:rsidRPr="00C61B5A" w:rsidRDefault="006A2689" w:rsidP="002C2AD0">
            <w:pPr>
              <w:jc w:val="both"/>
              <w:rPr>
                <w:rFonts w:eastAsia="Times New Roman"/>
                <w:bCs/>
                <w:color w:val="000000"/>
                <w:szCs w:val="22"/>
                <w:lang w:val="en-US"/>
              </w:rPr>
            </w:pPr>
            <w:r w:rsidRPr="00C61B5A">
              <w:rPr>
                <w:szCs w:val="22"/>
              </w:rPr>
              <w:t>Add at the end of 27.6.2 (or in 27.6.3?) wording like "A STA shall not request SU-type feedback unless it has transmitted an HE PHY Capabilities Indication field with the SU Beamformer subfield equal to 1."</w:t>
            </w:r>
          </w:p>
        </w:tc>
        <w:tc>
          <w:tcPr>
            <w:tcW w:w="3379" w:type="dxa"/>
            <w:shd w:val="clear" w:color="auto" w:fill="auto"/>
            <w:vAlign w:val="center"/>
          </w:tcPr>
          <w:p w14:paraId="2D5024BA" w14:textId="77777777" w:rsidR="006A2689" w:rsidRPr="00C61B5A" w:rsidRDefault="006A2689" w:rsidP="002C2AD0">
            <w:pPr>
              <w:jc w:val="both"/>
              <w:rPr>
                <w:rFonts w:eastAsia="Times New Roman"/>
                <w:bCs/>
                <w:color w:val="000000"/>
                <w:szCs w:val="22"/>
                <w:lang w:val="en-US"/>
              </w:rPr>
            </w:pPr>
            <w:r w:rsidRPr="00C61B5A">
              <w:rPr>
                <w:rFonts w:eastAsia="Times New Roman"/>
                <w:bCs/>
                <w:color w:val="000000"/>
                <w:szCs w:val="22"/>
                <w:lang w:val="en-US"/>
              </w:rPr>
              <w:t>Reject—</w:t>
            </w:r>
          </w:p>
          <w:p w14:paraId="27F0107F" w14:textId="77777777" w:rsidR="003876B3" w:rsidRDefault="003876B3" w:rsidP="002C2AD0">
            <w:pPr>
              <w:jc w:val="both"/>
              <w:rPr>
                <w:szCs w:val="22"/>
              </w:rPr>
            </w:pPr>
          </w:p>
          <w:p w14:paraId="769DCC82" w14:textId="02E50B53" w:rsidR="006A2689" w:rsidRPr="00C61B5A" w:rsidRDefault="006A2689" w:rsidP="002C2AD0">
            <w:pPr>
              <w:jc w:val="both"/>
              <w:rPr>
                <w:rFonts w:eastAsia="Times New Roman"/>
                <w:bCs/>
                <w:color w:val="000000"/>
                <w:szCs w:val="22"/>
                <w:lang w:val="en-US"/>
              </w:rPr>
            </w:pPr>
            <w:r w:rsidRPr="00C61B5A">
              <w:rPr>
                <w:szCs w:val="22"/>
              </w:rPr>
              <w:t xml:space="preserve">The spec. describes on </w:t>
            </w:r>
            <w:proofErr w:type="gramStart"/>
            <w:r w:rsidRPr="00C61B5A">
              <w:rPr>
                <w:szCs w:val="22"/>
              </w:rPr>
              <w:t>P:L::</w:t>
            </w:r>
            <w:proofErr w:type="gramEnd"/>
            <w:r w:rsidRPr="00C61B5A">
              <w:rPr>
                <w:szCs w:val="22"/>
              </w:rPr>
              <w:t>303:</w:t>
            </w:r>
            <w:r w:rsidR="00BE4B7A" w:rsidRPr="00C61B5A">
              <w:rPr>
                <w:szCs w:val="22"/>
              </w:rPr>
              <w:t>47</w:t>
            </w:r>
            <w:r w:rsidRPr="00C61B5A">
              <w:rPr>
                <w:szCs w:val="22"/>
              </w:rPr>
              <w:t xml:space="preserve">, the definition of SU </w:t>
            </w:r>
            <w:proofErr w:type="spellStart"/>
            <w:r w:rsidRPr="00C61B5A">
              <w:rPr>
                <w:szCs w:val="22"/>
              </w:rPr>
              <w:t>beamfome</w:t>
            </w:r>
            <w:r w:rsidR="00BE4B7A" w:rsidRPr="00C61B5A">
              <w:rPr>
                <w:szCs w:val="22"/>
              </w:rPr>
              <w:t>r</w:t>
            </w:r>
            <w:proofErr w:type="spellEnd"/>
            <w:r w:rsidRPr="00C61B5A">
              <w:rPr>
                <w:szCs w:val="22"/>
              </w:rPr>
              <w:t xml:space="preserve"> (a STA with SU Beamforme</w:t>
            </w:r>
            <w:r w:rsidR="00BE4B7A" w:rsidRPr="00C61B5A">
              <w:rPr>
                <w:szCs w:val="22"/>
              </w:rPr>
              <w:t>r</w:t>
            </w:r>
            <w:r w:rsidRPr="00C61B5A">
              <w:rPr>
                <w:szCs w:val="22"/>
              </w:rPr>
              <w:t xml:space="preserve"> = 1). Then on </w:t>
            </w:r>
            <w:proofErr w:type="gramStart"/>
            <w:r w:rsidRPr="00C61B5A">
              <w:rPr>
                <w:szCs w:val="22"/>
              </w:rPr>
              <w:t>P:L::</w:t>
            </w:r>
            <w:proofErr w:type="gramEnd"/>
            <w:r w:rsidRPr="00C61B5A">
              <w:rPr>
                <w:szCs w:val="22"/>
              </w:rPr>
              <w:t>304:33, behaviour of SU beamforme</w:t>
            </w:r>
            <w:r w:rsidR="00BE4B7A" w:rsidRPr="00C61B5A">
              <w:rPr>
                <w:szCs w:val="22"/>
              </w:rPr>
              <w:t>r</w:t>
            </w:r>
            <w:r w:rsidRPr="00C61B5A">
              <w:rPr>
                <w:szCs w:val="22"/>
              </w:rPr>
              <w:t xml:space="preserve"> is described.</w:t>
            </w:r>
          </w:p>
          <w:p w14:paraId="1EBB885F" w14:textId="77777777" w:rsidR="006A2689" w:rsidRPr="00C61B5A" w:rsidRDefault="006A2689" w:rsidP="002C2AD0">
            <w:pPr>
              <w:jc w:val="both"/>
              <w:rPr>
                <w:rFonts w:eastAsia="Times New Roman"/>
                <w:bCs/>
                <w:color w:val="000000"/>
                <w:szCs w:val="22"/>
                <w:lang w:val="en-US"/>
              </w:rPr>
            </w:pPr>
          </w:p>
        </w:tc>
      </w:tr>
    </w:tbl>
    <w:p w14:paraId="4747BF1E" w14:textId="77777777" w:rsidR="00DD7AE8" w:rsidRPr="00C61B5A" w:rsidRDefault="00DD7AE8" w:rsidP="002C2AD0">
      <w:pPr>
        <w:jc w:val="both"/>
        <w:rPr>
          <w:b/>
          <w:i/>
          <w:szCs w:val="22"/>
          <w:lang w:eastAsia="ko-KR"/>
        </w:rPr>
      </w:pPr>
    </w:p>
    <w:p w14:paraId="267BBC1D" w14:textId="77777777" w:rsidR="00DD7AE8" w:rsidRPr="00C61B5A" w:rsidRDefault="00DD7AE8" w:rsidP="002C2AD0">
      <w:pPr>
        <w:jc w:val="both"/>
        <w:rPr>
          <w:b/>
          <w:i/>
          <w:szCs w:val="22"/>
          <w:lang w:eastAsia="ko-KR"/>
        </w:rPr>
      </w:pPr>
      <w:r w:rsidRPr="00C61B5A">
        <w:rPr>
          <w:b/>
          <w:i/>
          <w:szCs w:val="22"/>
          <w:lang w:eastAsia="ko-KR"/>
        </w:rPr>
        <w:t>Discussion</w:t>
      </w:r>
    </w:p>
    <w:p w14:paraId="73EC72AF" w14:textId="77777777" w:rsidR="00DD7AE8" w:rsidRPr="00C61B5A" w:rsidRDefault="00DD7AE8" w:rsidP="002C2AD0">
      <w:pPr>
        <w:jc w:val="both"/>
        <w:rPr>
          <w:b/>
          <w:i/>
          <w:szCs w:val="22"/>
          <w:lang w:eastAsia="ko-KR"/>
        </w:rPr>
      </w:pPr>
      <w:r w:rsidRPr="00C61B5A">
        <w:rPr>
          <w:b/>
          <w:i/>
          <w:szCs w:val="22"/>
          <w:lang w:eastAsia="ko-KR"/>
        </w:rPr>
        <w:t>Table 9-262aa Subfields of the HE PHY Capabilities Information field</w:t>
      </w:r>
    </w:p>
    <w:p w14:paraId="50F88EB9" w14:textId="38CA0F28" w:rsidR="00DD7AE8" w:rsidRPr="00C61B5A" w:rsidRDefault="002D2420" w:rsidP="002C2AD0">
      <w:pPr>
        <w:jc w:val="both"/>
        <w:rPr>
          <w:b/>
          <w:i/>
          <w:szCs w:val="22"/>
          <w:lang w:eastAsia="ko-KR"/>
        </w:rPr>
      </w:pPr>
      <w:r w:rsidRPr="00C61B5A">
        <w:rPr>
          <w:b/>
          <w:i/>
          <w:noProof/>
          <w:szCs w:val="22"/>
          <w:lang w:eastAsia="ko-KR"/>
        </w:rPr>
        <w:drawing>
          <wp:inline distT="0" distB="0" distL="0" distR="0" wp14:anchorId="2BC765E5" wp14:editId="0830F631">
            <wp:extent cx="5943600" cy="1024484"/>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24484"/>
                    </a:xfrm>
                    <a:prstGeom prst="rect">
                      <a:avLst/>
                    </a:prstGeom>
                    <a:noFill/>
                    <a:ln>
                      <a:noFill/>
                    </a:ln>
                  </pic:spPr>
                </pic:pic>
              </a:graphicData>
            </a:graphic>
          </wp:inline>
        </w:drawing>
      </w:r>
    </w:p>
    <w:p w14:paraId="6A881F74" w14:textId="77777777" w:rsidR="00DD7AE8" w:rsidRPr="00C61B5A" w:rsidRDefault="00DD7AE8" w:rsidP="002C2AD0">
      <w:pPr>
        <w:jc w:val="both"/>
        <w:rPr>
          <w:b/>
          <w:i/>
          <w:szCs w:val="22"/>
          <w:lang w:eastAsia="ko-KR"/>
        </w:rPr>
      </w:pPr>
    </w:p>
    <w:p w14:paraId="032B9397" w14:textId="77777777" w:rsidR="00DD7AE8" w:rsidRPr="00C61B5A" w:rsidRDefault="00DD7AE8" w:rsidP="002C2AD0">
      <w:pPr>
        <w:jc w:val="both"/>
        <w:rPr>
          <w:b/>
          <w:i/>
          <w:szCs w:val="22"/>
          <w:lang w:eastAsia="ko-KR"/>
        </w:rPr>
      </w:pPr>
    </w:p>
    <w:p w14:paraId="39C9B14B" w14:textId="2B723D74" w:rsidR="00DD7AE8" w:rsidRPr="00C61B5A" w:rsidRDefault="00DD7AE8" w:rsidP="002C2AD0">
      <w:pPr>
        <w:jc w:val="both"/>
        <w:rPr>
          <w:b/>
          <w:i/>
          <w:szCs w:val="22"/>
          <w:lang w:eastAsia="ko-KR"/>
        </w:rPr>
      </w:pPr>
      <w:r w:rsidRPr="00C61B5A">
        <w:rPr>
          <w:b/>
          <w:i/>
          <w:szCs w:val="22"/>
          <w:lang w:eastAsia="ko-KR"/>
        </w:rPr>
        <w:t xml:space="preserve">In Section 27.6.2 (Sounding sequences and support) there exists a definition of “SU </w:t>
      </w:r>
      <w:r w:rsidR="00A47275" w:rsidRPr="00C61B5A">
        <w:rPr>
          <w:b/>
          <w:i/>
          <w:szCs w:val="22"/>
          <w:lang w:eastAsia="ko-KR"/>
        </w:rPr>
        <w:t>b</w:t>
      </w:r>
      <w:r w:rsidRPr="00C61B5A">
        <w:rPr>
          <w:b/>
          <w:i/>
          <w:szCs w:val="22"/>
          <w:lang w:eastAsia="ko-KR"/>
        </w:rPr>
        <w:t>eamforme</w:t>
      </w:r>
      <w:r w:rsidR="00A47275" w:rsidRPr="00C61B5A">
        <w:rPr>
          <w:b/>
          <w:i/>
          <w:szCs w:val="22"/>
          <w:lang w:eastAsia="ko-KR"/>
        </w:rPr>
        <w:t>r</w:t>
      </w:r>
      <w:r w:rsidRPr="00C61B5A">
        <w:rPr>
          <w:b/>
          <w:i/>
          <w:szCs w:val="22"/>
          <w:lang w:eastAsia="ko-KR"/>
        </w:rPr>
        <w:t xml:space="preserve">” on </w:t>
      </w:r>
      <w:proofErr w:type="gramStart"/>
      <w:r w:rsidRPr="00C61B5A">
        <w:rPr>
          <w:b/>
          <w:i/>
          <w:szCs w:val="22"/>
          <w:lang w:eastAsia="ko-KR"/>
        </w:rPr>
        <w:t>P:L::</w:t>
      </w:r>
      <w:proofErr w:type="gramEnd"/>
      <w:r w:rsidRPr="00C61B5A">
        <w:rPr>
          <w:b/>
          <w:i/>
          <w:szCs w:val="22"/>
          <w:lang w:eastAsia="ko-KR"/>
        </w:rPr>
        <w:t>303:</w:t>
      </w:r>
      <w:r w:rsidR="00A47275" w:rsidRPr="00C61B5A">
        <w:rPr>
          <w:b/>
          <w:i/>
          <w:szCs w:val="22"/>
          <w:lang w:eastAsia="ko-KR"/>
        </w:rPr>
        <w:t>47</w:t>
      </w:r>
    </w:p>
    <w:p w14:paraId="09A34EE3" w14:textId="4EFBC315" w:rsidR="00DD7AE8" w:rsidRPr="00C61B5A" w:rsidRDefault="00A47275" w:rsidP="002C2AD0">
      <w:pPr>
        <w:jc w:val="both"/>
        <w:rPr>
          <w:b/>
          <w:i/>
          <w:szCs w:val="22"/>
          <w:lang w:eastAsia="ko-KR"/>
        </w:rPr>
      </w:pPr>
      <w:r w:rsidRPr="00C61B5A">
        <w:rPr>
          <w:b/>
          <w:i/>
          <w:noProof/>
          <w:szCs w:val="22"/>
          <w:lang w:eastAsia="ko-KR"/>
        </w:rPr>
        <w:drawing>
          <wp:inline distT="0" distB="0" distL="0" distR="0" wp14:anchorId="4E2A9B78" wp14:editId="5EC008A0">
            <wp:extent cx="5943600" cy="374047"/>
            <wp:effectExtent l="19050" t="19050" r="19050" b="260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4047"/>
                    </a:xfrm>
                    <a:prstGeom prst="rect">
                      <a:avLst/>
                    </a:prstGeom>
                    <a:noFill/>
                    <a:ln>
                      <a:solidFill>
                        <a:schemeClr val="accent1"/>
                      </a:solidFill>
                    </a:ln>
                  </pic:spPr>
                </pic:pic>
              </a:graphicData>
            </a:graphic>
          </wp:inline>
        </w:drawing>
      </w:r>
    </w:p>
    <w:p w14:paraId="59160D44" w14:textId="77777777" w:rsidR="00DD7AE8" w:rsidRPr="00C61B5A" w:rsidRDefault="00DD7AE8" w:rsidP="002C2AD0">
      <w:pPr>
        <w:jc w:val="both"/>
        <w:rPr>
          <w:b/>
          <w:i/>
          <w:szCs w:val="22"/>
          <w:lang w:eastAsia="ko-KR"/>
        </w:rPr>
      </w:pPr>
      <w:r w:rsidRPr="00C61B5A">
        <w:rPr>
          <w:b/>
          <w:i/>
          <w:szCs w:val="22"/>
          <w:lang w:eastAsia="ko-KR"/>
        </w:rPr>
        <w:t xml:space="preserve">Then, the behaviour of SU </w:t>
      </w:r>
      <w:proofErr w:type="spellStart"/>
      <w:r w:rsidRPr="00C61B5A">
        <w:rPr>
          <w:b/>
          <w:i/>
          <w:szCs w:val="22"/>
          <w:lang w:eastAsia="ko-KR"/>
        </w:rPr>
        <w:t>beamformee</w:t>
      </w:r>
      <w:proofErr w:type="spellEnd"/>
      <w:r w:rsidRPr="00C61B5A">
        <w:rPr>
          <w:b/>
          <w:i/>
          <w:szCs w:val="22"/>
          <w:lang w:eastAsia="ko-KR"/>
        </w:rPr>
        <w:t xml:space="preserve"> is described </w:t>
      </w:r>
      <w:proofErr w:type="gramStart"/>
      <w:r w:rsidRPr="00C61B5A">
        <w:rPr>
          <w:b/>
          <w:i/>
          <w:szCs w:val="22"/>
          <w:lang w:eastAsia="ko-KR"/>
        </w:rPr>
        <w:t>P:L::</w:t>
      </w:r>
      <w:proofErr w:type="gramEnd"/>
      <w:r w:rsidRPr="00C61B5A">
        <w:rPr>
          <w:b/>
          <w:i/>
          <w:szCs w:val="22"/>
          <w:lang w:eastAsia="ko-KR"/>
        </w:rPr>
        <w:t>304:33</w:t>
      </w:r>
    </w:p>
    <w:p w14:paraId="3E07C963" w14:textId="77777777" w:rsidR="00DD7AE8" w:rsidRPr="00C61B5A" w:rsidRDefault="00DD7AE8" w:rsidP="002C2AD0">
      <w:pPr>
        <w:jc w:val="both"/>
        <w:rPr>
          <w:b/>
          <w:i/>
          <w:szCs w:val="22"/>
          <w:lang w:eastAsia="ko-KR"/>
        </w:rPr>
      </w:pPr>
      <w:r w:rsidRPr="00C61B5A">
        <w:rPr>
          <w:b/>
          <w:i/>
          <w:noProof/>
          <w:szCs w:val="22"/>
          <w:lang w:eastAsia="ko-KR"/>
        </w:rPr>
        <w:drawing>
          <wp:inline distT="0" distB="0" distL="0" distR="0" wp14:anchorId="14012A72" wp14:editId="0BC60EA4">
            <wp:extent cx="5943600" cy="994720"/>
            <wp:effectExtent l="19050" t="19050" r="19050" b="152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94720"/>
                    </a:xfrm>
                    <a:prstGeom prst="rect">
                      <a:avLst/>
                    </a:prstGeom>
                    <a:noFill/>
                    <a:ln>
                      <a:solidFill>
                        <a:schemeClr val="accent1"/>
                      </a:solidFill>
                    </a:ln>
                  </pic:spPr>
                </pic:pic>
              </a:graphicData>
            </a:graphic>
          </wp:inline>
        </w:drawing>
      </w:r>
    </w:p>
    <w:p w14:paraId="4BC5B315" w14:textId="77777777" w:rsidR="00DD7AE8" w:rsidRPr="00C61B5A" w:rsidRDefault="00DD7AE8" w:rsidP="002C2AD0">
      <w:pPr>
        <w:jc w:val="both"/>
        <w:rPr>
          <w:b/>
          <w:i/>
          <w:szCs w:val="22"/>
          <w:lang w:eastAsia="ko-KR"/>
        </w:rPr>
      </w:pPr>
    </w:p>
    <w:p w14:paraId="7A73F77B" w14:textId="1678FBDC" w:rsidR="00DD7AE8" w:rsidRPr="00C61B5A" w:rsidRDefault="00DD7AE8" w:rsidP="002C2AD0">
      <w:pPr>
        <w:jc w:val="both"/>
        <w:rPr>
          <w:b/>
          <w:i/>
          <w:szCs w:val="22"/>
          <w:lang w:eastAsia="ko-KR"/>
        </w:rPr>
      </w:pPr>
      <w:r w:rsidRPr="00C61B5A">
        <w:rPr>
          <w:b/>
          <w:i/>
          <w:szCs w:val="22"/>
          <w:lang w:eastAsia="ko-KR"/>
        </w:rPr>
        <w:t>The normative behaviour for “SU Beamforme</w:t>
      </w:r>
      <w:r w:rsidR="00F17FE7" w:rsidRPr="00C61B5A">
        <w:rPr>
          <w:b/>
          <w:i/>
          <w:szCs w:val="22"/>
          <w:lang w:eastAsia="ko-KR"/>
        </w:rPr>
        <w:t>r</w:t>
      </w:r>
      <w:r w:rsidRPr="00C61B5A">
        <w:rPr>
          <w:b/>
          <w:i/>
          <w:szCs w:val="22"/>
          <w:lang w:eastAsia="ko-KR"/>
        </w:rPr>
        <w:t>” capability is described through above.</w:t>
      </w:r>
    </w:p>
    <w:p w14:paraId="4DEA1521" w14:textId="77777777" w:rsidR="00DD7AE8" w:rsidRPr="00C61B5A" w:rsidRDefault="00DD7AE8" w:rsidP="002C2AD0">
      <w:pPr>
        <w:pStyle w:val="T"/>
        <w:rPr>
          <w:b/>
          <w:i/>
          <w:sz w:val="22"/>
          <w:szCs w:val="22"/>
        </w:rPr>
      </w:pPr>
      <w:r w:rsidRPr="00C61B5A">
        <w:rPr>
          <w:b/>
          <w:i/>
          <w:sz w:val="22"/>
          <w:szCs w:val="22"/>
        </w:rPr>
        <w:t>------------- Begin Text Changes ---------------</w:t>
      </w:r>
    </w:p>
    <w:p w14:paraId="28397F1D" w14:textId="77777777" w:rsidR="00DD7AE8" w:rsidRPr="00C61B5A" w:rsidRDefault="00DD7AE8" w:rsidP="002C2AD0">
      <w:pPr>
        <w:pStyle w:val="T"/>
        <w:rPr>
          <w:b/>
          <w:i/>
          <w:sz w:val="22"/>
          <w:szCs w:val="22"/>
        </w:rPr>
      </w:pPr>
      <w:r w:rsidRPr="00C61B5A">
        <w:rPr>
          <w:b/>
          <w:i/>
          <w:sz w:val="22"/>
          <w:szCs w:val="22"/>
        </w:rPr>
        <w:t>------------- End Text Changes ---------------</w:t>
      </w:r>
    </w:p>
    <w:p w14:paraId="7717C8E4" w14:textId="77777777" w:rsidR="00D34A52" w:rsidRPr="00C61B5A" w:rsidRDefault="00D34A52"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34A52" w:rsidRPr="00C61B5A" w14:paraId="563FED5D" w14:textId="77777777" w:rsidTr="00E035F8">
        <w:trPr>
          <w:trHeight w:val="212"/>
        </w:trPr>
        <w:tc>
          <w:tcPr>
            <w:tcW w:w="810" w:type="dxa"/>
            <w:shd w:val="clear" w:color="auto" w:fill="auto"/>
            <w:noWrap/>
            <w:vAlign w:val="center"/>
            <w:hideMark/>
          </w:tcPr>
          <w:p w14:paraId="6682DC2B" w14:textId="77777777" w:rsidR="00D34A52" w:rsidRPr="00C61B5A" w:rsidRDefault="00D34A52"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45455BE0" w14:textId="77777777" w:rsidR="00D34A52" w:rsidRPr="00C61B5A" w:rsidRDefault="00D34A52"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10E27CB1" w14:textId="77777777" w:rsidR="00D34A52" w:rsidRPr="00C61B5A" w:rsidRDefault="00D34A52"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5BD63D62" w14:textId="77777777" w:rsidR="00D34A52" w:rsidRPr="00C61B5A" w:rsidRDefault="00D34A52"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44FDC373" w14:textId="77777777" w:rsidR="00D34A52" w:rsidRPr="00C61B5A" w:rsidRDefault="00D34A52"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0948EC" w:rsidRPr="00C61B5A" w14:paraId="3CD920AD" w14:textId="77777777" w:rsidTr="00E035F8">
        <w:trPr>
          <w:trHeight w:val="212"/>
        </w:trPr>
        <w:tc>
          <w:tcPr>
            <w:tcW w:w="810" w:type="dxa"/>
            <w:shd w:val="clear" w:color="auto" w:fill="auto"/>
            <w:noWrap/>
            <w:vAlign w:val="center"/>
          </w:tcPr>
          <w:p w14:paraId="6D81F9C6" w14:textId="78BDEF16" w:rsidR="000948EC" w:rsidRPr="00C61B5A" w:rsidRDefault="000948EC" w:rsidP="002C2AD0">
            <w:pPr>
              <w:jc w:val="both"/>
              <w:rPr>
                <w:rFonts w:eastAsia="Times New Roman"/>
                <w:bCs/>
                <w:color w:val="000000"/>
                <w:szCs w:val="22"/>
                <w:lang w:val="en-US"/>
              </w:rPr>
            </w:pPr>
            <w:r w:rsidRPr="00C61B5A">
              <w:rPr>
                <w:rFonts w:eastAsia="Times New Roman"/>
                <w:bCs/>
                <w:color w:val="000000"/>
                <w:szCs w:val="22"/>
                <w:lang w:val="en-US"/>
              </w:rPr>
              <w:t>16240</w:t>
            </w:r>
          </w:p>
        </w:tc>
        <w:tc>
          <w:tcPr>
            <w:tcW w:w="630" w:type="dxa"/>
            <w:shd w:val="clear" w:color="auto" w:fill="auto"/>
            <w:noWrap/>
            <w:vAlign w:val="center"/>
          </w:tcPr>
          <w:p w14:paraId="2E581DD6" w14:textId="5910FF78" w:rsidR="000948EC" w:rsidRPr="00C61B5A" w:rsidRDefault="000948EC" w:rsidP="002C2AD0">
            <w:pPr>
              <w:jc w:val="both"/>
              <w:rPr>
                <w:rFonts w:eastAsia="Times New Roman"/>
                <w:bCs/>
                <w:color w:val="000000"/>
                <w:szCs w:val="22"/>
                <w:lang w:val="en-US"/>
              </w:rPr>
            </w:pPr>
            <w:r w:rsidRPr="00C61B5A">
              <w:rPr>
                <w:rFonts w:eastAsia="Times New Roman"/>
                <w:bCs/>
                <w:color w:val="000000"/>
                <w:szCs w:val="22"/>
                <w:lang w:val="en-US"/>
              </w:rPr>
              <w:t>159.11</w:t>
            </w:r>
          </w:p>
        </w:tc>
        <w:tc>
          <w:tcPr>
            <w:tcW w:w="2516" w:type="dxa"/>
            <w:shd w:val="clear" w:color="auto" w:fill="auto"/>
            <w:noWrap/>
          </w:tcPr>
          <w:p w14:paraId="057D6CCB" w14:textId="673D6A52" w:rsidR="000948EC" w:rsidRPr="00C61B5A" w:rsidRDefault="000948EC" w:rsidP="002C2AD0">
            <w:pPr>
              <w:jc w:val="both"/>
              <w:rPr>
                <w:rFonts w:eastAsia="Times New Roman"/>
                <w:bCs/>
                <w:color w:val="000000"/>
                <w:szCs w:val="22"/>
                <w:lang w:val="en-US"/>
              </w:rPr>
            </w:pPr>
            <w:r w:rsidRPr="00C61B5A">
              <w:rPr>
                <w:szCs w:val="22"/>
              </w:rPr>
              <w:t>There is no normative behaviour associated with the MU Beamformer field</w:t>
            </w:r>
          </w:p>
        </w:tc>
        <w:tc>
          <w:tcPr>
            <w:tcW w:w="2835" w:type="dxa"/>
            <w:shd w:val="clear" w:color="auto" w:fill="auto"/>
            <w:noWrap/>
          </w:tcPr>
          <w:p w14:paraId="37C35740" w14:textId="2E2BDE0C" w:rsidR="000948EC" w:rsidRPr="00C61B5A" w:rsidRDefault="000948EC" w:rsidP="002C2AD0">
            <w:pPr>
              <w:jc w:val="both"/>
              <w:rPr>
                <w:rFonts w:eastAsia="Times New Roman"/>
                <w:bCs/>
                <w:color w:val="000000"/>
                <w:szCs w:val="22"/>
                <w:lang w:val="en-US"/>
              </w:rPr>
            </w:pPr>
            <w:r w:rsidRPr="00C61B5A">
              <w:rPr>
                <w:szCs w:val="22"/>
              </w:rPr>
              <w:t>Add at the end of 27.6.2 (or in 27.6.3?) wording like "A STA shall not request MU-type or CQI feedback unless it has transmitted an HE PHY Capabilities Indication field with the MU Beamformer subfield equal to 1."</w:t>
            </w:r>
          </w:p>
        </w:tc>
        <w:tc>
          <w:tcPr>
            <w:tcW w:w="3379" w:type="dxa"/>
            <w:shd w:val="clear" w:color="auto" w:fill="auto"/>
            <w:vAlign w:val="center"/>
          </w:tcPr>
          <w:p w14:paraId="5BF7123B" w14:textId="77777777" w:rsidR="000948EC" w:rsidRPr="00C61B5A" w:rsidRDefault="000948EC" w:rsidP="002C2AD0">
            <w:pPr>
              <w:jc w:val="both"/>
              <w:rPr>
                <w:rFonts w:eastAsia="Times New Roman"/>
                <w:bCs/>
                <w:color w:val="000000"/>
                <w:szCs w:val="22"/>
                <w:lang w:val="en-US"/>
              </w:rPr>
            </w:pPr>
            <w:r w:rsidRPr="00C61B5A">
              <w:rPr>
                <w:rFonts w:eastAsia="Times New Roman"/>
                <w:bCs/>
                <w:color w:val="000000"/>
                <w:szCs w:val="22"/>
                <w:lang w:val="en-US"/>
              </w:rPr>
              <w:t>Reject—</w:t>
            </w:r>
          </w:p>
          <w:p w14:paraId="377F97BF" w14:textId="77777777" w:rsidR="003876B3" w:rsidRDefault="003876B3" w:rsidP="002C2AD0">
            <w:pPr>
              <w:jc w:val="both"/>
              <w:rPr>
                <w:szCs w:val="22"/>
              </w:rPr>
            </w:pPr>
          </w:p>
          <w:p w14:paraId="3083556D" w14:textId="3FB5AB76" w:rsidR="000948EC" w:rsidRPr="00C61B5A" w:rsidRDefault="000948EC" w:rsidP="002C2AD0">
            <w:pPr>
              <w:jc w:val="both"/>
              <w:rPr>
                <w:rFonts w:eastAsia="Times New Roman"/>
                <w:bCs/>
                <w:color w:val="000000"/>
                <w:szCs w:val="22"/>
                <w:lang w:val="en-US"/>
              </w:rPr>
            </w:pPr>
            <w:r w:rsidRPr="00C61B5A">
              <w:rPr>
                <w:szCs w:val="22"/>
              </w:rPr>
              <w:t xml:space="preserve">The spec. describes on </w:t>
            </w:r>
            <w:proofErr w:type="gramStart"/>
            <w:r w:rsidRPr="00C61B5A">
              <w:rPr>
                <w:szCs w:val="22"/>
              </w:rPr>
              <w:t>P:L::</w:t>
            </w:r>
            <w:proofErr w:type="gramEnd"/>
            <w:r w:rsidRPr="00C61B5A">
              <w:rPr>
                <w:szCs w:val="22"/>
              </w:rPr>
              <w:t>303:</w:t>
            </w:r>
            <w:r w:rsidR="00152E9F" w:rsidRPr="00C61B5A">
              <w:rPr>
                <w:szCs w:val="22"/>
              </w:rPr>
              <w:t>55</w:t>
            </w:r>
            <w:r w:rsidRPr="00C61B5A">
              <w:rPr>
                <w:szCs w:val="22"/>
              </w:rPr>
              <w:t xml:space="preserve">, the definition of </w:t>
            </w:r>
            <w:r w:rsidR="00152E9F" w:rsidRPr="00C61B5A">
              <w:rPr>
                <w:szCs w:val="22"/>
              </w:rPr>
              <w:t>M</w:t>
            </w:r>
            <w:r w:rsidRPr="00C61B5A">
              <w:rPr>
                <w:szCs w:val="22"/>
              </w:rPr>
              <w:t xml:space="preserve">U </w:t>
            </w:r>
            <w:proofErr w:type="spellStart"/>
            <w:r w:rsidRPr="00C61B5A">
              <w:rPr>
                <w:szCs w:val="22"/>
              </w:rPr>
              <w:t>beamfomer</w:t>
            </w:r>
            <w:proofErr w:type="spellEnd"/>
            <w:r w:rsidRPr="00C61B5A">
              <w:rPr>
                <w:szCs w:val="22"/>
              </w:rPr>
              <w:t xml:space="preserve"> (a STA with </w:t>
            </w:r>
            <w:r w:rsidR="00152E9F" w:rsidRPr="00C61B5A">
              <w:rPr>
                <w:szCs w:val="22"/>
              </w:rPr>
              <w:t>M</w:t>
            </w:r>
            <w:r w:rsidRPr="00C61B5A">
              <w:rPr>
                <w:szCs w:val="22"/>
              </w:rPr>
              <w:t xml:space="preserve">U Beamformer = 1). Then on </w:t>
            </w:r>
            <w:proofErr w:type="gramStart"/>
            <w:r w:rsidRPr="00C61B5A">
              <w:rPr>
                <w:szCs w:val="22"/>
              </w:rPr>
              <w:t>P:L::</w:t>
            </w:r>
            <w:proofErr w:type="gramEnd"/>
            <w:r w:rsidRPr="00C61B5A">
              <w:rPr>
                <w:szCs w:val="22"/>
              </w:rPr>
              <w:t>304:</w:t>
            </w:r>
            <w:r w:rsidR="00152E9F" w:rsidRPr="00C61B5A">
              <w:rPr>
                <w:szCs w:val="22"/>
              </w:rPr>
              <w:t>42</w:t>
            </w:r>
            <w:r w:rsidRPr="00C61B5A">
              <w:rPr>
                <w:szCs w:val="22"/>
              </w:rPr>
              <w:t xml:space="preserve">, behaviour of </w:t>
            </w:r>
            <w:r w:rsidR="00152E9F" w:rsidRPr="00C61B5A">
              <w:rPr>
                <w:szCs w:val="22"/>
              </w:rPr>
              <w:t>M</w:t>
            </w:r>
            <w:r w:rsidRPr="00C61B5A">
              <w:rPr>
                <w:szCs w:val="22"/>
              </w:rPr>
              <w:t>U beamformer is described.</w:t>
            </w:r>
          </w:p>
          <w:p w14:paraId="3970F0F8" w14:textId="77777777" w:rsidR="000948EC" w:rsidRPr="00C61B5A" w:rsidRDefault="000948EC" w:rsidP="002C2AD0">
            <w:pPr>
              <w:jc w:val="both"/>
              <w:rPr>
                <w:rFonts w:eastAsia="Times New Roman"/>
                <w:bCs/>
                <w:color w:val="000000"/>
                <w:szCs w:val="22"/>
                <w:lang w:val="en-US"/>
              </w:rPr>
            </w:pPr>
          </w:p>
        </w:tc>
      </w:tr>
    </w:tbl>
    <w:p w14:paraId="428B97C6" w14:textId="77777777" w:rsidR="00D34A52" w:rsidRPr="00C61B5A" w:rsidRDefault="00D34A52" w:rsidP="002C2AD0">
      <w:pPr>
        <w:jc w:val="both"/>
        <w:rPr>
          <w:b/>
          <w:i/>
          <w:szCs w:val="22"/>
          <w:lang w:eastAsia="ko-KR"/>
        </w:rPr>
      </w:pPr>
    </w:p>
    <w:p w14:paraId="004A6F4F" w14:textId="77777777" w:rsidR="00D34A52" w:rsidRPr="00C61B5A" w:rsidRDefault="00D34A52" w:rsidP="002C2AD0">
      <w:pPr>
        <w:jc w:val="both"/>
        <w:rPr>
          <w:b/>
          <w:i/>
          <w:szCs w:val="22"/>
          <w:lang w:eastAsia="ko-KR"/>
        </w:rPr>
      </w:pPr>
      <w:r w:rsidRPr="00C61B5A">
        <w:rPr>
          <w:b/>
          <w:i/>
          <w:szCs w:val="22"/>
          <w:lang w:eastAsia="ko-KR"/>
        </w:rPr>
        <w:t>Discussion</w:t>
      </w:r>
    </w:p>
    <w:p w14:paraId="429CDE26" w14:textId="77777777" w:rsidR="00D34A52" w:rsidRPr="00C61B5A" w:rsidRDefault="00D34A52" w:rsidP="002C2AD0">
      <w:pPr>
        <w:jc w:val="both"/>
        <w:rPr>
          <w:b/>
          <w:i/>
          <w:szCs w:val="22"/>
          <w:lang w:eastAsia="ko-KR"/>
        </w:rPr>
      </w:pPr>
      <w:r w:rsidRPr="00C61B5A">
        <w:rPr>
          <w:b/>
          <w:i/>
          <w:szCs w:val="22"/>
          <w:lang w:eastAsia="ko-KR"/>
        </w:rPr>
        <w:t>Table 9-262aa Subfields of the HE PHY Capabilities Information field</w:t>
      </w:r>
    </w:p>
    <w:p w14:paraId="17033758" w14:textId="0369A78B" w:rsidR="00D34A52" w:rsidRPr="00C61B5A" w:rsidRDefault="008358BC" w:rsidP="002C2AD0">
      <w:pPr>
        <w:jc w:val="both"/>
        <w:rPr>
          <w:b/>
          <w:i/>
          <w:szCs w:val="22"/>
          <w:lang w:eastAsia="ko-KR"/>
        </w:rPr>
      </w:pPr>
      <w:r w:rsidRPr="00C61B5A">
        <w:rPr>
          <w:b/>
          <w:i/>
          <w:noProof/>
          <w:szCs w:val="22"/>
          <w:lang w:eastAsia="ko-KR"/>
        </w:rPr>
        <w:drawing>
          <wp:inline distT="0" distB="0" distL="0" distR="0" wp14:anchorId="6C43BFA5" wp14:editId="589667C5">
            <wp:extent cx="5943600" cy="110746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107461"/>
                    </a:xfrm>
                    <a:prstGeom prst="rect">
                      <a:avLst/>
                    </a:prstGeom>
                    <a:noFill/>
                    <a:ln>
                      <a:noFill/>
                    </a:ln>
                  </pic:spPr>
                </pic:pic>
              </a:graphicData>
            </a:graphic>
          </wp:inline>
        </w:drawing>
      </w:r>
    </w:p>
    <w:p w14:paraId="716EDD2B" w14:textId="77777777" w:rsidR="00D34A52" w:rsidRPr="00C61B5A" w:rsidRDefault="00D34A52" w:rsidP="002C2AD0">
      <w:pPr>
        <w:jc w:val="both"/>
        <w:rPr>
          <w:b/>
          <w:i/>
          <w:szCs w:val="22"/>
          <w:lang w:eastAsia="ko-KR"/>
        </w:rPr>
      </w:pPr>
    </w:p>
    <w:p w14:paraId="4527AF49" w14:textId="77777777" w:rsidR="00D34A52" w:rsidRPr="00C61B5A" w:rsidRDefault="00D34A52" w:rsidP="002C2AD0">
      <w:pPr>
        <w:jc w:val="both"/>
        <w:rPr>
          <w:b/>
          <w:i/>
          <w:szCs w:val="22"/>
          <w:lang w:eastAsia="ko-KR"/>
        </w:rPr>
      </w:pPr>
    </w:p>
    <w:p w14:paraId="1E7C5651" w14:textId="18B0B1A6" w:rsidR="00D34A52" w:rsidRPr="00C61B5A" w:rsidRDefault="00D34A52" w:rsidP="002C2AD0">
      <w:pPr>
        <w:jc w:val="both"/>
        <w:rPr>
          <w:b/>
          <w:i/>
          <w:szCs w:val="22"/>
          <w:lang w:eastAsia="ko-KR"/>
        </w:rPr>
      </w:pPr>
      <w:r w:rsidRPr="00C61B5A">
        <w:rPr>
          <w:b/>
          <w:i/>
          <w:szCs w:val="22"/>
          <w:lang w:eastAsia="ko-KR"/>
        </w:rPr>
        <w:t>In Section 27.6.2 (Sounding sequences and support) there exists a definition of “</w:t>
      </w:r>
      <w:r w:rsidR="008358BC" w:rsidRPr="00C61B5A">
        <w:rPr>
          <w:b/>
          <w:i/>
          <w:szCs w:val="22"/>
          <w:lang w:eastAsia="ko-KR"/>
        </w:rPr>
        <w:t>M</w:t>
      </w:r>
      <w:r w:rsidRPr="00C61B5A">
        <w:rPr>
          <w:b/>
          <w:i/>
          <w:szCs w:val="22"/>
          <w:lang w:eastAsia="ko-KR"/>
        </w:rPr>
        <w:t xml:space="preserve">U beamformer” on </w:t>
      </w:r>
      <w:proofErr w:type="gramStart"/>
      <w:r w:rsidRPr="00C61B5A">
        <w:rPr>
          <w:b/>
          <w:i/>
          <w:szCs w:val="22"/>
          <w:lang w:eastAsia="ko-KR"/>
        </w:rPr>
        <w:t>P:L::</w:t>
      </w:r>
      <w:proofErr w:type="gramEnd"/>
      <w:r w:rsidRPr="00C61B5A">
        <w:rPr>
          <w:b/>
          <w:i/>
          <w:szCs w:val="22"/>
          <w:lang w:eastAsia="ko-KR"/>
        </w:rPr>
        <w:t>303:</w:t>
      </w:r>
      <w:r w:rsidR="008358BC" w:rsidRPr="00C61B5A">
        <w:rPr>
          <w:b/>
          <w:i/>
          <w:szCs w:val="22"/>
          <w:lang w:eastAsia="ko-KR"/>
        </w:rPr>
        <w:t>55</w:t>
      </w:r>
    </w:p>
    <w:p w14:paraId="23083041" w14:textId="167E25FB" w:rsidR="00D34A52" w:rsidRPr="00C61B5A" w:rsidRDefault="008358BC" w:rsidP="002C2AD0">
      <w:pPr>
        <w:jc w:val="both"/>
        <w:rPr>
          <w:b/>
          <w:i/>
          <w:szCs w:val="22"/>
          <w:lang w:eastAsia="ko-KR"/>
        </w:rPr>
      </w:pPr>
      <w:r w:rsidRPr="00C61B5A">
        <w:rPr>
          <w:b/>
          <w:i/>
          <w:noProof/>
          <w:szCs w:val="22"/>
          <w:lang w:eastAsia="ko-KR"/>
        </w:rPr>
        <w:drawing>
          <wp:inline distT="0" distB="0" distL="0" distR="0" wp14:anchorId="0AF015D3" wp14:editId="7391C1B8">
            <wp:extent cx="5943600" cy="1105432"/>
            <wp:effectExtent l="19050" t="19050" r="19050"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105432"/>
                    </a:xfrm>
                    <a:prstGeom prst="rect">
                      <a:avLst/>
                    </a:prstGeom>
                    <a:noFill/>
                    <a:ln>
                      <a:solidFill>
                        <a:schemeClr val="accent1"/>
                      </a:solidFill>
                    </a:ln>
                  </pic:spPr>
                </pic:pic>
              </a:graphicData>
            </a:graphic>
          </wp:inline>
        </w:drawing>
      </w:r>
    </w:p>
    <w:p w14:paraId="0C2FE464" w14:textId="55F24709" w:rsidR="00D34A52" w:rsidRPr="00C61B5A" w:rsidRDefault="00D34A52" w:rsidP="002C2AD0">
      <w:pPr>
        <w:jc w:val="both"/>
        <w:rPr>
          <w:b/>
          <w:i/>
          <w:szCs w:val="22"/>
          <w:lang w:eastAsia="ko-KR"/>
        </w:rPr>
      </w:pPr>
      <w:r w:rsidRPr="00C61B5A">
        <w:rPr>
          <w:b/>
          <w:i/>
          <w:szCs w:val="22"/>
          <w:lang w:eastAsia="ko-KR"/>
        </w:rPr>
        <w:t xml:space="preserve">Then, the behaviour of </w:t>
      </w:r>
      <w:r w:rsidR="008358BC" w:rsidRPr="00C61B5A">
        <w:rPr>
          <w:b/>
          <w:i/>
          <w:szCs w:val="22"/>
          <w:lang w:eastAsia="ko-KR"/>
        </w:rPr>
        <w:t>M</w:t>
      </w:r>
      <w:r w:rsidRPr="00C61B5A">
        <w:rPr>
          <w:b/>
          <w:i/>
          <w:szCs w:val="22"/>
          <w:lang w:eastAsia="ko-KR"/>
        </w:rPr>
        <w:t xml:space="preserve">U </w:t>
      </w:r>
      <w:proofErr w:type="spellStart"/>
      <w:r w:rsidRPr="00C61B5A">
        <w:rPr>
          <w:b/>
          <w:i/>
          <w:szCs w:val="22"/>
          <w:lang w:eastAsia="ko-KR"/>
        </w:rPr>
        <w:t>beamformee</w:t>
      </w:r>
      <w:proofErr w:type="spellEnd"/>
      <w:r w:rsidRPr="00C61B5A">
        <w:rPr>
          <w:b/>
          <w:i/>
          <w:szCs w:val="22"/>
          <w:lang w:eastAsia="ko-KR"/>
        </w:rPr>
        <w:t xml:space="preserve"> is described </w:t>
      </w:r>
      <w:proofErr w:type="gramStart"/>
      <w:r w:rsidRPr="00C61B5A">
        <w:rPr>
          <w:b/>
          <w:i/>
          <w:szCs w:val="22"/>
          <w:lang w:eastAsia="ko-KR"/>
        </w:rPr>
        <w:t>P:L::</w:t>
      </w:r>
      <w:proofErr w:type="gramEnd"/>
      <w:r w:rsidRPr="00C61B5A">
        <w:rPr>
          <w:b/>
          <w:i/>
          <w:szCs w:val="22"/>
          <w:lang w:eastAsia="ko-KR"/>
        </w:rPr>
        <w:t>304:</w:t>
      </w:r>
      <w:r w:rsidR="008358BC" w:rsidRPr="00C61B5A">
        <w:rPr>
          <w:b/>
          <w:i/>
          <w:szCs w:val="22"/>
          <w:lang w:eastAsia="ko-KR"/>
        </w:rPr>
        <w:t>42</w:t>
      </w:r>
    </w:p>
    <w:p w14:paraId="510057B6" w14:textId="77777777" w:rsidR="00D34A52" w:rsidRPr="00C61B5A" w:rsidRDefault="00D34A52" w:rsidP="002C2AD0">
      <w:pPr>
        <w:pStyle w:val="T"/>
        <w:rPr>
          <w:b/>
          <w:i/>
          <w:sz w:val="22"/>
          <w:szCs w:val="22"/>
        </w:rPr>
      </w:pPr>
      <w:r w:rsidRPr="00C61B5A">
        <w:rPr>
          <w:b/>
          <w:i/>
          <w:sz w:val="22"/>
          <w:szCs w:val="22"/>
        </w:rPr>
        <w:lastRenderedPageBreak/>
        <w:t>------------- Begin Text Changes ---------------</w:t>
      </w:r>
    </w:p>
    <w:p w14:paraId="1531BB2F" w14:textId="03EA51A5" w:rsidR="00D34A52" w:rsidRPr="00C61B5A" w:rsidRDefault="00D34A52" w:rsidP="002C2AD0">
      <w:pPr>
        <w:pStyle w:val="T"/>
        <w:rPr>
          <w:b/>
          <w:i/>
          <w:sz w:val="22"/>
          <w:szCs w:val="22"/>
        </w:rPr>
      </w:pPr>
      <w:r w:rsidRPr="00C61B5A">
        <w:rPr>
          <w:b/>
          <w:i/>
          <w:sz w:val="22"/>
          <w:szCs w:val="22"/>
        </w:rPr>
        <w:t>------------- End Text Changes ---------------</w:t>
      </w:r>
    </w:p>
    <w:p w14:paraId="07873714" w14:textId="77777777" w:rsidR="00BB04E4" w:rsidRPr="00C61B5A" w:rsidRDefault="00BB04E4"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BB04E4" w:rsidRPr="00C61B5A" w14:paraId="79253E6A" w14:textId="77777777" w:rsidTr="00E035F8">
        <w:trPr>
          <w:trHeight w:val="212"/>
        </w:trPr>
        <w:tc>
          <w:tcPr>
            <w:tcW w:w="810" w:type="dxa"/>
            <w:shd w:val="clear" w:color="auto" w:fill="auto"/>
            <w:noWrap/>
            <w:vAlign w:val="center"/>
            <w:hideMark/>
          </w:tcPr>
          <w:p w14:paraId="6958B3BC" w14:textId="77777777" w:rsidR="00BB04E4" w:rsidRPr="00C61B5A" w:rsidRDefault="00BB04E4"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0AF4195A" w14:textId="77777777" w:rsidR="00BB04E4" w:rsidRPr="00C61B5A" w:rsidRDefault="00BB04E4"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517D544E" w14:textId="77777777" w:rsidR="00BB04E4" w:rsidRPr="00C61B5A" w:rsidRDefault="00BB04E4"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50182088" w14:textId="77777777" w:rsidR="00BB04E4" w:rsidRPr="00C61B5A" w:rsidRDefault="00BB04E4"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48A4E656" w14:textId="77777777" w:rsidR="00BB04E4" w:rsidRPr="00C61B5A" w:rsidRDefault="00BB04E4"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D44FC6" w:rsidRPr="00C61B5A" w14:paraId="7D76749A" w14:textId="77777777" w:rsidTr="00E035F8">
        <w:trPr>
          <w:trHeight w:val="212"/>
        </w:trPr>
        <w:tc>
          <w:tcPr>
            <w:tcW w:w="810" w:type="dxa"/>
            <w:shd w:val="clear" w:color="auto" w:fill="auto"/>
            <w:noWrap/>
            <w:vAlign w:val="center"/>
          </w:tcPr>
          <w:p w14:paraId="24D86C29" w14:textId="32064B9C" w:rsidR="00D44FC6" w:rsidRPr="00C61B5A" w:rsidRDefault="00D44FC6" w:rsidP="002C2AD0">
            <w:pPr>
              <w:jc w:val="both"/>
              <w:rPr>
                <w:rFonts w:eastAsia="Times New Roman"/>
                <w:bCs/>
                <w:color w:val="000000"/>
                <w:szCs w:val="22"/>
                <w:lang w:val="en-US"/>
              </w:rPr>
            </w:pPr>
            <w:r w:rsidRPr="00C61B5A">
              <w:rPr>
                <w:rFonts w:eastAsia="Times New Roman"/>
                <w:bCs/>
                <w:color w:val="000000"/>
                <w:szCs w:val="22"/>
                <w:lang w:val="en-US"/>
              </w:rPr>
              <w:t>16316</w:t>
            </w:r>
          </w:p>
        </w:tc>
        <w:tc>
          <w:tcPr>
            <w:tcW w:w="630" w:type="dxa"/>
            <w:shd w:val="clear" w:color="auto" w:fill="auto"/>
            <w:noWrap/>
            <w:vAlign w:val="center"/>
          </w:tcPr>
          <w:p w14:paraId="1DBA19EB" w14:textId="4A4F58FC" w:rsidR="00D44FC6" w:rsidRPr="00C61B5A" w:rsidRDefault="00D44FC6" w:rsidP="002C2AD0">
            <w:pPr>
              <w:jc w:val="both"/>
              <w:rPr>
                <w:rFonts w:eastAsia="Times New Roman"/>
                <w:bCs/>
                <w:color w:val="000000"/>
                <w:szCs w:val="22"/>
                <w:lang w:val="en-US"/>
              </w:rPr>
            </w:pPr>
            <w:r w:rsidRPr="00C61B5A">
              <w:rPr>
                <w:rFonts w:eastAsia="Times New Roman"/>
                <w:bCs/>
                <w:color w:val="000000"/>
                <w:szCs w:val="22"/>
                <w:lang w:val="en-US"/>
              </w:rPr>
              <w:t>157.26</w:t>
            </w:r>
          </w:p>
        </w:tc>
        <w:tc>
          <w:tcPr>
            <w:tcW w:w="2516" w:type="dxa"/>
            <w:shd w:val="clear" w:color="auto" w:fill="auto"/>
            <w:noWrap/>
          </w:tcPr>
          <w:p w14:paraId="0781089E" w14:textId="3410CA10" w:rsidR="00D44FC6" w:rsidRPr="00C61B5A" w:rsidRDefault="00D44FC6" w:rsidP="002C2AD0">
            <w:pPr>
              <w:jc w:val="both"/>
              <w:rPr>
                <w:rFonts w:eastAsia="Times New Roman"/>
                <w:bCs/>
                <w:color w:val="000000"/>
                <w:szCs w:val="22"/>
                <w:lang w:val="en-US"/>
              </w:rPr>
            </w:pPr>
            <w:r w:rsidRPr="00C61B5A">
              <w:rPr>
                <w:szCs w:val="22"/>
              </w:rPr>
              <w:t xml:space="preserve">There is no normative behaviour associated with the LDPC Coding </w:t>
            </w:r>
            <w:proofErr w:type="gramStart"/>
            <w:r w:rsidRPr="00C61B5A">
              <w:rPr>
                <w:szCs w:val="22"/>
              </w:rPr>
              <w:t>In</w:t>
            </w:r>
            <w:proofErr w:type="gramEnd"/>
            <w:r w:rsidRPr="00C61B5A">
              <w:rPr>
                <w:szCs w:val="22"/>
              </w:rPr>
              <w:t xml:space="preserve"> Payload bit</w:t>
            </w:r>
          </w:p>
        </w:tc>
        <w:tc>
          <w:tcPr>
            <w:tcW w:w="2835" w:type="dxa"/>
            <w:shd w:val="clear" w:color="auto" w:fill="auto"/>
            <w:noWrap/>
          </w:tcPr>
          <w:p w14:paraId="7C344A5F" w14:textId="032492AB" w:rsidR="00D44FC6" w:rsidRPr="00C61B5A" w:rsidRDefault="00D44FC6" w:rsidP="002C2AD0">
            <w:pPr>
              <w:jc w:val="both"/>
              <w:rPr>
                <w:rFonts w:eastAsia="Times New Roman"/>
                <w:bCs/>
                <w:color w:val="000000"/>
                <w:szCs w:val="22"/>
                <w:lang w:val="en-US"/>
              </w:rPr>
            </w:pPr>
            <w:r w:rsidRPr="00C61B5A">
              <w:rPr>
                <w:szCs w:val="22"/>
              </w:rPr>
              <w:t>Add something in Clause 28 to say that a STA shall not transmit using LDPC coding in an HE PPDU if it has not received from the peer STA(s) an HE PHY Caps with LDPC Coding equal to 1</w:t>
            </w:r>
          </w:p>
        </w:tc>
        <w:tc>
          <w:tcPr>
            <w:tcW w:w="3379" w:type="dxa"/>
            <w:shd w:val="clear" w:color="auto" w:fill="auto"/>
            <w:vAlign w:val="center"/>
          </w:tcPr>
          <w:p w14:paraId="7D160875" w14:textId="3A6DA9DA" w:rsidR="00D44FC6" w:rsidRPr="00C61B5A" w:rsidRDefault="007451E5" w:rsidP="002C2AD0">
            <w:pPr>
              <w:jc w:val="both"/>
              <w:rPr>
                <w:rFonts w:eastAsia="Times New Roman"/>
                <w:bCs/>
                <w:color w:val="000000"/>
                <w:szCs w:val="22"/>
                <w:lang w:val="en-US"/>
              </w:rPr>
            </w:pPr>
            <w:r w:rsidRPr="00C61B5A">
              <w:rPr>
                <w:rFonts w:eastAsia="Times New Roman"/>
                <w:bCs/>
                <w:color w:val="000000"/>
                <w:szCs w:val="22"/>
                <w:lang w:val="en-US"/>
              </w:rPr>
              <w:t>Revised</w:t>
            </w:r>
            <w:r w:rsidR="00D44FC6" w:rsidRPr="00C61B5A">
              <w:rPr>
                <w:rFonts w:eastAsia="Times New Roman"/>
                <w:bCs/>
                <w:color w:val="000000"/>
                <w:szCs w:val="22"/>
                <w:lang w:val="en-US"/>
              </w:rPr>
              <w:t>—</w:t>
            </w:r>
          </w:p>
          <w:p w14:paraId="1054C047" w14:textId="77777777" w:rsidR="003876B3" w:rsidRDefault="003876B3" w:rsidP="002C2AD0">
            <w:pPr>
              <w:jc w:val="both"/>
              <w:rPr>
                <w:szCs w:val="22"/>
              </w:rPr>
            </w:pPr>
          </w:p>
          <w:p w14:paraId="514F6AB6" w14:textId="34ED57F9" w:rsidR="00D44FC6" w:rsidRPr="00C61B5A" w:rsidRDefault="001E1B27" w:rsidP="002C2AD0">
            <w:pPr>
              <w:jc w:val="both"/>
              <w:rPr>
                <w:rFonts w:eastAsia="Times New Roman"/>
                <w:bCs/>
                <w:color w:val="000000"/>
                <w:szCs w:val="22"/>
                <w:lang w:val="en-US"/>
              </w:rPr>
            </w:pPr>
            <w:r w:rsidRPr="00C61B5A">
              <w:rPr>
                <w:szCs w:val="22"/>
              </w:rPr>
              <w:t>Normative behaviour is missing. The resolution is to add the behaviour.</w:t>
            </w:r>
          </w:p>
          <w:p w14:paraId="1B8A466C" w14:textId="77777777" w:rsidR="001E1B27" w:rsidRPr="00C61B5A" w:rsidRDefault="001E1B27" w:rsidP="002C2AD0">
            <w:pPr>
              <w:jc w:val="both"/>
              <w:rPr>
                <w:szCs w:val="22"/>
              </w:rPr>
            </w:pPr>
          </w:p>
          <w:p w14:paraId="0E1B6B1C" w14:textId="7025858A" w:rsidR="001E1B27" w:rsidRPr="00C61B5A" w:rsidRDefault="001E1B27" w:rsidP="002C2AD0">
            <w:pPr>
              <w:jc w:val="both"/>
              <w:rPr>
                <w:rFonts w:eastAsia="Times New Roman"/>
                <w:bCs/>
                <w:color w:val="000000"/>
                <w:szCs w:val="22"/>
                <w:lang w:val="en-US"/>
              </w:rPr>
            </w:pPr>
            <w:proofErr w:type="spellStart"/>
            <w:r w:rsidRPr="00C61B5A">
              <w:rPr>
                <w:szCs w:val="22"/>
              </w:rPr>
              <w:t>TGax</w:t>
            </w:r>
            <w:proofErr w:type="spellEnd"/>
            <w:r w:rsidRPr="00C61B5A">
              <w:rPr>
                <w:szCs w:val="22"/>
              </w:rPr>
              <w:t xml:space="preserve"> Editor: make changes for CID 16316 according to 11-18-</w:t>
            </w:r>
            <w:r w:rsidR="003876B3">
              <w:rPr>
                <w:szCs w:val="22"/>
              </w:rPr>
              <w:t>1460</w:t>
            </w:r>
            <w:r w:rsidRPr="00C61B5A">
              <w:rPr>
                <w:szCs w:val="22"/>
              </w:rPr>
              <w:t>-0</w:t>
            </w:r>
            <w:r w:rsidR="00E41E8D">
              <w:rPr>
                <w:szCs w:val="22"/>
              </w:rPr>
              <w:t>1</w:t>
            </w:r>
            <w:r w:rsidRPr="00C61B5A">
              <w:rPr>
                <w:szCs w:val="22"/>
              </w:rPr>
              <w:t>-00ax</w:t>
            </w:r>
          </w:p>
          <w:p w14:paraId="6EBDABD8" w14:textId="77777777" w:rsidR="00D44FC6" w:rsidRPr="00C61B5A" w:rsidRDefault="00D44FC6" w:rsidP="002C2AD0">
            <w:pPr>
              <w:jc w:val="both"/>
              <w:rPr>
                <w:rFonts w:eastAsia="Times New Roman"/>
                <w:bCs/>
                <w:color w:val="000000"/>
                <w:szCs w:val="22"/>
                <w:lang w:val="en-US"/>
              </w:rPr>
            </w:pPr>
          </w:p>
        </w:tc>
      </w:tr>
    </w:tbl>
    <w:p w14:paraId="5B97981C" w14:textId="77777777" w:rsidR="00BB04E4" w:rsidRPr="00C61B5A" w:rsidRDefault="00BB04E4" w:rsidP="002C2AD0">
      <w:pPr>
        <w:jc w:val="both"/>
        <w:rPr>
          <w:b/>
          <w:i/>
          <w:szCs w:val="22"/>
          <w:lang w:eastAsia="ko-KR"/>
        </w:rPr>
      </w:pPr>
    </w:p>
    <w:p w14:paraId="61B34A01" w14:textId="77777777" w:rsidR="00BB04E4" w:rsidRPr="00C61B5A" w:rsidRDefault="00BB04E4" w:rsidP="002C2AD0">
      <w:pPr>
        <w:jc w:val="both"/>
        <w:rPr>
          <w:b/>
          <w:i/>
          <w:szCs w:val="22"/>
          <w:lang w:eastAsia="ko-KR"/>
        </w:rPr>
      </w:pPr>
      <w:r w:rsidRPr="00C61B5A">
        <w:rPr>
          <w:b/>
          <w:i/>
          <w:szCs w:val="22"/>
          <w:lang w:eastAsia="ko-KR"/>
        </w:rPr>
        <w:t>Discussion</w:t>
      </w:r>
    </w:p>
    <w:p w14:paraId="362AEE6B" w14:textId="77777777" w:rsidR="00BB04E4" w:rsidRPr="00C61B5A" w:rsidRDefault="00BB04E4" w:rsidP="002C2AD0">
      <w:pPr>
        <w:jc w:val="both"/>
        <w:rPr>
          <w:b/>
          <w:i/>
          <w:szCs w:val="22"/>
          <w:lang w:eastAsia="ko-KR"/>
        </w:rPr>
      </w:pPr>
      <w:r w:rsidRPr="00C61B5A">
        <w:rPr>
          <w:b/>
          <w:i/>
          <w:szCs w:val="22"/>
          <w:lang w:eastAsia="ko-KR"/>
        </w:rPr>
        <w:t>Table 9-262aa Subfields of the HE PHY Capabilities Information field</w:t>
      </w:r>
    </w:p>
    <w:p w14:paraId="2809417C" w14:textId="08C7A7E1" w:rsidR="00BB04E4" w:rsidRPr="00C61B5A" w:rsidRDefault="0013093C" w:rsidP="002C2AD0">
      <w:pPr>
        <w:jc w:val="both"/>
        <w:rPr>
          <w:b/>
          <w:i/>
          <w:szCs w:val="22"/>
          <w:lang w:eastAsia="ko-KR"/>
        </w:rPr>
      </w:pPr>
      <w:r w:rsidRPr="00C61B5A">
        <w:rPr>
          <w:b/>
          <w:i/>
          <w:noProof/>
          <w:szCs w:val="22"/>
          <w:lang w:eastAsia="ko-KR"/>
        </w:rPr>
        <w:drawing>
          <wp:inline distT="0" distB="0" distL="0" distR="0" wp14:anchorId="452EC373" wp14:editId="33EDFDFE">
            <wp:extent cx="5943600" cy="1256518"/>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256518"/>
                    </a:xfrm>
                    <a:prstGeom prst="rect">
                      <a:avLst/>
                    </a:prstGeom>
                    <a:noFill/>
                    <a:ln>
                      <a:noFill/>
                    </a:ln>
                  </pic:spPr>
                </pic:pic>
              </a:graphicData>
            </a:graphic>
          </wp:inline>
        </w:drawing>
      </w:r>
    </w:p>
    <w:p w14:paraId="0621F7E2" w14:textId="77777777" w:rsidR="00BB04E4" w:rsidRPr="00C61B5A" w:rsidRDefault="00BB04E4" w:rsidP="002C2AD0">
      <w:pPr>
        <w:jc w:val="both"/>
        <w:rPr>
          <w:b/>
          <w:i/>
          <w:szCs w:val="22"/>
          <w:lang w:eastAsia="ko-KR"/>
        </w:rPr>
      </w:pPr>
    </w:p>
    <w:p w14:paraId="602F57AA" w14:textId="77777777" w:rsidR="00BB04E4" w:rsidRPr="00C61B5A" w:rsidRDefault="00BB04E4" w:rsidP="002C2AD0">
      <w:pPr>
        <w:jc w:val="both"/>
        <w:rPr>
          <w:b/>
          <w:i/>
          <w:szCs w:val="22"/>
          <w:lang w:eastAsia="ko-KR"/>
        </w:rPr>
      </w:pPr>
    </w:p>
    <w:p w14:paraId="1343084D" w14:textId="5D1C015C" w:rsidR="00BB04E4" w:rsidRPr="00C61B5A" w:rsidRDefault="00FE5838" w:rsidP="002C2AD0">
      <w:pPr>
        <w:jc w:val="both"/>
        <w:rPr>
          <w:b/>
          <w:i/>
          <w:szCs w:val="22"/>
          <w:lang w:eastAsia="ko-KR"/>
        </w:rPr>
      </w:pPr>
      <w:r w:rsidRPr="00C61B5A">
        <w:rPr>
          <w:b/>
          <w:i/>
          <w:szCs w:val="22"/>
          <w:lang w:eastAsia="ko-KR"/>
        </w:rPr>
        <w:t>S</w:t>
      </w:r>
      <w:r w:rsidR="00BB04E4" w:rsidRPr="00C61B5A">
        <w:rPr>
          <w:b/>
          <w:i/>
          <w:szCs w:val="22"/>
          <w:lang w:eastAsia="ko-KR"/>
        </w:rPr>
        <w:t xml:space="preserve">ection </w:t>
      </w:r>
      <w:r w:rsidRPr="00C61B5A">
        <w:rPr>
          <w:b/>
          <w:i/>
          <w:szCs w:val="22"/>
          <w:lang w:eastAsia="ko-KR"/>
        </w:rPr>
        <w:t>10.15</w:t>
      </w:r>
      <w:r w:rsidR="00BB04E4" w:rsidRPr="00C61B5A">
        <w:rPr>
          <w:b/>
          <w:i/>
          <w:szCs w:val="22"/>
          <w:lang w:eastAsia="ko-KR"/>
        </w:rPr>
        <w:t xml:space="preserve"> (</w:t>
      </w:r>
      <w:r w:rsidRPr="00C61B5A">
        <w:rPr>
          <w:b/>
          <w:i/>
          <w:szCs w:val="22"/>
          <w:lang w:eastAsia="ko-KR"/>
        </w:rPr>
        <w:t>LDPC operation</w:t>
      </w:r>
      <w:r w:rsidR="00BB04E4" w:rsidRPr="00C61B5A">
        <w:rPr>
          <w:b/>
          <w:i/>
          <w:szCs w:val="22"/>
          <w:lang w:eastAsia="ko-KR"/>
        </w:rPr>
        <w:t>)</w:t>
      </w:r>
      <w:r w:rsidRPr="00C61B5A">
        <w:rPr>
          <w:b/>
          <w:i/>
          <w:szCs w:val="22"/>
          <w:lang w:eastAsia="ko-KR"/>
        </w:rPr>
        <w:t xml:space="preserve"> in REVmdD1.0, describes FEC_CODING setting permissible for transmitting frames to a STA.</w:t>
      </w:r>
      <w:r w:rsidR="00FB1D6B" w:rsidRPr="00C61B5A">
        <w:rPr>
          <w:b/>
          <w:i/>
          <w:szCs w:val="22"/>
          <w:lang w:eastAsia="ko-KR"/>
        </w:rPr>
        <w:t xml:space="preserve"> </w:t>
      </w:r>
    </w:p>
    <w:p w14:paraId="0DA228E6" w14:textId="42647EA2" w:rsidR="00BB04E4" w:rsidRPr="00C61B5A" w:rsidRDefault="00FE5838" w:rsidP="002C2AD0">
      <w:pPr>
        <w:jc w:val="both"/>
        <w:rPr>
          <w:b/>
          <w:i/>
          <w:szCs w:val="22"/>
          <w:lang w:eastAsia="ko-KR"/>
        </w:rPr>
      </w:pPr>
      <w:r w:rsidRPr="00C61B5A">
        <w:rPr>
          <w:b/>
          <w:i/>
          <w:noProof/>
          <w:szCs w:val="22"/>
          <w:lang w:eastAsia="ko-KR"/>
        </w:rPr>
        <w:drawing>
          <wp:inline distT="0" distB="0" distL="0" distR="0" wp14:anchorId="7716F6E3" wp14:editId="61E694A8">
            <wp:extent cx="5943600" cy="3559375"/>
            <wp:effectExtent l="19050" t="19050" r="19050" b="222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559375"/>
                    </a:xfrm>
                    <a:prstGeom prst="rect">
                      <a:avLst/>
                    </a:prstGeom>
                    <a:noFill/>
                    <a:ln>
                      <a:solidFill>
                        <a:schemeClr val="accent1"/>
                      </a:solidFill>
                    </a:ln>
                  </pic:spPr>
                </pic:pic>
              </a:graphicData>
            </a:graphic>
          </wp:inline>
        </w:drawing>
      </w:r>
    </w:p>
    <w:p w14:paraId="2107B881" w14:textId="0F260575" w:rsidR="00BB04E4" w:rsidRPr="00C61B5A" w:rsidRDefault="00FB1D6B" w:rsidP="002C2AD0">
      <w:pPr>
        <w:jc w:val="both"/>
        <w:rPr>
          <w:b/>
          <w:i/>
          <w:szCs w:val="22"/>
          <w:lang w:eastAsia="ko-KR"/>
        </w:rPr>
      </w:pPr>
      <w:r w:rsidRPr="00C61B5A">
        <w:rPr>
          <w:b/>
          <w:i/>
          <w:szCs w:val="22"/>
          <w:lang w:eastAsia="ko-KR"/>
        </w:rPr>
        <w:t>HE behaviour is to be added to this section.</w:t>
      </w:r>
    </w:p>
    <w:p w14:paraId="40ABFFF1" w14:textId="6013A35F" w:rsidR="004E2513" w:rsidRPr="00C61B5A" w:rsidRDefault="004E2513" w:rsidP="002C2AD0">
      <w:pPr>
        <w:jc w:val="both"/>
        <w:rPr>
          <w:b/>
          <w:i/>
          <w:szCs w:val="22"/>
          <w:lang w:eastAsia="ko-KR"/>
        </w:rPr>
      </w:pPr>
      <w:r w:rsidRPr="00C61B5A">
        <w:rPr>
          <w:b/>
          <w:i/>
          <w:szCs w:val="22"/>
          <w:lang w:eastAsia="ko-KR"/>
        </w:rPr>
        <w:lastRenderedPageBreak/>
        <w:t>Furthermore, 28.3.11.5 (Coding) in 11ax D3.0 requires slight improvement.</w:t>
      </w:r>
    </w:p>
    <w:p w14:paraId="403DE223" w14:textId="0CD4542F" w:rsidR="00BB04E4" w:rsidRPr="00C61B5A" w:rsidRDefault="00BB04E4" w:rsidP="002C2AD0">
      <w:pPr>
        <w:pStyle w:val="T"/>
        <w:rPr>
          <w:b/>
          <w:i/>
          <w:sz w:val="22"/>
          <w:szCs w:val="22"/>
        </w:rPr>
      </w:pPr>
      <w:r w:rsidRPr="00C61B5A">
        <w:rPr>
          <w:b/>
          <w:i/>
          <w:sz w:val="22"/>
          <w:szCs w:val="22"/>
        </w:rPr>
        <w:t>------------- Begin Text Changes ---------------</w:t>
      </w:r>
    </w:p>
    <w:p w14:paraId="60D725E9" w14:textId="7DFE9CA5" w:rsidR="00D337B0" w:rsidRPr="00421228" w:rsidRDefault="00D337B0" w:rsidP="002C2AD0">
      <w:pPr>
        <w:pStyle w:val="T"/>
        <w:rPr>
          <w:b/>
          <w:i/>
          <w:sz w:val="22"/>
          <w:szCs w:val="22"/>
        </w:rPr>
      </w:pPr>
      <w:r w:rsidRPr="00421228">
        <w:rPr>
          <w:b/>
          <w:i/>
          <w:sz w:val="22"/>
          <w:szCs w:val="22"/>
          <w:highlight w:val="yellow"/>
        </w:rPr>
        <w:t xml:space="preserve">To </w:t>
      </w:r>
      <w:proofErr w:type="spellStart"/>
      <w:r w:rsidRPr="00421228">
        <w:rPr>
          <w:b/>
          <w:i/>
          <w:sz w:val="22"/>
          <w:szCs w:val="22"/>
          <w:highlight w:val="yellow"/>
        </w:rPr>
        <w:t>TGax</w:t>
      </w:r>
      <w:proofErr w:type="spellEnd"/>
      <w:r w:rsidRPr="00421228">
        <w:rPr>
          <w:b/>
          <w:i/>
          <w:sz w:val="22"/>
          <w:szCs w:val="22"/>
          <w:highlight w:val="yellow"/>
        </w:rPr>
        <w:t xml:space="preserve"> editor</w:t>
      </w:r>
      <w:r w:rsidRPr="00421228">
        <w:rPr>
          <w:sz w:val="22"/>
          <w:szCs w:val="22"/>
        </w:rPr>
        <w:t xml:space="preserve">:  </w:t>
      </w:r>
      <w:r w:rsidR="0085430E" w:rsidRPr="00421228">
        <w:rPr>
          <w:sz w:val="22"/>
          <w:szCs w:val="22"/>
        </w:rPr>
        <w:t xml:space="preserve">Create a section </w:t>
      </w:r>
      <w:r w:rsidRPr="00421228">
        <w:rPr>
          <w:sz w:val="22"/>
          <w:szCs w:val="22"/>
        </w:rPr>
        <w:t>10.15 (LDPC operation)</w:t>
      </w:r>
      <w:r w:rsidR="0085430E" w:rsidRPr="00421228">
        <w:rPr>
          <w:sz w:val="22"/>
          <w:szCs w:val="22"/>
        </w:rPr>
        <w:t xml:space="preserve"> in 11ax D3.0</w:t>
      </w:r>
      <w:r w:rsidRPr="00421228">
        <w:rPr>
          <w:sz w:val="22"/>
          <w:szCs w:val="22"/>
        </w:rPr>
        <w:t xml:space="preserve"> </w:t>
      </w:r>
      <w:r w:rsidR="0085430E" w:rsidRPr="00421228">
        <w:rPr>
          <w:sz w:val="22"/>
          <w:szCs w:val="22"/>
        </w:rPr>
        <w:t>corresponding to section 10.15</w:t>
      </w:r>
      <w:proofErr w:type="gramStart"/>
      <w:r w:rsidR="0085430E" w:rsidRPr="00421228">
        <w:rPr>
          <w:sz w:val="22"/>
          <w:szCs w:val="22"/>
        </w:rPr>
        <w:t>( LDPC</w:t>
      </w:r>
      <w:proofErr w:type="gramEnd"/>
      <w:r w:rsidR="0085430E" w:rsidRPr="00421228">
        <w:rPr>
          <w:sz w:val="22"/>
          <w:szCs w:val="22"/>
        </w:rPr>
        <w:t xml:space="preserve"> Operation </w:t>
      </w:r>
      <w:r w:rsidRPr="00421228">
        <w:rPr>
          <w:sz w:val="22"/>
          <w:szCs w:val="22"/>
        </w:rPr>
        <w:t xml:space="preserve"> REVmd_D1.0</w:t>
      </w:r>
      <w:r w:rsidR="0085430E" w:rsidRPr="00421228">
        <w:rPr>
          <w:sz w:val="22"/>
          <w:szCs w:val="22"/>
        </w:rPr>
        <w:t>). Add the following text to the new section</w:t>
      </w:r>
    </w:p>
    <w:p w14:paraId="2BCC6E3D" w14:textId="39454AD3" w:rsidR="0085430E" w:rsidRPr="00C61B5A" w:rsidRDefault="0085430E" w:rsidP="002C2AD0">
      <w:pPr>
        <w:pStyle w:val="T"/>
        <w:rPr>
          <w:b/>
          <w:i/>
          <w:color w:val="auto"/>
          <w:sz w:val="22"/>
          <w:szCs w:val="22"/>
          <w:highlight w:val="yellow"/>
        </w:rPr>
      </w:pPr>
      <w:r w:rsidRPr="00C61B5A">
        <w:rPr>
          <w:b/>
          <w:i/>
          <w:color w:val="FF0000"/>
          <w:sz w:val="22"/>
          <w:szCs w:val="22"/>
        </w:rPr>
        <w:t xml:space="preserve">10.15 LDPC Operation </w:t>
      </w:r>
      <w:r w:rsidRPr="00C61B5A">
        <w:rPr>
          <w:b/>
          <w:i/>
          <w:color w:val="auto"/>
          <w:sz w:val="22"/>
          <w:szCs w:val="22"/>
          <w:highlight w:val="yellow"/>
        </w:rPr>
        <w:t>(CID16316)</w:t>
      </w:r>
    </w:p>
    <w:p w14:paraId="225A1EA5" w14:textId="07EEAF89" w:rsidR="00F07856" w:rsidRPr="00C61B5A" w:rsidRDefault="00F07856" w:rsidP="002C2AD0">
      <w:pPr>
        <w:pStyle w:val="T"/>
        <w:rPr>
          <w:color w:val="FF0000"/>
          <w:sz w:val="22"/>
          <w:szCs w:val="22"/>
        </w:rPr>
      </w:pPr>
      <w:r w:rsidRPr="00C61B5A">
        <w:rPr>
          <w:color w:val="FF0000"/>
          <w:sz w:val="22"/>
          <w:szCs w:val="22"/>
        </w:rPr>
        <w:t>A</w:t>
      </w:r>
      <w:r w:rsidR="00A7715A" w:rsidRPr="00C61B5A">
        <w:rPr>
          <w:color w:val="FF0000"/>
          <w:sz w:val="22"/>
          <w:szCs w:val="22"/>
        </w:rPr>
        <w:t>n HE STA shall not transmit a frame with the TXVECTOR parameter FORMAT set to HE_SU, HE_ER_SU</w:t>
      </w:r>
      <w:r w:rsidR="0085430E" w:rsidRPr="00C61B5A">
        <w:rPr>
          <w:color w:val="FF0000"/>
          <w:sz w:val="22"/>
          <w:szCs w:val="22"/>
        </w:rPr>
        <w:t>,</w:t>
      </w:r>
      <w:r w:rsidR="00A7715A" w:rsidRPr="00C61B5A">
        <w:rPr>
          <w:color w:val="FF0000"/>
          <w:sz w:val="22"/>
          <w:szCs w:val="22"/>
        </w:rPr>
        <w:t xml:space="preserve"> HE_MU</w:t>
      </w:r>
      <w:r w:rsidR="0085430E" w:rsidRPr="00C61B5A">
        <w:rPr>
          <w:color w:val="FF0000"/>
          <w:sz w:val="22"/>
          <w:szCs w:val="22"/>
        </w:rPr>
        <w:t xml:space="preserve">, </w:t>
      </w:r>
      <w:r w:rsidR="007B2555">
        <w:rPr>
          <w:color w:val="FF0000"/>
          <w:sz w:val="22"/>
          <w:szCs w:val="22"/>
        </w:rPr>
        <w:t>or</w:t>
      </w:r>
      <w:r w:rsidR="0085430E" w:rsidRPr="00C61B5A">
        <w:rPr>
          <w:color w:val="FF0000"/>
          <w:sz w:val="22"/>
          <w:szCs w:val="22"/>
        </w:rPr>
        <w:t xml:space="preserve"> HE_TB </w:t>
      </w:r>
      <w:r w:rsidR="00A7715A" w:rsidRPr="00C61B5A">
        <w:rPr>
          <w:color w:val="FF0000"/>
          <w:sz w:val="22"/>
          <w:szCs w:val="22"/>
        </w:rPr>
        <w:t xml:space="preserve"> and the TXVECTOR parameter FEC_CODING set to LDPC_CODING unless the RA of the frame corresponds to an HE STA for which the LDPC Coding In Payload subfield of the HE Capabilities element received from that STA contained a value of 1 and dot11HELPDCCodingInPayloadActivated is true.</w:t>
      </w:r>
    </w:p>
    <w:p w14:paraId="367A018E" w14:textId="3FD9A8B5" w:rsidR="00206D45" w:rsidRPr="00C61B5A" w:rsidRDefault="00206D45" w:rsidP="002C2AD0">
      <w:pPr>
        <w:pStyle w:val="T"/>
        <w:rPr>
          <w:b/>
          <w:color w:val="auto"/>
          <w:sz w:val="22"/>
          <w:szCs w:val="22"/>
        </w:rPr>
      </w:pPr>
      <w:r w:rsidRPr="00C61B5A">
        <w:rPr>
          <w:b/>
          <w:color w:val="auto"/>
          <w:sz w:val="22"/>
          <w:szCs w:val="22"/>
        </w:rPr>
        <w:t>28.3.11.5 Coding</w:t>
      </w:r>
    </w:p>
    <w:p w14:paraId="48AE4699" w14:textId="1C211F9C" w:rsidR="00D337B0" w:rsidRPr="00C61B5A" w:rsidRDefault="0066522D" w:rsidP="002C2AD0">
      <w:pPr>
        <w:pStyle w:val="T"/>
        <w:rPr>
          <w:b/>
          <w:i/>
          <w:sz w:val="22"/>
          <w:szCs w:val="22"/>
        </w:rPr>
      </w:pPr>
      <w:r w:rsidRPr="00C61B5A">
        <w:rPr>
          <w:sz w:val="22"/>
          <w:szCs w:val="22"/>
        </w:rPr>
        <w:t>LDPC is the only FEC coding scheme in the HE PPDU Data field for a 484-, 996-, and 2</w:t>
      </w:r>
      <w:r w:rsidRPr="00C61B5A">
        <w:rPr>
          <w:sz w:val="22"/>
          <w:szCs w:val="22"/>
        </w:rPr>
        <w:t>996-tone RU. LDPC is the only FEC coding scheme in the HE PPDU Data field for HE-MCSs 10 and 11 in a 242- 484-, 996- and 2</w:t>
      </w:r>
      <w:r w:rsidRPr="00C61B5A">
        <w:rPr>
          <w:sz w:val="22"/>
          <w:szCs w:val="22"/>
        </w:rPr>
        <w:t xml:space="preserve">996-tone RU. Support of BCC code is limited to less than or equal to four spatial streams and MCS 0 to MCS 9 (per user in case of MU-MIMO), and is mandatory (for both transmit and receive) for RU sizes less than or equal to a 242-tone RU. </w:t>
      </w:r>
      <w:r w:rsidR="00E53374" w:rsidRPr="00C61B5A">
        <w:rPr>
          <w:color w:val="FF0000"/>
          <w:sz w:val="22"/>
          <w:szCs w:val="22"/>
        </w:rPr>
        <w:t xml:space="preserve">LDPC Coding </w:t>
      </w:r>
      <w:proofErr w:type="gramStart"/>
      <w:r w:rsidR="00E53374" w:rsidRPr="00C61B5A">
        <w:rPr>
          <w:color w:val="FF0000"/>
          <w:sz w:val="22"/>
          <w:szCs w:val="22"/>
        </w:rPr>
        <w:t>In</w:t>
      </w:r>
      <w:proofErr w:type="gramEnd"/>
      <w:r w:rsidR="00E53374" w:rsidRPr="00C61B5A">
        <w:rPr>
          <w:color w:val="FF0000"/>
          <w:sz w:val="22"/>
          <w:szCs w:val="22"/>
        </w:rPr>
        <w:t xml:space="preserve"> Payload </w:t>
      </w:r>
      <w:r w:rsidR="00E93034" w:rsidRPr="00C61B5A">
        <w:rPr>
          <w:color w:val="FF0000"/>
          <w:sz w:val="22"/>
          <w:szCs w:val="22"/>
        </w:rPr>
        <w:t>subfield of the</w:t>
      </w:r>
      <w:r w:rsidR="00E53374" w:rsidRPr="00C61B5A">
        <w:rPr>
          <w:color w:val="FF0000"/>
          <w:sz w:val="22"/>
          <w:szCs w:val="22"/>
        </w:rPr>
        <w:t xml:space="preserve"> HE Capa</w:t>
      </w:r>
      <w:r w:rsidR="00E93034" w:rsidRPr="00C61B5A">
        <w:rPr>
          <w:color w:val="FF0000"/>
          <w:sz w:val="22"/>
          <w:szCs w:val="22"/>
        </w:rPr>
        <w:t>bilities element indicates support for the transmission and reception of the LDPC encoded packets.</w:t>
      </w:r>
      <w:r w:rsidR="003051ED" w:rsidRPr="00C61B5A">
        <w:rPr>
          <w:color w:val="FF0000"/>
          <w:sz w:val="22"/>
          <w:szCs w:val="22"/>
        </w:rPr>
        <w:t xml:space="preserve"> </w:t>
      </w:r>
      <w:r w:rsidR="003051ED" w:rsidRPr="00C61B5A">
        <w:rPr>
          <w:color w:val="auto"/>
          <w:sz w:val="22"/>
          <w:szCs w:val="22"/>
          <w:highlight w:val="yellow"/>
        </w:rPr>
        <w:t>(CID16316)</w:t>
      </w:r>
      <w:r w:rsidR="00E53374" w:rsidRPr="00C61B5A">
        <w:rPr>
          <w:color w:val="FF0000"/>
          <w:sz w:val="22"/>
          <w:szCs w:val="22"/>
        </w:rPr>
        <w:t xml:space="preserve"> </w:t>
      </w:r>
      <w:r w:rsidRPr="00C61B5A">
        <w:rPr>
          <w:sz w:val="22"/>
          <w:szCs w:val="22"/>
        </w:rPr>
        <w:t xml:space="preserve">Support of LDPC code (for both transmit and receive) is mandatory for HE STAs declaring support for at least one of HE 40/80/160/80+80 SU PPDU bandwidths, for HE STAs declaring support for more than 4 spatial streams, or for HE STAs declaring support for HE-MCSs 10 and 11, according to </w:t>
      </w:r>
      <w:r w:rsidR="00E93034" w:rsidRPr="00C61B5A">
        <w:rPr>
          <w:color w:val="FF0000"/>
          <w:sz w:val="22"/>
          <w:szCs w:val="22"/>
        </w:rPr>
        <w:t xml:space="preserve">LDPC Coding In Payload subfield of </w:t>
      </w:r>
      <w:r w:rsidRPr="00C61B5A">
        <w:rPr>
          <w:sz w:val="22"/>
          <w:szCs w:val="22"/>
        </w:rPr>
        <w:t>the HE Capabilities element as defined in 9.4.2.237 (HE Capabilities element). Other-wise, support of LDPC code for either transmit or receive is optional.</w:t>
      </w:r>
    </w:p>
    <w:p w14:paraId="4F4AE6DB" w14:textId="3FC04A3F" w:rsidR="00BB04E4" w:rsidRPr="00C61B5A" w:rsidRDefault="00BB04E4" w:rsidP="002C2AD0">
      <w:pPr>
        <w:pStyle w:val="T"/>
        <w:rPr>
          <w:b/>
          <w:i/>
          <w:sz w:val="22"/>
          <w:szCs w:val="22"/>
        </w:rPr>
      </w:pPr>
      <w:r w:rsidRPr="00C61B5A">
        <w:rPr>
          <w:b/>
          <w:i/>
          <w:sz w:val="22"/>
          <w:szCs w:val="22"/>
        </w:rPr>
        <w:t>------------- End Text Changes ---------------</w:t>
      </w:r>
    </w:p>
    <w:p w14:paraId="7E29D299" w14:textId="77777777" w:rsidR="005C6953" w:rsidRPr="00C61B5A" w:rsidRDefault="005C6953" w:rsidP="002C2AD0">
      <w:pPr>
        <w:jc w:val="both"/>
        <w:rPr>
          <w:b/>
          <w:i/>
          <w:szCs w:val="22"/>
        </w:rPr>
      </w:pPr>
    </w:p>
    <w:p w14:paraId="04F23F4C" w14:textId="77777777" w:rsidR="00D60885" w:rsidRPr="00C61B5A" w:rsidRDefault="00D60885"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60885" w:rsidRPr="00C61B5A" w14:paraId="12E6C6B9" w14:textId="77777777" w:rsidTr="00E035F8">
        <w:trPr>
          <w:trHeight w:val="212"/>
        </w:trPr>
        <w:tc>
          <w:tcPr>
            <w:tcW w:w="810" w:type="dxa"/>
            <w:shd w:val="clear" w:color="auto" w:fill="auto"/>
            <w:noWrap/>
            <w:vAlign w:val="center"/>
            <w:hideMark/>
          </w:tcPr>
          <w:p w14:paraId="5C72EDCC" w14:textId="77777777" w:rsidR="00D60885" w:rsidRPr="00C61B5A" w:rsidRDefault="00D60885"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401984E0" w14:textId="77777777" w:rsidR="00D60885" w:rsidRPr="00C61B5A" w:rsidRDefault="00D60885"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2E0B5014" w14:textId="77777777" w:rsidR="00D60885" w:rsidRPr="00C61B5A" w:rsidRDefault="00D60885"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030BECC8" w14:textId="77777777" w:rsidR="00D60885" w:rsidRPr="00C61B5A" w:rsidRDefault="00D60885"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7B875C24" w14:textId="77777777" w:rsidR="00D60885" w:rsidRPr="00C61B5A" w:rsidRDefault="00D60885"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846605" w:rsidRPr="00C61B5A" w14:paraId="796AA1AE" w14:textId="77777777" w:rsidTr="00E035F8">
        <w:trPr>
          <w:trHeight w:val="212"/>
        </w:trPr>
        <w:tc>
          <w:tcPr>
            <w:tcW w:w="810" w:type="dxa"/>
            <w:shd w:val="clear" w:color="auto" w:fill="auto"/>
            <w:noWrap/>
            <w:vAlign w:val="center"/>
          </w:tcPr>
          <w:p w14:paraId="3A625224" w14:textId="6EF5B6A5" w:rsidR="00846605" w:rsidRPr="00C61B5A" w:rsidRDefault="00846605" w:rsidP="002C2AD0">
            <w:pPr>
              <w:jc w:val="both"/>
              <w:rPr>
                <w:rFonts w:eastAsia="Times New Roman"/>
                <w:bCs/>
                <w:color w:val="000000"/>
                <w:szCs w:val="22"/>
                <w:lang w:val="en-US"/>
              </w:rPr>
            </w:pPr>
            <w:r w:rsidRPr="00C61B5A">
              <w:rPr>
                <w:rFonts w:eastAsia="Times New Roman"/>
                <w:bCs/>
                <w:color w:val="000000"/>
                <w:szCs w:val="22"/>
                <w:lang w:val="en-US"/>
              </w:rPr>
              <w:t>16593</w:t>
            </w:r>
          </w:p>
        </w:tc>
        <w:tc>
          <w:tcPr>
            <w:tcW w:w="630" w:type="dxa"/>
            <w:shd w:val="clear" w:color="auto" w:fill="auto"/>
            <w:noWrap/>
            <w:vAlign w:val="center"/>
          </w:tcPr>
          <w:p w14:paraId="68F60BFD" w14:textId="13A49C7F" w:rsidR="00846605" w:rsidRPr="00C61B5A" w:rsidRDefault="00846605" w:rsidP="002C2AD0">
            <w:pPr>
              <w:jc w:val="both"/>
              <w:rPr>
                <w:rFonts w:eastAsia="Times New Roman"/>
                <w:bCs/>
                <w:color w:val="000000"/>
                <w:szCs w:val="22"/>
                <w:lang w:val="en-US"/>
              </w:rPr>
            </w:pPr>
            <w:r w:rsidRPr="00C61B5A">
              <w:rPr>
                <w:rFonts w:eastAsia="Times New Roman"/>
                <w:bCs/>
                <w:color w:val="000000"/>
                <w:szCs w:val="22"/>
                <w:lang w:val="en-US"/>
              </w:rPr>
              <w:t>156.25</w:t>
            </w:r>
          </w:p>
        </w:tc>
        <w:tc>
          <w:tcPr>
            <w:tcW w:w="2516" w:type="dxa"/>
            <w:shd w:val="clear" w:color="auto" w:fill="auto"/>
            <w:noWrap/>
          </w:tcPr>
          <w:p w14:paraId="4236CBBE" w14:textId="7AB775D1" w:rsidR="00846605" w:rsidRPr="00C61B5A" w:rsidRDefault="00846605" w:rsidP="002C2AD0">
            <w:pPr>
              <w:jc w:val="both"/>
              <w:rPr>
                <w:rFonts w:eastAsia="Times New Roman"/>
                <w:bCs/>
                <w:color w:val="000000"/>
                <w:szCs w:val="22"/>
                <w:highlight w:val="yellow"/>
                <w:lang w:val="en-US"/>
              </w:rPr>
            </w:pPr>
            <w:r w:rsidRPr="00C61B5A">
              <w:rPr>
                <w:szCs w:val="22"/>
              </w:rPr>
              <w:t>The channel width set field in HE PHY capabilities field creates confusion. For an AP, the channel width support is part of the BSS bandwidth indication, which is already described by 11.40. As a result, this additional field for AP may create conflict with the existing indication in 11.40.</w:t>
            </w:r>
          </w:p>
        </w:tc>
        <w:tc>
          <w:tcPr>
            <w:tcW w:w="2835" w:type="dxa"/>
            <w:shd w:val="clear" w:color="auto" w:fill="auto"/>
            <w:noWrap/>
          </w:tcPr>
          <w:p w14:paraId="4B3301E7" w14:textId="6B2FCDA8" w:rsidR="00846605" w:rsidRPr="00C61B5A" w:rsidRDefault="00846605" w:rsidP="002C2AD0">
            <w:pPr>
              <w:jc w:val="both"/>
              <w:rPr>
                <w:rFonts w:eastAsia="Times New Roman"/>
                <w:bCs/>
                <w:color w:val="000000"/>
                <w:szCs w:val="22"/>
                <w:highlight w:val="yellow"/>
                <w:lang w:val="en-US"/>
              </w:rPr>
            </w:pPr>
            <w:r w:rsidRPr="00C61B5A">
              <w:rPr>
                <w:szCs w:val="22"/>
              </w:rPr>
              <w:t>This field shall not be applied for an HE AP, which may create conflict for existing indication.</w:t>
            </w:r>
          </w:p>
        </w:tc>
        <w:tc>
          <w:tcPr>
            <w:tcW w:w="3379" w:type="dxa"/>
            <w:shd w:val="clear" w:color="auto" w:fill="auto"/>
            <w:vAlign w:val="center"/>
          </w:tcPr>
          <w:p w14:paraId="1A40FC7A" w14:textId="2A3EE918" w:rsidR="00846605" w:rsidRPr="00C61B5A" w:rsidRDefault="002807FE" w:rsidP="002C2AD0">
            <w:pPr>
              <w:jc w:val="both"/>
              <w:rPr>
                <w:rFonts w:eastAsia="Times New Roman"/>
                <w:bCs/>
                <w:color w:val="000000"/>
                <w:szCs w:val="22"/>
                <w:lang w:val="en-US"/>
              </w:rPr>
            </w:pPr>
            <w:r w:rsidRPr="00C61B5A">
              <w:rPr>
                <w:rFonts w:eastAsia="Times New Roman"/>
                <w:bCs/>
                <w:color w:val="000000"/>
                <w:szCs w:val="22"/>
                <w:lang w:val="en-US"/>
              </w:rPr>
              <w:t>Reject—</w:t>
            </w:r>
          </w:p>
          <w:p w14:paraId="4F9753ED" w14:textId="77777777" w:rsidR="002807FE" w:rsidRPr="00C61B5A" w:rsidRDefault="00E22ECB" w:rsidP="002C2AD0">
            <w:pPr>
              <w:jc w:val="both"/>
              <w:rPr>
                <w:rFonts w:eastAsia="Times New Roman"/>
                <w:bCs/>
                <w:color w:val="000000"/>
                <w:szCs w:val="22"/>
                <w:lang w:val="en-US"/>
              </w:rPr>
            </w:pPr>
            <w:r w:rsidRPr="00C61B5A">
              <w:rPr>
                <w:rFonts w:eastAsia="Times New Roman"/>
                <w:bCs/>
                <w:color w:val="000000"/>
                <w:szCs w:val="22"/>
                <w:lang w:val="en-US"/>
              </w:rPr>
              <w:t>Each device regardless of being an AP or client shall advertise the BWs it supports. This is achieved through Channel Width Set subfield.</w:t>
            </w:r>
          </w:p>
          <w:p w14:paraId="7EDCD880" w14:textId="5613A350" w:rsidR="00E22ECB" w:rsidRPr="00C61B5A" w:rsidRDefault="00E22ECB" w:rsidP="002C2AD0">
            <w:pPr>
              <w:jc w:val="both"/>
              <w:rPr>
                <w:rFonts w:eastAsia="Times New Roman"/>
                <w:bCs/>
                <w:color w:val="000000"/>
                <w:szCs w:val="22"/>
                <w:lang w:val="en-US"/>
              </w:rPr>
            </w:pPr>
            <w:r w:rsidRPr="00C61B5A">
              <w:rPr>
                <w:rFonts w:eastAsia="Times New Roman"/>
                <w:bCs/>
                <w:color w:val="000000"/>
                <w:szCs w:val="22"/>
                <w:lang w:val="en-US"/>
              </w:rPr>
              <w:t>The comment does not identify any case where there exists discrepancy.</w:t>
            </w:r>
          </w:p>
        </w:tc>
      </w:tr>
    </w:tbl>
    <w:p w14:paraId="12C0B3B9" w14:textId="77777777" w:rsidR="00D60885" w:rsidRPr="00C61B5A" w:rsidRDefault="00D60885" w:rsidP="002C2AD0">
      <w:pPr>
        <w:jc w:val="both"/>
        <w:rPr>
          <w:b/>
          <w:i/>
          <w:szCs w:val="22"/>
          <w:lang w:eastAsia="ko-KR"/>
        </w:rPr>
      </w:pPr>
    </w:p>
    <w:p w14:paraId="43D07526" w14:textId="77777777" w:rsidR="00D60885" w:rsidRPr="00C61B5A" w:rsidRDefault="00D60885" w:rsidP="002C2AD0">
      <w:pPr>
        <w:pStyle w:val="T"/>
        <w:rPr>
          <w:b/>
          <w:i/>
          <w:sz w:val="22"/>
          <w:szCs w:val="22"/>
        </w:rPr>
      </w:pPr>
      <w:r w:rsidRPr="00C61B5A">
        <w:rPr>
          <w:b/>
          <w:i/>
          <w:sz w:val="22"/>
          <w:szCs w:val="22"/>
        </w:rPr>
        <w:t>------------- Begin Text Changes ---------------</w:t>
      </w:r>
    </w:p>
    <w:p w14:paraId="2F2AFD23" w14:textId="77777777" w:rsidR="00D60885" w:rsidRPr="00C61B5A" w:rsidRDefault="00D60885" w:rsidP="002C2AD0">
      <w:pPr>
        <w:pStyle w:val="T"/>
        <w:rPr>
          <w:b/>
          <w:i/>
          <w:sz w:val="22"/>
          <w:szCs w:val="22"/>
        </w:rPr>
      </w:pPr>
      <w:r w:rsidRPr="00C61B5A">
        <w:rPr>
          <w:b/>
          <w:i/>
          <w:sz w:val="22"/>
          <w:szCs w:val="22"/>
        </w:rPr>
        <w:t>------------- End Text Changes ---------------</w:t>
      </w:r>
    </w:p>
    <w:p w14:paraId="3DA6852B" w14:textId="77777777" w:rsidR="00745FC2" w:rsidRPr="00C61B5A" w:rsidRDefault="00745FC2"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45FC2" w:rsidRPr="00C61B5A" w14:paraId="0570A811" w14:textId="77777777" w:rsidTr="00E035F8">
        <w:trPr>
          <w:trHeight w:val="212"/>
        </w:trPr>
        <w:tc>
          <w:tcPr>
            <w:tcW w:w="810" w:type="dxa"/>
            <w:shd w:val="clear" w:color="auto" w:fill="auto"/>
            <w:noWrap/>
            <w:vAlign w:val="center"/>
            <w:hideMark/>
          </w:tcPr>
          <w:p w14:paraId="384F9232" w14:textId="77777777" w:rsidR="00745FC2" w:rsidRPr="00C61B5A" w:rsidRDefault="00745FC2"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5FA85E41" w14:textId="77777777" w:rsidR="00745FC2" w:rsidRPr="00C61B5A" w:rsidRDefault="00745FC2"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5934D880" w14:textId="77777777" w:rsidR="00745FC2" w:rsidRPr="00C61B5A" w:rsidRDefault="00745FC2"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5B628E20" w14:textId="77777777" w:rsidR="00745FC2" w:rsidRPr="00C61B5A" w:rsidRDefault="00745FC2"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6EF3437B" w14:textId="77777777" w:rsidR="00745FC2" w:rsidRPr="00C61B5A" w:rsidRDefault="00745FC2"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5D1BB6" w:rsidRPr="00C61B5A" w14:paraId="63F7BABC" w14:textId="77777777" w:rsidTr="00E035F8">
        <w:trPr>
          <w:trHeight w:val="212"/>
        </w:trPr>
        <w:tc>
          <w:tcPr>
            <w:tcW w:w="810" w:type="dxa"/>
            <w:shd w:val="clear" w:color="auto" w:fill="auto"/>
            <w:noWrap/>
            <w:vAlign w:val="center"/>
          </w:tcPr>
          <w:p w14:paraId="4DEC5AAF" w14:textId="77BFCEF2" w:rsidR="005D1BB6" w:rsidRPr="00C61B5A" w:rsidRDefault="005D1BB6" w:rsidP="002C2AD0">
            <w:pPr>
              <w:jc w:val="both"/>
              <w:rPr>
                <w:rFonts w:eastAsia="Times New Roman"/>
                <w:bCs/>
                <w:color w:val="000000"/>
                <w:szCs w:val="22"/>
                <w:lang w:val="en-US"/>
              </w:rPr>
            </w:pPr>
            <w:r w:rsidRPr="00C61B5A">
              <w:rPr>
                <w:rFonts w:eastAsia="Times New Roman"/>
                <w:bCs/>
                <w:color w:val="000000"/>
                <w:szCs w:val="22"/>
                <w:lang w:val="en-US"/>
              </w:rPr>
              <w:lastRenderedPageBreak/>
              <w:t>16922</w:t>
            </w:r>
          </w:p>
        </w:tc>
        <w:tc>
          <w:tcPr>
            <w:tcW w:w="630" w:type="dxa"/>
            <w:shd w:val="clear" w:color="auto" w:fill="auto"/>
            <w:noWrap/>
            <w:vAlign w:val="center"/>
          </w:tcPr>
          <w:p w14:paraId="7F5FC27D" w14:textId="4D7DE8C5" w:rsidR="005D1BB6" w:rsidRPr="00C61B5A" w:rsidRDefault="005D1BB6" w:rsidP="002C2AD0">
            <w:pPr>
              <w:jc w:val="both"/>
              <w:rPr>
                <w:rFonts w:eastAsia="Times New Roman"/>
                <w:bCs/>
                <w:color w:val="000000"/>
                <w:szCs w:val="22"/>
                <w:lang w:val="en-US"/>
              </w:rPr>
            </w:pPr>
            <w:r w:rsidRPr="00C61B5A">
              <w:rPr>
                <w:rFonts w:eastAsia="Times New Roman"/>
                <w:bCs/>
                <w:color w:val="000000"/>
                <w:szCs w:val="22"/>
                <w:lang w:val="en-US"/>
              </w:rPr>
              <w:t>162.50</w:t>
            </w:r>
          </w:p>
        </w:tc>
        <w:tc>
          <w:tcPr>
            <w:tcW w:w="2516" w:type="dxa"/>
            <w:shd w:val="clear" w:color="auto" w:fill="auto"/>
            <w:noWrap/>
          </w:tcPr>
          <w:p w14:paraId="17B52A3A" w14:textId="3A45C9AF" w:rsidR="005D1BB6" w:rsidRPr="00C61B5A" w:rsidRDefault="005D1BB6" w:rsidP="002C2AD0">
            <w:pPr>
              <w:jc w:val="both"/>
              <w:rPr>
                <w:rFonts w:eastAsia="Times New Roman"/>
                <w:bCs/>
                <w:color w:val="000000"/>
                <w:szCs w:val="22"/>
                <w:highlight w:val="yellow"/>
                <w:lang w:val="en-US"/>
              </w:rPr>
            </w:pPr>
            <w:r w:rsidRPr="00C61B5A">
              <w:rPr>
                <w:szCs w:val="22"/>
              </w:rPr>
              <w:t>"20 MHz only STA shall set to 0." It has "shall" and the correct terminology defined in 3.2 is 20 MHz-only non-AP HE STA.</w:t>
            </w:r>
          </w:p>
        </w:tc>
        <w:tc>
          <w:tcPr>
            <w:tcW w:w="2835" w:type="dxa"/>
            <w:shd w:val="clear" w:color="auto" w:fill="auto"/>
            <w:noWrap/>
          </w:tcPr>
          <w:p w14:paraId="1C21AD71" w14:textId="22570B74" w:rsidR="005D1BB6" w:rsidRPr="00C61B5A" w:rsidRDefault="005D1BB6" w:rsidP="002C2AD0">
            <w:pPr>
              <w:jc w:val="both"/>
              <w:rPr>
                <w:rFonts w:eastAsia="Times New Roman"/>
                <w:bCs/>
                <w:color w:val="000000"/>
                <w:szCs w:val="22"/>
                <w:highlight w:val="yellow"/>
                <w:lang w:val="en-US"/>
              </w:rPr>
            </w:pPr>
            <w:r w:rsidRPr="00C61B5A">
              <w:rPr>
                <w:szCs w:val="22"/>
              </w:rPr>
              <w:t>Change it to "Set to 0 for 20 MHz-only non-AP HE STAs."</w:t>
            </w:r>
          </w:p>
        </w:tc>
        <w:tc>
          <w:tcPr>
            <w:tcW w:w="3379" w:type="dxa"/>
            <w:shd w:val="clear" w:color="auto" w:fill="auto"/>
            <w:vAlign w:val="center"/>
          </w:tcPr>
          <w:p w14:paraId="5227FA78" w14:textId="136E444D" w:rsidR="005D1BB6" w:rsidRPr="00C61B5A" w:rsidRDefault="00E31C83" w:rsidP="002C2AD0">
            <w:pPr>
              <w:jc w:val="both"/>
              <w:rPr>
                <w:rFonts w:eastAsia="Times New Roman"/>
                <w:bCs/>
                <w:color w:val="000000"/>
                <w:szCs w:val="22"/>
                <w:lang w:val="en-US"/>
              </w:rPr>
            </w:pPr>
            <w:r w:rsidRPr="00C61B5A">
              <w:rPr>
                <w:rFonts w:eastAsia="Times New Roman"/>
                <w:bCs/>
                <w:color w:val="000000"/>
                <w:szCs w:val="22"/>
                <w:lang w:val="en-US"/>
              </w:rPr>
              <w:t>Revised—</w:t>
            </w:r>
          </w:p>
          <w:p w14:paraId="797E9B34" w14:textId="77777777" w:rsidR="00E31C83" w:rsidRPr="00C61B5A" w:rsidRDefault="003C0731" w:rsidP="002C2AD0">
            <w:pPr>
              <w:jc w:val="both"/>
              <w:rPr>
                <w:rFonts w:eastAsia="Times New Roman"/>
                <w:bCs/>
                <w:color w:val="000000"/>
                <w:szCs w:val="22"/>
                <w:lang w:val="en-US"/>
              </w:rPr>
            </w:pPr>
            <w:r w:rsidRPr="00C61B5A">
              <w:rPr>
                <w:rFonts w:eastAsia="Times New Roman"/>
                <w:bCs/>
                <w:color w:val="000000"/>
                <w:szCs w:val="22"/>
                <w:lang w:val="en-US"/>
              </w:rPr>
              <w:t>There is a need for language improvement.</w:t>
            </w:r>
          </w:p>
          <w:p w14:paraId="5A08596F" w14:textId="6DA8C7D6" w:rsidR="003C0731" w:rsidRPr="00C61B5A" w:rsidRDefault="003C0731" w:rsidP="002C2AD0">
            <w:pPr>
              <w:jc w:val="both"/>
              <w:rPr>
                <w:rFonts w:eastAsia="Times New Roman"/>
                <w:bCs/>
                <w:color w:val="000000"/>
                <w:szCs w:val="22"/>
                <w:lang w:val="en-US"/>
              </w:rPr>
            </w:pPr>
            <w:proofErr w:type="spellStart"/>
            <w:r w:rsidRPr="00C61B5A">
              <w:rPr>
                <w:szCs w:val="22"/>
              </w:rPr>
              <w:t>TGax</w:t>
            </w:r>
            <w:proofErr w:type="spellEnd"/>
            <w:r w:rsidRPr="00C61B5A">
              <w:rPr>
                <w:szCs w:val="22"/>
              </w:rPr>
              <w:t xml:space="preserve"> Editor: make changes for CID 16922 according to 11-18-</w:t>
            </w:r>
            <w:r w:rsidR="003876B3">
              <w:rPr>
                <w:szCs w:val="22"/>
              </w:rPr>
              <w:t>1460</w:t>
            </w:r>
            <w:r w:rsidRPr="00C61B5A">
              <w:rPr>
                <w:szCs w:val="22"/>
              </w:rPr>
              <w:t>-0</w:t>
            </w:r>
            <w:r w:rsidR="00E41E8D">
              <w:rPr>
                <w:szCs w:val="22"/>
              </w:rPr>
              <w:t>1</w:t>
            </w:r>
            <w:bookmarkStart w:id="0" w:name="_GoBack"/>
            <w:bookmarkEnd w:id="0"/>
            <w:r w:rsidRPr="00C61B5A">
              <w:rPr>
                <w:szCs w:val="22"/>
              </w:rPr>
              <w:t>-00ax</w:t>
            </w:r>
          </w:p>
          <w:p w14:paraId="53078EA2" w14:textId="357F8E30" w:rsidR="003C0731" w:rsidRPr="00C61B5A" w:rsidRDefault="003C0731" w:rsidP="002C2AD0">
            <w:pPr>
              <w:jc w:val="both"/>
              <w:rPr>
                <w:rFonts w:eastAsia="Times New Roman"/>
                <w:bCs/>
                <w:color w:val="000000"/>
                <w:szCs w:val="22"/>
                <w:lang w:val="en-US"/>
              </w:rPr>
            </w:pPr>
          </w:p>
        </w:tc>
      </w:tr>
    </w:tbl>
    <w:p w14:paraId="057142C7" w14:textId="77777777" w:rsidR="00745FC2" w:rsidRPr="00C61B5A" w:rsidRDefault="00745FC2" w:rsidP="002C2AD0">
      <w:pPr>
        <w:jc w:val="both"/>
        <w:rPr>
          <w:b/>
          <w:i/>
          <w:szCs w:val="22"/>
          <w:lang w:eastAsia="ko-KR"/>
        </w:rPr>
      </w:pPr>
    </w:p>
    <w:p w14:paraId="651B7AD2" w14:textId="77777777" w:rsidR="00745FC2" w:rsidRPr="00C61B5A" w:rsidRDefault="00745FC2" w:rsidP="002C2AD0">
      <w:pPr>
        <w:jc w:val="both"/>
        <w:rPr>
          <w:b/>
          <w:i/>
          <w:szCs w:val="22"/>
          <w:lang w:eastAsia="ko-KR"/>
        </w:rPr>
      </w:pPr>
      <w:r w:rsidRPr="00C61B5A">
        <w:rPr>
          <w:b/>
          <w:i/>
          <w:szCs w:val="22"/>
          <w:lang w:eastAsia="ko-KR"/>
        </w:rPr>
        <w:t>Discussion</w:t>
      </w:r>
    </w:p>
    <w:p w14:paraId="6A43C2C6" w14:textId="77777777" w:rsidR="00745FC2" w:rsidRPr="00C61B5A" w:rsidRDefault="00745FC2" w:rsidP="002C2AD0">
      <w:pPr>
        <w:jc w:val="both"/>
        <w:rPr>
          <w:b/>
          <w:i/>
          <w:szCs w:val="22"/>
          <w:lang w:eastAsia="ko-KR"/>
        </w:rPr>
      </w:pPr>
      <w:r w:rsidRPr="00C61B5A">
        <w:rPr>
          <w:b/>
          <w:i/>
          <w:szCs w:val="22"/>
          <w:lang w:eastAsia="ko-KR"/>
        </w:rPr>
        <w:t>Table 9-262aa Subfields of the HE PHY Capabilities Information field</w:t>
      </w:r>
    </w:p>
    <w:p w14:paraId="449402C4" w14:textId="43248DB2" w:rsidR="00745FC2" w:rsidRPr="00C61B5A" w:rsidRDefault="00E31C83" w:rsidP="002C2AD0">
      <w:pPr>
        <w:jc w:val="both"/>
        <w:rPr>
          <w:b/>
          <w:i/>
          <w:szCs w:val="22"/>
          <w:lang w:eastAsia="ko-KR"/>
        </w:rPr>
      </w:pPr>
      <w:r w:rsidRPr="00C61B5A">
        <w:rPr>
          <w:b/>
          <w:i/>
          <w:noProof/>
          <w:szCs w:val="22"/>
          <w:lang w:eastAsia="ko-KR"/>
        </w:rPr>
        <w:drawing>
          <wp:inline distT="0" distB="0" distL="0" distR="0" wp14:anchorId="28BDC3C1" wp14:editId="066C9CEC">
            <wp:extent cx="5943600" cy="697687"/>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97687"/>
                    </a:xfrm>
                    <a:prstGeom prst="rect">
                      <a:avLst/>
                    </a:prstGeom>
                    <a:noFill/>
                    <a:ln>
                      <a:noFill/>
                    </a:ln>
                  </pic:spPr>
                </pic:pic>
              </a:graphicData>
            </a:graphic>
          </wp:inline>
        </w:drawing>
      </w:r>
    </w:p>
    <w:p w14:paraId="7D3AF510" w14:textId="77777777" w:rsidR="00745FC2" w:rsidRPr="00C61B5A" w:rsidRDefault="00745FC2" w:rsidP="002C2AD0">
      <w:pPr>
        <w:jc w:val="both"/>
        <w:rPr>
          <w:b/>
          <w:i/>
          <w:szCs w:val="22"/>
          <w:lang w:eastAsia="ko-KR"/>
        </w:rPr>
      </w:pPr>
    </w:p>
    <w:p w14:paraId="4DE2E30A" w14:textId="14D6C3F5" w:rsidR="00745FC2" w:rsidRPr="00C61B5A" w:rsidRDefault="00E31C83" w:rsidP="002C2AD0">
      <w:pPr>
        <w:jc w:val="both"/>
        <w:rPr>
          <w:b/>
          <w:i/>
          <w:szCs w:val="22"/>
          <w:lang w:eastAsia="ko-KR"/>
        </w:rPr>
      </w:pPr>
      <w:r w:rsidRPr="00C61B5A">
        <w:rPr>
          <w:b/>
          <w:i/>
          <w:szCs w:val="22"/>
          <w:lang w:eastAsia="ko-KR"/>
        </w:rPr>
        <w:t>A “shall” in the Table is not appropriate.</w:t>
      </w:r>
    </w:p>
    <w:p w14:paraId="142CC6CF" w14:textId="7C9F7667" w:rsidR="00745FC2" w:rsidRPr="00C61B5A" w:rsidRDefault="00745FC2" w:rsidP="002C2AD0">
      <w:pPr>
        <w:pStyle w:val="T"/>
        <w:rPr>
          <w:b/>
          <w:i/>
          <w:sz w:val="22"/>
          <w:szCs w:val="22"/>
        </w:rPr>
      </w:pPr>
      <w:r w:rsidRPr="00C61B5A">
        <w:rPr>
          <w:b/>
          <w:i/>
          <w:sz w:val="22"/>
          <w:szCs w:val="22"/>
        </w:rPr>
        <w:t>------------- Begin Text Changes ---------------</w:t>
      </w:r>
    </w:p>
    <w:p w14:paraId="46EC050C" w14:textId="1749C3B4" w:rsidR="00F4754F" w:rsidRPr="00C61B5A" w:rsidRDefault="00B5281F" w:rsidP="002C2AD0">
      <w:pPr>
        <w:jc w:val="both"/>
        <w:rPr>
          <w:b/>
          <w:i/>
          <w:szCs w:val="22"/>
          <w:lang w:eastAsia="ko-KR"/>
        </w:rPr>
      </w:pPr>
      <w:r w:rsidRPr="00C61B5A">
        <w:rPr>
          <w:b/>
          <w:i/>
          <w:szCs w:val="22"/>
          <w:highlight w:val="yellow"/>
        </w:rPr>
        <w:t xml:space="preserve">To </w:t>
      </w:r>
      <w:proofErr w:type="spellStart"/>
      <w:r w:rsidRPr="00C61B5A">
        <w:rPr>
          <w:b/>
          <w:i/>
          <w:szCs w:val="22"/>
          <w:highlight w:val="yellow"/>
        </w:rPr>
        <w:t>TGax</w:t>
      </w:r>
      <w:proofErr w:type="spellEnd"/>
      <w:r w:rsidRPr="00C61B5A">
        <w:rPr>
          <w:b/>
          <w:i/>
          <w:szCs w:val="22"/>
          <w:highlight w:val="yellow"/>
        </w:rPr>
        <w:t xml:space="preserve"> editor</w:t>
      </w:r>
      <w:r w:rsidRPr="00C61B5A">
        <w:rPr>
          <w:b/>
          <w:i/>
          <w:szCs w:val="22"/>
        </w:rPr>
        <w:t xml:space="preserve">: </w:t>
      </w:r>
      <w:r w:rsidR="00F4754F" w:rsidRPr="00C61B5A">
        <w:rPr>
          <w:b/>
          <w:i/>
          <w:szCs w:val="22"/>
          <w:lang w:eastAsia="ko-KR"/>
        </w:rPr>
        <w:t>Table 9-262aa Subfields of the HE PHY Capabilities Information field</w:t>
      </w:r>
    </w:p>
    <w:tbl>
      <w:tblPr>
        <w:tblStyle w:val="TableGrid"/>
        <w:tblW w:w="0" w:type="auto"/>
        <w:tblLook w:val="04A0" w:firstRow="1" w:lastRow="0" w:firstColumn="1" w:lastColumn="0" w:noHBand="0" w:noVBand="1"/>
      </w:tblPr>
      <w:tblGrid>
        <w:gridCol w:w="3116"/>
        <w:gridCol w:w="3117"/>
        <w:gridCol w:w="3117"/>
      </w:tblGrid>
      <w:tr w:rsidR="00E31C83" w:rsidRPr="00C61B5A" w14:paraId="20013489" w14:textId="77777777" w:rsidTr="00E31C83">
        <w:tc>
          <w:tcPr>
            <w:tcW w:w="3116" w:type="dxa"/>
          </w:tcPr>
          <w:p w14:paraId="7F5041F6" w14:textId="33A0009F" w:rsidR="00E31C83" w:rsidRPr="00C61B5A" w:rsidRDefault="00E31C83" w:rsidP="002C2AD0">
            <w:pPr>
              <w:pStyle w:val="T"/>
              <w:rPr>
                <w:b/>
                <w:i/>
                <w:sz w:val="22"/>
                <w:szCs w:val="22"/>
              </w:rPr>
            </w:pPr>
            <w:r w:rsidRPr="00C61B5A">
              <w:rPr>
                <w:b/>
                <w:i/>
                <w:sz w:val="22"/>
                <w:szCs w:val="22"/>
              </w:rPr>
              <w:t>Longer Than 16 HE SIG-B OFDM Symbols Support</w:t>
            </w:r>
          </w:p>
        </w:tc>
        <w:tc>
          <w:tcPr>
            <w:tcW w:w="3117" w:type="dxa"/>
          </w:tcPr>
          <w:p w14:paraId="44FF7C85" w14:textId="4A2E3C00" w:rsidR="00E31C83" w:rsidRPr="00C61B5A" w:rsidRDefault="00E31C83" w:rsidP="002C2AD0">
            <w:pPr>
              <w:pStyle w:val="T"/>
              <w:rPr>
                <w:b/>
                <w:i/>
                <w:sz w:val="22"/>
                <w:szCs w:val="22"/>
              </w:rPr>
            </w:pPr>
            <w:r w:rsidRPr="00C61B5A">
              <w:rPr>
                <w:b/>
                <w:i/>
                <w:sz w:val="22"/>
                <w:szCs w:val="22"/>
              </w:rPr>
              <w:t>…</w:t>
            </w:r>
          </w:p>
        </w:tc>
        <w:tc>
          <w:tcPr>
            <w:tcW w:w="3117" w:type="dxa"/>
          </w:tcPr>
          <w:p w14:paraId="4CC9B8F2" w14:textId="77777777" w:rsidR="00E31C83" w:rsidRPr="00C61B5A" w:rsidRDefault="00E31C83" w:rsidP="002C2AD0">
            <w:pPr>
              <w:pStyle w:val="T"/>
              <w:rPr>
                <w:b/>
                <w:i/>
                <w:sz w:val="22"/>
                <w:szCs w:val="22"/>
              </w:rPr>
            </w:pPr>
            <w:r w:rsidRPr="00C61B5A">
              <w:rPr>
                <w:b/>
                <w:i/>
                <w:sz w:val="22"/>
                <w:szCs w:val="22"/>
              </w:rPr>
              <w:t>Set to 0 if not supported.</w:t>
            </w:r>
          </w:p>
          <w:p w14:paraId="1729B9DD" w14:textId="30D45BD3" w:rsidR="00E31C83" w:rsidRPr="00C61B5A" w:rsidRDefault="00E31C83" w:rsidP="002C2AD0">
            <w:pPr>
              <w:pStyle w:val="T"/>
              <w:rPr>
                <w:b/>
                <w:i/>
                <w:sz w:val="22"/>
                <w:szCs w:val="22"/>
              </w:rPr>
            </w:pPr>
            <w:r w:rsidRPr="00C61B5A">
              <w:rPr>
                <w:b/>
                <w:i/>
                <w:sz w:val="22"/>
                <w:szCs w:val="22"/>
              </w:rPr>
              <w:t>Set to 1 if supported.</w:t>
            </w:r>
          </w:p>
          <w:p w14:paraId="5DD38ADD" w14:textId="113B8894" w:rsidR="00E31C83" w:rsidRPr="00C61B5A" w:rsidRDefault="00E31C83" w:rsidP="002C2AD0">
            <w:pPr>
              <w:pStyle w:val="T"/>
              <w:rPr>
                <w:b/>
                <w:i/>
                <w:strike/>
                <w:sz w:val="22"/>
                <w:szCs w:val="22"/>
              </w:rPr>
            </w:pPr>
            <w:r w:rsidRPr="00C61B5A">
              <w:rPr>
                <w:b/>
                <w:i/>
                <w:strike/>
                <w:sz w:val="22"/>
                <w:szCs w:val="22"/>
              </w:rPr>
              <w:t>20 MHz only STA shall set to 0.</w:t>
            </w:r>
          </w:p>
          <w:p w14:paraId="1858C16D" w14:textId="164CF3A7" w:rsidR="00E31C83" w:rsidRPr="00C61B5A" w:rsidRDefault="00E31C83" w:rsidP="002C2AD0">
            <w:pPr>
              <w:pStyle w:val="T"/>
              <w:rPr>
                <w:b/>
                <w:i/>
                <w:sz w:val="22"/>
                <w:szCs w:val="22"/>
              </w:rPr>
            </w:pPr>
            <w:r w:rsidRPr="00C61B5A">
              <w:rPr>
                <w:b/>
                <w:i/>
                <w:color w:val="FF0000"/>
                <w:sz w:val="22"/>
                <w:szCs w:val="22"/>
              </w:rPr>
              <w:t xml:space="preserve">NOTE—Set to 0 by a 20 MHz-only non-AP HE STA. </w:t>
            </w:r>
            <w:r w:rsidRPr="00C61B5A">
              <w:rPr>
                <w:b/>
                <w:i/>
                <w:color w:val="auto"/>
                <w:sz w:val="22"/>
                <w:szCs w:val="22"/>
                <w:highlight w:val="yellow"/>
              </w:rPr>
              <w:t>(CID16922)</w:t>
            </w:r>
          </w:p>
        </w:tc>
      </w:tr>
    </w:tbl>
    <w:p w14:paraId="4EED3C29" w14:textId="28613687" w:rsidR="005C6953" w:rsidRPr="00C61B5A" w:rsidRDefault="00745FC2" w:rsidP="002C2AD0">
      <w:pPr>
        <w:pStyle w:val="T"/>
        <w:rPr>
          <w:b/>
          <w:i/>
          <w:sz w:val="22"/>
          <w:szCs w:val="22"/>
        </w:rPr>
      </w:pPr>
      <w:r w:rsidRPr="00C61B5A">
        <w:rPr>
          <w:b/>
          <w:i/>
          <w:sz w:val="22"/>
          <w:szCs w:val="22"/>
        </w:rPr>
        <w:t>------------- End Text Changes ---------------</w:t>
      </w:r>
    </w:p>
    <w:p w14:paraId="216524E6" w14:textId="77777777" w:rsidR="007E51DE" w:rsidRPr="00C61B5A" w:rsidRDefault="007E51DE"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E51DE" w:rsidRPr="00C61B5A" w14:paraId="6587808F" w14:textId="77777777" w:rsidTr="00E035F8">
        <w:trPr>
          <w:trHeight w:val="212"/>
        </w:trPr>
        <w:tc>
          <w:tcPr>
            <w:tcW w:w="810" w:type="dxa"/>
            <w:shd w:val="clear" w:color="auto" w:fill="auto"/>
            <w:noWrap/>
            <w:vAlign w:val="center"/>
            <w:hideMark/>
          </w:tcPr>
          <w:p w14:paraId="404547B9" w14:textId="77777777" w:rsidR="007E51DE" w:rsidRPr="00C61B5A" w:rsidRDefault="007E51DE"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3CDD5894" w14:textId="77777777" w:rsidR="007E51DE" w:rsidRPr="00C61B5A" w:rsidRDefault="007E51DE"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129BED7A" w14:textId="77777777" w:rsidR="007E51DE" w:rsidRPr="00C61B5A" w:rsidRDefault="007E51DE"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02F20E48" w14:textId="77777777" w:rsidR="007E51DE" w:rsidRPr="00C61B5A" w:rsidRDefault="007E51DE"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1B1A9309" w14:textId="77777777" w:rsidR="007E51DE" w:rsidRPr="00C61B5A" w:rsidRDefault="007E51DE"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760EAF" w:rsidRPr="00C61B5A" w14:paraId="2F4A4189" w14:textId="77777777" w:rsidTr="00E035F8">
        <w:trPr>
          <w:trHeight w:val="212"/>
        </w:trPr>
        <w:tc>
          <w:tcPr>
            <w:tcW w:w="810" w:type="dxa"/>
            <w:shd w:val="clear" w:color="auto" w:fill="auto"/>
            <w:noWrap/>
            <w:vAlign w:val="center"/>
          </w:tcPr>
          <w:p w14:paraId="1A5BD8F3" w14:textId="594FD417" w:rsidR="00760EAF" w:rsidRPr="00C61B5A" w:rsidRDefault="00760EAF" w:rsidP="002C2AD0">
            <w:pPr>
              <w:jc w:val="both"/>
              <w:rPr>
                <w:rFonts w:eastAsia="Times New Roman"/>
                <w:bCs/>
                <w:color w:val="000000"/>
                <w:szCs w:val="22"/>
                <w:lang w:val="en-US"/>
              </w:rPr>
            </w:pPr>
            <w:r w:rsidRPr="00C61B5A">
              <w:rPr>
                <w:rFonts w:eastAsia="Times New Roman"/>
                <w:bCs/>
                <w:color w:val="000000"/>
                <w:szCs w:val="22"/>
                <w:lang w:val="en-US"/>
              </w:rPr>
              <w:t>17144</w:t>
            </w:r>
          </w:p>
        </w:tc>
        <w:tc>
          <w:tcPr>
            <w:tcW w:w="630" w:type="dxa"/>
            <w:shd w:val="clear" w:color="auto" w:fill="auto"/>
            <w:noWrap/>
            <w:vAlign w:val="center"/>
          </w:tcPr>
          <w:p w14:paraId="509EA470" w14:textId="3C2E8D6A" w:rsidR="00760EAF" w:rsidRPr="00C61B5A" w:rsidRDefault="00760EAF" w:rsidP="002C2AD0">
            <w:pPr>
              <w:jc w:val="both"/>
              <w:rPr>
                <w:rFonts w:eastAsia="Times New Roman"/>
                <w:bCs/>
                <w:color w:val="000000"/>
                <w:szCs w:val="22"/>
                <w:lang w:val="en-US"/>
              </w:rPr>
            </w:pPr>
            <w:r w:rsidRPr="00C61B5A">
              <w:rPr>
                <w:rFonts w:eastAsia="Times New Roman"/>
                <w:bCs/>
                <w:color w:val="000000"/>
                <w:szCs w:val="22"/>
                <w:lang w:val="en-US"/>
              </w:rPr>
              <w:t>161</w:t>
            </w:r>
          </w:p>
        </w:tc>
        <w:tc>
          <w:tcPr>
            <w:tcW w:w="2516" w:type="dxa"/>
            <w:shd w:val="clear" w:color="auto" w:fill="auto"/>
            <w:noWrap/>
          </w:tcPr>
          <w:p w14:paraId="7117456F" w14:textId="77DDB01B" w:rsidR="00760EAF" w:rsidRPr="00C61B5A" w:rsidRDefault="00760EAF" w:rsidP="002C2AD0">
            <w:pPr>
              <w:jc w:val="both"/>
              <w:rPr>
                <w:rFonts w:eastAsia="Times New Roman"/>
                <w:bCs/>
                <w:color w:val="000000"/>
                <w:szCs w:val="22"/>
                <w:highlight w:val="yellow"/>
                <w:lang w:val="en-US"/>
              </w:rPr>
            </w:pPr>
            <w:r w:rsidRPr="00C61B5A">
              <w:rPr>
                <w:szCs w:val="22"/>
              </w:rPr>
              <w:t xml:space="preserve">"80 MHz </w:t>
            </w:r>
            <w:proofErr w:type="gramStart"/>
            <w:r w:rsidRPr="00C61B5A">
              <w:rPr>
                <w:szCs w:val="22"/>
              </w:rPr>
              <w:t>In</w:t>
            </w:r>
            <w:proofErr w:type="gramEnd"/>
            <w:r w:rsidRPr="00C61B5A">
              <w:rPr>
                <w:szCs w:val="22"/>
              </w:rPr>
              <w:t xml:space="preserve"> 160/80+80 MHz HEPPDU" this capability allows a 80MHz HE STA to supports 160 MHz OFDMA. However how the PPDU is constructed is not clear. How the BW of the PPDU is set? 80 or 160? All these details need to be clarified.</w:t>
            </w:r>
          </w:p>
        </w:tc>
        <w:tc>
          <w:tcPr>
            <w:tcW w:w="2835" w:type="dxa"/>
            <w:shd w:val="clear" w:color="auto" w:fill="auto"/>
            <w:noWrap/>
          </w:tcPr>
          <w:p w14:paraId="24CFB0FB" w14:textId="0EB9EB88" w:rsidR="00760EAF" w:rsidRPr="00C61B5A" w:rsidRDefault="00760EAF" w:rsidP="002C2AD0">
            <w:pPr>
              <w:jc w:val="both"/>
              <w:rPr>
                <w:rFonts w:eastAsia="Times New Roman"/>
                <w:bCs/>
                <w:color w:val="000000"/>
                <w:szCs w:val="22"/>
                <w:highlight w:val="yellow"/>
                <w:lang w:val="en-US"/>
              </w:rPr>
            </w:pPr>
            <w:r w:rsidRPr="00C61B5A">
              <w:rPr>
                <w:szCs w:val="22"/>
              </w:rPr>
              <w:t>as in the comment</w:t>
            </w:r>
          </w:p>
        </w:tc>
        <w:tc>
          <w:tcPr>
            <w:tcW w:w="3379" w:type="dxa"/>
            <w:shd w:val="clear" w:color="auto" w:fill="auto"/>
            <w:vAlign w:val="center"/>
          </w:tcPr>
          <w:p w14:paraId="03949185" w14:textId="7D22A1F5" w:rsidR="00760EAF" w:rsidRPr="00C61B5A" w:rsidRDefault="00760EAF" w:rsidP="002C2AD0">
            <w:pPr>
              <w:jc w:val="both"/>
              <w:rPr>
                <w:rFonts w:eastAsia="Times New Roman"/>
                <w:bCs/>
                <w:color w:val="000000"/>
                <w:szCs w:val="22"/>
                <w:lang w:val="en-US"/>
              </w:rPr>
            </w:pPr>
            <w:r w:rsidRPr="00C61B5A">
              <w:rPr>
                <w:rFonts w:eastAsia="Times New Roman"/>
                <w:bCs/>
                <w:color w:val="000000"/>
                <w:szCs w:val="22"/>
                <w:lang w:val="en-US"/>
              </w:rPr>
              <w:t>Reject—</w:t>
            </w:r>
          </w:p>
          <w:p w14:paraId="3D47556A" w14:textId="77777777" w:rsidR="003876B3" w:rsidRDefault="003876B3" w:rsidP="002C2AD0">
            <w:pPr>
              <w:jc w:val="both"/>
              <w:rPr>
                <w:rFonts w:eastAsia="Times New Roman"/>
                <w:bCs/>
                <w:color w:val="000000"/>
                <w:szCs w:val="22"/>
                <w:lang w:val="en-US"/>
              </w:rPr>
            </w:pPr>
          </w:p>
          <w:p w14:paraId="5E24AADA" w14:textId="2024C286" w:rsidR="00561A08" w:rsidRPr="00C61B5A" w:rsidRDefault="00561A08" w:rsidP="002C2AD0">
            <w:pPr>
              <w:jc w:val="both"/>
              <w:rPr>
                <w:rFonts w:eastAsia="Times New Roman"/>
                <w:bCs/>
                <w:color w:val="000000"/>
                <w:szCs w:val="22"/>
                <w:lang w:val="en-US"/>
              </w:rPr>
            </w:pPr>
            <w:r w:rsidRPr="00C61B5A">
              <w:rPr>
                <w:rFonts w:eastAsia="Times New Roman"/>
                <w:bCs/>
                <w:color w:val="000000"/>
                <w:szCs w:val="22"/>
                <w:lang w:val="en-US"/>
              </w:rPr>
              <w:t xml:space="preserve">Section 28.3.2.9 describes the behavior for STAs that indicate support of 80MHz </w:t>
            </w:r>
            <w:proofErr w:type="gramStart"/>
            <w:r w:rsidRPr="00C61B5A">
              <w:rPr>
                <w:rFonts w:eastAsia="Times New Roman"/>
                <w:bCs/>
                <w:color w:val="000000"/>
                <w:szCs w:val="22"/>
                <w:lang w:val="en-US"/>
              </w:rPr>
              <w:t>In</w:t>
            </w:r>
            <w:proofErr w:type="gramEnd"/>
            <w:r w:rsidRPr="00C61B5A">
              <w:rPr>
                <w:rFonts w:eastAsia="Times New Roman"/>
                <w:bCs/>
                <w:color w:val="000000"/>
                <w:szCs w:val="22"/>
                <w:lang w:val="en-US"/>
              </w:rPr>
              <w:t xml:space="preserve"> 160/80+80MHz HE PPDU.</w:t>
            </w:r>
            <w:r w:rsidR="00ED229C" w:rsidRPr="00C61B5A">
              <w:rPr>
                <w:rFonts w:eastAsia="Times New Roman"/>
                <w:bCs/>
                <w:color w:val="000000"/>
                <w:szCs w:val="22"/>
                <w:lang w:val="en-US"/>
              </w:rPr>
              <w:t xml:space="preserve"> </w:t>
            </w:r>
            <w:r w:rsidRPr="00C61B5A">
              <w:rPr>
                <w:rFonts w:eastAsia="Times New Roman"/>
                <w:bCs/>
                <w:color w:val="000000"/>
                <w:szCs w:val="22"/>
                <w:lang w:val="en-US"/>
              </w:rPr>
              <w:t>The key points are as follows</w:t>
            </w:r>
          </w:p>
          <w:p w14:paraId="180AEC3A" w14:textId="5EA21F1A" w:rsidR="00561A08" w:rsidRPr="00C61B5A" w:rsidRDefault="00561A08" w:rsidP="002C2AD0">
            <w:pPr>
              <w:pStyle w:val="ListParagraph"/>
              <w:numPr>
                <w:ilvl w:val="0"/>
                <w:numId w:val="42"/>
              </w:numPr>
              <w:jc w:val="both"/>
              <w:rPr>
                <w:rFonts w:eastAsia="Times New Roman"/>
                <w:bCs/>
                <w:color w:val="000000"/>
                <w:szCs w:val="22"/>
                <w:lang w:val="en-US"/>
              </w:rPr>
            </w:pPr>
            <w:r w:rsidRPr="00C61B5A">
              <w:rPr>
                <w:rFonts w:eastAsia="Times New Roman"/>
                <w:bCs/>
                <w:color w:val="000000"/>
                <w:szCs w:val="22"/>
                <w:lang w:val="en-US"/>
              </w:rPr>
              <w:t xml:space="preserve">Incoming waveform is 160MHz PPDU, i.e., BW in HE-SIG-A = 160 </w:t>
            </w:r>
            <w:proofErr w:type="spellStart"/>
            <w:r w:rsidRPr="00C61B5A">
              <w:rPr>
                <w:rFonts w:eastAsia="Times New Roman"/>
                <w:bCs/>
                <w:color w:val="000000"/>
                <w:szCs w:val="22"/>
                <w:lang w:val="en-US"/>
              </w:rPr>
              <w:t>MHz</w:t>
            </w:r>
            <w:r w:rsidR="00ED229C" w:rsidRPr="00C61B5A">
              <w:rPr>
                <w:rFonts w:eastAsia="Times New Roman"/>
                <w:bCs/>
                <w:color w:val="000000"/>
                <w:szCs w:val="22"/>
                <w:lang w:val="en-US"/>
              </w:rPr>
              <w:t>.</w:t>
            </w:r>
            <w:proofErr w:type="spellEnd"/>
            <w:r w:rsidR="00ED229C" w:rsidRPr="00C61B5A">
              <w:rPr>
                <w:rFonts w:eastAsia="Times New Roman"/>
                <w:bCs/>
                <w:color w:val="000000"/>
                <w:szCs w:val="22"/>
                <w:lang w:val="en-US"/>
              </w:rPr>
              <w:t xml:space="preserve"> This is evident from the term “160 MHz or 80+80MHz HE MU PPDU …” in the section.</w:t>
            </w:r>
          </w:p>
          <w:p w14:paraId="3D70E692" w14:textId="02C25942" w:rsidR="00561A08" w:rsidRPr="00C61B5A" w:rsidRDefault="00561A08" w:rsidP="002C2AD0">
            <w:pPr>
              <w:pStyle w:val="ListParagraph"/>
              <w:numPr>
                <w:ilvl w:val="0"/>
                <w:numId w:val="42"/>
              </w:numPr>
              <w:jc w:val="both"/>
              <w:rPr>
                <w:rFonts w:eastAsia="Times New Roman"/>
                <w:bCs/>
                <w:color w:val="000000"/>
                <w:szCs w:val="22"/>
                <w:lang w:val="en-US"/>
              </w:rPr>
            </w:pPr>
            <w:r w:rsidRPr="00C61B5A">
              <w:rPr>
                <w:rFonts w:eastAsia="Times New Roman"/>
                <w:bCs/>
                <w:color w:val="000000"/>
                <w:szCs w:val="22"/>
                <w:lang w:val="en-US"/>
              </w:rPr>
              <w:t>RU to ‘this’ STA allocated within primary 80 MHz</w:t>
            </w:r>
          </w:p>
        </w:tc>
      </w:tr>
    </w:tbl>
    <w:p w14:paraId="65056466" w14:textId="77777777" w:rsidR="007E51DE" w:rsidRPr="00C61B5A" w:rsidRDefault="007E51DE" w:rsidP="002C2AD0">
      <w:pPr>
        <w:jc w:val="both"/>
        <w:rPr>
          <w:b/>
          <w:i/>
          <w:szCs w:val="22"/>
          <w:lang w:eastAsia="ko-KR"/>
        </w:rPr>
      </w:pPr>
    </w:p>
    <w:p w14:paraId="1AE979BE" w14:textId="77777777" w:rsidR="007E51DE" w:rsidRPr="00C61B5A" w:rsidRDefault="007E51DE" w:rsidP="002C2AD0">
      <w:pPr>
        <w:jc w:val="both"/>
        <w:rPr>
          <w:b/>
          <w:i/>
          <w:szCs w:val="22"/>
          <w:lang w:eastAsia="ko-KR"/>
        </w:rPr>
      </w:pPr>
      <w:r w:rsidRPr="00C61B5A">
        <w:rPr>
          <w:b/>
          <w:i/>
          <w:szCs w:val="22"/>
          <w:lang w:eastAsia="ko-KR"/>
        </w:rPr>
        <w:t>Discussion</w:t>
      </w:r>
    </w:p>
    <w:p w14:paraId="09F03BF4" w14:textId="77777777" w:rsidR="007E51DE" w:rsidRPr="00C61B5A" w:rsidRDefault="007E51DE" w:rsidP="002C2AD0">
      <w:pPr>
        <w:jc w:val="both"/>
        <w:rPr>
          <w:b/>
          <w:i/>
          <w:szCs w:val="22"/>
          <w:lang w:eastAsia="ko-KR"/>
        </w:rPr>
      </w:pPr>
      <w:r w:rsidRPr="00C61B5A">
        <w:rPr>
          <w:b/>
          <w:i/>
          <w:szCs w:val="22"/>
          <w:lang w:eastAsia="ko-KR"/>
        </w:rPr>
        <w:t>Table 9-262aa Subfields of the HE PHY Capabilities Information field</w:t>
      </w:r>
    </w:p>
    <w:p w14:paraId="6038AF85" w14:textId="46202196" w:rsidR="007E51DE" w:rsidRPr="00C61B5A" w:rsidRDefault="002F1C31" w:rsidP="002C2AD0">
      <w:pPr>
        <w:jc w:val="both"/>
        <w:rPr>
          <w:b/>
          <w:i/>
          <w:szCs w:val="22"/>
          <w:lang w:eastAsia="ko-KR"/>
        </w:rPr>
      </w:pPr>
      <w:r w:rsidRPr="00C61B5A">
        <w:rPr>
          <w:b/>
          <w:i/>
          <w:noProof/>
          <w:szCs w:val="22"/>
          <w:lang w:eastAsia="ko-KR"/>
        </w:rPr>
        <w:lastRenderedPageBreak/>
        <w:drawing>
          <wp:inline distT="0" distB="0" distL="0" distR="0" wp14:anchorId="03D0C46B" wp14:editId="4E019B70">
            <wp:extent cx="5943600" cy="141253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412537"/>
                    </a:xfrm>
                    <a:prstGeom prst="rect">
                      <a:avLst/>
                    </a:prstGeom>
                    <a:noFill/>
                    <a:ln>
                      <a:noFill/>
                    </a:ln>
                  </pic:spPr>
                </pic:pic>
              </a:graphicData>
            </a:graphic>
          </wp:inline>
        </w:drawing>
      </w:r>
    </w:p>
    <w:p w14:paraId="79B25DC6" w14:textId="34AC2093" w:rsidR="007E51DE" w:rsidRPr="00C61B5A" w:rsidRDefault="007E51DE" w:rsidP="002C2AD0">
      <w:pPr>
        <w:jc w:val="both"/>
        <w:rPr>
          <w:b/>
          <w:i/>
          <w:szCs w:val="22"/>
          <w:lang w:eastAsia="ko-KR"/>
        </w:rPr>
      </w:pPr>
    </w:p>
    <w:p w14:paraId="4A6A88E2" w14:textId="74122C00" w:rsidR="00760EAF" w:rsidRPr="00C61B5A" w:rsidRDefault="00760EAF" w:rsidP="002C2AD0">
      <w:pPr>
        <w:jc w:val="both"/>
        <w:rPr>
          <w:b/>
          <w:i/>
          <w:szCs w:val="22"/>
          <w:lang w:eastAsia="ko-KR"/>
        </w:rPr>
      </w:pPr>
    </w:p>
    <w:p w14:paraId="782EFD66" w14:textId="160152F4" w:rsidR="00760EAF" w:rsidRPr="00C61B5A" w:rsidRDefault="00760EAF" w:rsidP="002C2AD0">
      <w:pPr>
        <w:jc w:val="both"/>
        <w:rPr>
          <w:b/>
          <w:i/>
          <w:szCs w:val="22"/>
          <w:lang w:eastAsia="ko-KR"/>
        </w:rPr>
      </w:pPr>
      <w:r w:rsidRPr="00C61B5A">
        <w:rPr>
          <w:b/>
          <w:i/>
          <w:szCs w:val="22"/>
          <w:lang w:eastAsia="ko-KR"/>
        </w:rPr>
        <w:t>Section 28.3.2.9 (80 MHz Operating non-AP HE STA) describes the operation of a non-AP HE STA capable of up to 80 MHz channel width, when operating with 80 MHz channel width in 160/80+80 MHz HE PPDU.</w:t>
      </w:r>
    </w:p>
    <w:p w14:paraId="4BD82A24" w14:textId="48869A7F" w:rsidR="00047317" w:rsidRPr="00C61B5A" w:rsidRDefault="00047317" w:rsidP="002C2AD0">
      <w:pPr>
        <w:jc w:val="both"/>
        <w:rPr>
          <w:b/>
          <w:i/>
          <w:szCs w:val="22"/>
          <w:lang w:eastAsia="ko-KR"/>
        </w:rPr>
      </w:pPr>
      <w:r w:rsidRPr="00C61B5A">
        <w:rPr>
          <w:b/>
          <w:i/>
          <w:noProof/>
          <w:szCs w:val="22"/>
          <w:lang w:eastAsia="ko-KR"/>
        </w:rPr>
        <w:drawing>
          <wp:inline distT="0" distB="0" distL="0" distR="0" wp14:anchorId="78A41E05" wp14:editId="774552C6">
            <wp:extent cx="5943600" cy="2202885"/>
            <wp:effectExtent l="19050" t="19050" r="19050" b="260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202885"/>
                    </a:xfrm>
                    <a:prstGeom prst="rect">
                      <a:avLst/>
                    </a:prstGeom>
                    <a:noFill/>
                    <a:ln>
                      <a:solidFill>
                        <a:schemeClr val="accent1"/>
                      </a:solidFill>
                    </a:ln>
                  </pic:spPr>
                </pic:pic>
              </a:graphicData>
            </a:graphic>
          </wp:inline>
        </w:drawing>
      </w:r>
    </w:p>
    <w:p w14:paraId="6EA32187" w14:textId="77777777" w:rsidR="007E51DE" w:rsidRPr="00C61B5A" w:rsidRDefault="007E51DE" w:rsidP="002C2AD0">
      <w:pPr>
        <w:pStyle w:val="T"/>
        <w:rPr>
          <w:b/>
          <w:i/>
          <w:sz w:val="22"/>
          <w:szCs w:val="22"/>
        </w:rPr>
      </w:pPr>
      <w:r w:rsidRPr="00C61B5A">
        <w:rPr>
          <w:b/>
          <w:i/>
          <w:sz w:val="22"/>
          <w:szCs w:val="22"/>
        </w:rPr>
        <w:t>------------- Begin Text Changes ---------------</w:t>
      </w:r>
    </w:p>
    <w:p w14:paraId="3204F12B" w14:textId="77777777" w:rsidR="007E51DE" w:rsidRPr="00C61B5A" w:rsidRDefault="007E51DE" w:rsidP="002C2AD0">
      <w:pPr>
        <w:pStyle w:val="T"/>
        <w:rPr>
          <w:b/>
          <w:i/>
          <w:sz w:val="22"/>
          <w:szCs w:val="22"/>
        </w:rPr>
      </w:pPr>
      <w:r w:rsidRPr="00C61B5A">
        <w:rPr>
          <w:b/>
          <w:i/>
          <w:sz w:val="22"/>
          <w:szCs w:val="22"/>
        </w:rPr>
        <w:t>------------- End Text Changes ---------------</w:t>
      </w:r>
    </w:p>
    <w:p w14:paraId="3475AC70" w14:textId="77777777" w:rsidR="007E51DE" w:rsidRPr="00C61B5A" w:rsidRDefault="007E51DE" w:rsidP="002C2AD0">
      <w:pPr>
        <w:pStyle w:val="T"/>
        <w:rPr>
          <w:b/>
          <w:i/>
          <w:sz w:val="22"/>
          <w:szCs w:val="22"/>
        </w:rPr>
      </w:pPr>
    </w:p>
    <w:sectPr w:rsidR="007E51DE" w:rsidRPr="00C61B5A">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55588" w14:textId="77777777" w:rsidR="003E5809" w:rsidRDefault="003E5809">
      <w:r>
        <w:separator/>
      </w:r>
    </w:p>
  </w:endnote>
  <w:endnote w:type="continuationSeparator" w:id="0">
    <w:p w14:paraId="0ED9B749" w14:textId="77777777" w:rsidR="003E5809" w:rsidRDefault="003E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2FB4" w14:textId="77777777" w:rsidR="00B97988" w:rsidRDefault="00083063" w:rsidP="00B97988">
    <w:pPr>
      <w:pStyle w:val="Footer"/>
      <w:tabs>
        <w:tab w:val="clear" w:pos="6480"/>
        <w:tab w:val="center" w:pos="4680"/>
        <w:tab w:val="right" w:pos="9360"/>
      </w:tabs>
    </w:pPr>
    <w:fldSimple w:instr=" SUBJECT  \* MERGEFORMAT ">
      <w:r w:rsidR="00C64097">
        <w:t>Submission</w:t>
      </w:r>
    </w:fldSimple>
    <w:r w:rsidR="00C64097">
      <w:tab/>
      <w:t xml:space="preserve">page </w:t>
    </w:r>
    <w:r w:rsidR="00C64097">
      <w:fldChar w:fldCharType="begin"/>
    </w:r>
    <w:r w:rsidR="00C64097">
      <w:instrText xml:space="preserve">page </w:instrText>
    </w:r>
    <w:r w:rsidR="00C64097">
      <w:fldChar w:fldCharType="separate"/>
    </w:r>
    <w:r w:rsidR="00C21E19">
      <w:rPr>
        <w:noProof/>
      </w:rPr>
      <w:t>2</w:t>
    </w:r>
    <w:r w:rsidR="00C64097">
      <w:fldChar w:fldCharType="end"/>
    </w:r>
    <w:r w:rsidR="00C64097">
      <w:tab/>
    </w:r>
    <w:r w:rsidR="00B97988">
      <w:rPr>
        <w:lang w:eastAsia="ko-KR"/>
      </w:rPr>
      <w:t>Lochan Verma</w:t>
    </w:r>
    <w:r w:rsidR="00B97988">
      <w:t>, Qualcomm Inc.</w:t>
    </w:r>
  </w:p>
  <w:p w14:paraId="4DFEA8E5" w14:textId="64BBF3C2" w:rsidR="00C64097" w:rsidRDefault="00C64097">
    <w:pPr>
      <w:pStyle w:val="Footer"/>
      <w:tabs>
        <w:tab w:val="clear" w:pos="6480"/>
        <w:tab w:val="center" w:pos="4680"/>
        <w:tab w:val="right" w:pos="9360"/>
      </w:tabs>
    </w:pPr>
    <w:r>
      <w:fldChar w:fldCharType="begin"/>
    </w:r>
    <w:r>
      <w:instrText xml:space="preserve"> COMMENTS  \* MERGEFORMAT </w:instrText>
    </w:r>
    <w:r>
      <w:fldChar w:fldCharType="end"/>
    </w:r>
  </w:p>
  <w:p w14:paraId="3DA233A1" w14:textId="77777777" w:rsidR="00C64097" w:rsidRDefault="00C64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12C7B" w14:textId="77777777" w:rsidR="003E5809" w:rsidRDefault="003E5809">
      <w:r>
        <w:separator/>
      </w:r>
    </w:p>
  </w:footnote>
  <w:footnote w:type="continuationSeparator" w:id="0">
    <w:p w14:paraId="0D00DFAC" w14:textId="77777777" w:rsidR="003E5809" w:rsidRDefault="003E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48455E86" w:rsidR="00C64097" w:rsidRDefault="002A69E4">
    <w:pPr>
      <w:pStyle w:val="Header"/>
      <w:tabs>
        <w:tab w:val="clear" w:pos="6480"/>
        <w:tab w:val="center" w:pos="4680"/>
        <w:tab w:val="right" w:pos="9360"/>
      </w:tabs>
    </w:pPr>
    <w:r>
      <w:rPr>
        <w:rFonts w:hint="eastAsia"/>
        <w:lang w:eastAsia="ko-KR"/>
      </w:rPr>
      <w:t>S</w:t>
    </w:r>
    <w:r>
      <w:rPr>
        <w:lang w:eastAsia="ko-KR"/>
      </w:rPr>
      <w:t>ep</w:t>
    </w:r>
    <w:r w:rsidR="00C64097">
      <w:t xml:space="preserve"> 2018</w:t>
    </w:r>
    <w:r w:rsidR="00C64097">
      <w:tab/>
    </w:r>
    <w:r w:rsidR="00C64097">
      <w:tab/>
      <w:t>doc.: IEEE 802.11-18/</w:t>
    </w:r>
    <w:r w:rsidR="007C1E03">
      <w:t>1460r</w:t>
    </w:r>
    <w:r w:rsidR="00E41E8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C0A67"/>
    <w:multiLevelType w:val="hybridMultilevel"/>
    <w:tmpl w:val="6A024F40"/>
    <w:lvl w:ilvl="0" w:tplc="F87419F6">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0"/>
  </w:num>
  <w:num w:numId="23">
    <w:abstractNumId w:val="6"/>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3"/>
  </w:num>
  <w:num w:numId="4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76F4"/>
    <w:rsid w:val="00011033"/>
    <w:rsid w:val="00011D02"/>
    <w:rsid w:val="00012E25"/>
    <w:rsid w:val="000143A2"/>
    <w:rsid w:val="000144A7"/>
    <w:rsid w:val="00014E36"/>
    <w:rsid w:val="00015958"/>
    <w:rsid w:val="000166D3"/>
    <w:rsid w:val="00017E51"/>
    <w:rsid w:val="00020A50"/>
    <w:rsid w:val="0002143B"/>
    <w:rsid w:val="00022F0C"/>
    <w:rsid w:val="00025686"/>
    <w:rsid w:val="00025A64"/>
    <w:rsid w:val="000273A1"/>
    <w:rsid w:val="00027CD6"/>
    <w:rsid w:val="00031E7B"/>
    <w:rsid w:val="00036B49"/>
    <w:rsid w:val="00037947"/>
    <w:rsid w:val="00037BE2"/>
    <w:rsid w:val="0004049B"/>
    <w:rsid w:val="00040B6D"/>
    <w:rsid w:val="0004431E"/>
    <w:rsid w:val="00044D12"/>
    <w:rsid w:val="0004596D"/>
    <w:rsid w:val="00047317"/>
    <w:rsid w:val="0005358F"/>
    <w:rsid w:val="000627C8"/>
    <w:rsid w:val="00066195"/>
    <w:rsid w:val="00070343"/>
    <w:rsid w:val="000717BE"/>
    <w:rsid w:val="00074294"/>
    <w:rsid w:val="00076465"/>
    <w:rsid w:val="000813F5"/>
    <w:rsid w:val="00081BF2"/>
    <w:rsid w:val="00083063"/>
    <w:rsid w:val="00084D3D"/>
    <w:rsid w:val="00090F5E"/>
    <w:rsid w:val="00092ACE"/>
    <w:rsid w:val="000948EC"/>
    <w:rsid w:val="00097C3B"/>
    <w:rsid w:val="000A09CF"/>
    <w:rsid w:val="000A0C05"/>
    <w:rsid w:val="000A1F52"/>
    <w:rsid w:val="000A3105"/>
    <w:rsid w:val="000A33DD"/>
    <w:rsid w:val="000A37F6"/>
    <w:rsid w:val="000B2180"/>
    <w:rsid w:val="000B2CDB"/>
    <w:rsid w:val="000B72A0"/>
    <w:rsid w:val="000C13F5"/>
    <w:rsid w:val="000C1637"/>
    <w:rsid w:val="000C5543"/>
    <w:rsid w:val="000C5D9A"/>
    <w:rsid w:val="000C6CCB"/>
    <w:rsid w:val="000D1813"/>
    <w:rsid w:val="000D322B"/>
    <w:rsid w:val="000E152B"/>
    <w:rsid w:val="000E226E"/>
    <w:rsid w:val="000E4005"/>
    <w:rsid w:val="000E6555"/>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7591"/>
    <w:rsid w:val="00107E56"/>
    <w:rsid w:val="00113E8E"/>
    <w:rsid w:val="00120F51"/>
    <w:rsid w:val="001245B3"/>
    <w:rsid w:val="00125962"/>
    <w:rsid w:val="0013093C"/>
    <w:rsid w:val="001327FA"/>
    <w:rsid w:val="00133B82"/>
    <w:rsid w:val="00133E7A"/>
    <w:rsid w:val="00133FB8"/>
    <w:rsid w:val="001347EE"/>
    <w:rsid w:val="00134F75"/>
    <w:rsid w:val="00135C70"/>
    <w:rsid w:val="00136081"/>
    <w:rsid w:val="00136DDD"/>
    <w:rsid w:val="001374D0"/>
    <w:rsid w:val="00137FE4"/>
    <w:rsid w:val="00143692"/>
    <w:rsid w:val="00144196"/>
    <w:rsid w:val="0014633C"/>
    <w:rsid w:val="00147788"/>
    <w:rsid w:val="00151F5F"/>
    <w:rsid w:val="00152933"/>
    <w:rsid w:val="00152E9F"/>
    <w:rsid w:val="001607E0"/>
    <w:rsid w:val="00160F61"/>
    <w:rsid w:val="00161C61"/>
    <w:rsid w:val="00161F24"/>
    <w:rsid w:val="0016250B"/>
    <w:rsid w:val="00165640"/>
    <w:rsid w:val="00165A35"/>
    <w:rsid w:val="0016625F"/>
    <w:rsid w:val="0017013D"/>
    <w:rsid w:val="0017065E"/>
    <w:rsid w:val="00170BC1"/>
    <w:rsid w:val="00172178"/>
    <w:rsid w:val="00172233"/>
    <w:rsid w:val="00175171"/>
    <w:rsid w:val="00175224"/>
    <w:rsid w:val="00180453"/>
    <w:rsid w:val="00180EE6"/>
    <w:rsid w:val="00181582"/>
    <w:rsid w:val="001832C4"/>
    <w:rsid w:val="00187A66"/>
    <w:rsid w:val="00194F71"/>
    <w:rsid w:val="0019545C"/>
    <w:rsid w:val="0019612D"/>
    <w:rsid w:val="00196678"/>
    <w:rsid w:val="001974B0"/>
    <w:rsid w:val="001A0EF1"/>
    <w:rsid w:val="001A1433"/>
    <w:rsid w:val="001A488A"/>
    <w:rsid w:val="001A550E"/>
    <w:rsid w:val="001A6541"/>
    <w:rsid w:val="001B0484"/>
    <w:rsid w:val="001B0983"/>
    <w:rsid w:val="001B1ECA"/>
    <w:rsid w:val="001B748C"/>
    <w:rsid w:val="001B7BF2"/>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B27"/>
    <w:rsid w:val="001E1DFC"/>
    <w:rsid w:val="001E2180"/>
    <w:rsid w:val="001E2E9F"/>
    <w:rsid w:val="001E483E"/>
    <w:rsid w:val="001E63B3"/>
    <w:rsid w:val="001E79AB"/>
    <w:rsid w:val="001F12B2"/>
    <w:rsid w:val="001F1A6C"/>
    <w:rsid w:val="001F20B9"/>
    <w:rsid w:val="001F41CC"/>
    <w:rsid w:val="001F4D4C"/>
    <w:rsid w:val="001F7749"/>
    <w:rsid w:val="00203446"/>
    <w:rsid w:val="00204C4E"/>
    <w:rsid w:val="002054D2"/>
    <w:rsid w:val="00206D45"/>
    <w:rsid w:val="0020733F"/>
    <w:rsid w:val="0021066D"/>
    <w:rsid w:val="00210DB0"/>
    <w:rsid w:val="002114A1"/>
    <w:rsid w:val="00211809"/>
    <w:rsid w:val="00211D6F"/>
    <w:rsid w:val="00213203"/>
    <w:rsid w:val="00213F07"/>
    <w:rsid w:val="0021565B"/>
    <w:rsid w:val="00220653"/>
    <w:rsid w:val="00221103"/>
    <w:rsid w:val="0022119E"/>
    <w:rsid w:val="00222FEA"/>
    <w:rsid w:val="0022495D"/>
    <w:rsid w:val="00224973"/>
    <w:rsid w:val="0022520C"/>
    <w:rsid w:val="0022637F"/>
    <w:rsid w:val="00226B1A"/>
    <w:rsid w:val="0022746B"/>
    <w:rsid w:val="00232500"/>
    <w:rsid w:val="00234D48"/>
    <w:rsid w:val="00235619"/>
    <w:rsid w:val="002445DF"/>
    <w:rsid w:val="00244A96"/>
    <w:rsid w:val="002502A4"/>
    <w:rsid w:val="00253244"/>
    <w:rsid w:val="00253479"/>
    <w:rsid w:val="002539F0"/>
    <w:rsid w:val="00253AD6"/>
    <w:rsid w:val="00254FFD"/>
    <w:rsid w:val="0025619A"/>
    <w:rsid w:val="00264906"/>
    <w:rsid w:val="002707C7"/>
    <w:rsid w:val="00271C8D"/>
    <w:rsid w:val="0027230C"/>
    <w:rsid w:val="00272938"/>
    <w:rsid w:val="00277766"/>
    <w:rsid w:val="002807FE"/>
    <w:rsid w:val="00281197"/>
    <w:rsid w:val="00281378"/>
    <w:rsid w:val="00281500"/>
    <w:rsid w:val="00281F7A"/>
    <w:rsid w:val="00282D64"/>
    <w:rsid w:val="00283B2A"/>
    <w:rsid w:val="002849E4"/>
    <w:rsid w:val="00286EE9"/>
    <w:rsid w:val="0029020B"/>
    <w:rsid w:val="00290BD3"/>
    <w:rsid w:val="00294A86"/>
    <w:rsid w:val="00296F3D"/>
    <w:rsid w:val="002A1916"/>
    <w:rsid w:val="002A6592"/>
    <w:rsid w:val="002A69E4"/>
    <w:rsid w:val="002A7314"/>
    <w:rsid w:val="002B1954"/>
    <w:rsid w:val="002B491C"/>
    <w:rsid w:val="002B74C5"/>
    <w:rsid w:val="002B7F7F"/>
    <w:rsid w:val="002C27BC"/>
    <w:rsid w:val="002C2AD0"/>
    <w:rsid w:val="002C3CE9"/>
    <w:rsid w:val="002C4F58"/>
    <w:rsid w:val="002C5D8B"/>
    <w:rsid w:val="002C7ED5"/>
    <w:rsid w:val="002D16F8"/>
    <w:rsid w:val="002D2420"/>
    <w:rsid w:val="002D3F54"/>
    <w:rsid w:val="002D44BE"/>
    <w:rsid w:val="002D58EB"/>
    <w:rsid w:val="002D72A6"/>
    <w:rsid w:val="002E0959"/>
    <w:rsid w:val="002E20F4"/>
    <w:rsid w:val="002E4985"/>
    <w:rsid w:val="002E4E43"/>
    <w:rsid w:val="002F0D8B"/>
    <w:rsid w:val="002F1494"/>
    <w:rsid w:val="002F175E"/>
    <w:rsid w:val="002F19AB"/>
    <w:rsid w:val="002F1B68"/>
    <w:rsid w:val="002F1C31"/>
    <w:rsid w:val="002F1C8B"/>
    <w:rsid w:val="002F40BD"/>
    <w:rsid w:val="002F6E90"/>
    <w:rsid w:val="003000F5"/>
    <w:rsid w:val="00301EFA"/>
    <w:rsid w:val="003035A2"/>
    <w:rsid w:val="003051ED"/>
    <w:rsid w:val="00306F71"/>
    <w:rsid w:val="00307956"/>
    <w:rsid w:val="00311079"/>
    <w:rsid w:val="003112CA"/>
    <w:rsid w:val="003113A8"/>
    <w:rsid w:val="00311AEB"/>
    <w:rsid w:val="0032164B"/>
    <w:rsid w:val="003249D3"/>
    <w:rsid w:val="0032539C"/>
    <w:rsid w:val="0033078C"/>
    <w:rsid w:val="00336601"/>
    <w:rsid w:val="00337761"/>
    <w:rsid w:val="00340A4E"/>
    <w:rsid w:val="0034119D"/>
    <w:rsid w:val="00352515"/>
    <w:rsid w:val="003566AA"/>
    <w:rsid w:val="00356D88"/>
    <w:rsid w:val="00360506"/>
    <w:rsid w:val="00361241"/>
    <w:rsid w:val="00361C5E"/>
    <w:rsid w:val="0036200D"/>
    <w:rsid w:val="00364A1B"/>
    <w:rsid w:val="00366BE6"/>
    <w:rsid w:val="00367BEF"/>
    <w:rsid w:val="00371FF9"/>
    <w:rsid w:val="003727F1"/>
    <w:rsid w:val="003735A6"/>
    <w:rsid w:val="00374675"/>
    <w:rsid w:val="00377B13"/>
    <w:rsid w:val="003830A2"/>
    <w:rsid w:val="00383882"/>
    <w:rsid w:val="00386C11"/>
    <w:rsid w:val="00386E5D"/>
    <w:rsid w:val="003876B3"/>
    <w:rsid w:val="00390CCB"/>
    <w:rsid w:val="00390D0B"/>
    <w:rsid w:val="0039158A"/>
    <w:rsid w:val="00394E78"/>
    <w:rsid w:val="0039622F"/>
    <w:rsid w:val="003962D0"/>
    <w:rsid w:val="003A1CCD"/>
    <w:rsid w:val="003A1E14"/>
    <w:rsid w:val="003B240F"/>
    <w:rsid w:val="003B2A2C"/>
    <w:rsid w:val="003B2B39"/>
    <w:rsid w:val="003B3827"/>
    <w:rsid w:val="003B4350"/>
    <w:rsid w:val="003B58F9"/>
    <w:rsid w:val="003B5ECB"/>
    <w:rsid w:val="003B7673"/>
    <w:rsid w:val="003B7A49"/>
    <w:rsid w:val="003C0731"/>
    <w:rsid w:val="003C1089"/>
    <w:rsid w:val="003C171F"/>
    <w:rsid w:val="003C4750"/>
    <w:rsid w:val="003D0341"/>
    <w:rsid w:val="003D2005"/>
    <w:rsid w:val="003D29C4"/>
    <w:rsid w:val="003D2AEA"/>
    <w:rsid w:val="003D5E97"/>
    <w:rsid w:val="003D6FFB"/>
    <w:rsid w:val="003E050C"/>
    <w:rsid w:val="003E21D0"/>
    <w:rsid w:val="003E2DD7"/>
    <w:rsid w:val="003E359B"/>
    <w:rsid w:val="003E49A0"/>
    <w:rsid w:val="003E556B"/>
    <w:rsid w:val="003E5809"/>
    <w:rsid w:val="003F100E"/>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1228"/>
    <w:rsid w:val="00424659"/>
    <w:rsid w:val="00424B5B"/>
    <w:rsid w:val="0042538F"/>
    <w:rsid w:val="00430F78"/>
    <w:rsid w:val="004343FC"/>
    <w:rsid w:val="0043714F"/>
    <w:rsid w:val="0043747D"/>
    <w:rsid w:val="0044107A"/>
    <w:rsid w:val="00442037"/>
    <w:rsid w:val="00442E0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732A"/>
    <w:rsid w:val="00480585"/>
    <w:rsid w:val="00485E46"/>
    <w:rsid w:val="00486220"/>
    <w:rsid w:val="00486AA7"/>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48DE"/>
    <w:rsid w:val="004C7A29"/>
    <w:rsid w:val="004D0B5D"/>
    <w:rsid w:val="004D0FE5"/>
    <w:rsid w:val="004D1370"/>
    <w:rsid w:val="004D4399"/>
    <w:rsid w:val="004D51D1"/>
    <w:rsid w:val="004D6056"/>
    <w:rsid w:val="004E2513"/>
    <w:rsid w:val="004E383A"/>
    <w:rsid w:val="004E53F9"/>
    <w:rsid w:val="004E67B1"/>
    <w:rsid w:val="004F0FC1"/>
    <w:rsid w:val="004F16CE"/>
    <w:rsid w:val="004F2FAB"/>
    <w:rsid w:val="004F3DA6"/>
    <w:rsid w:val="004F5A69"/>
    <w:rsid w:val="004F6F39"/>
    <w:rsid w:val="004F7C6F"/>
    <w:rsid w:val="00503A04"/>
    <w:rsid w:val="00504726"/>
    <w:rsid w:val="00511798"/>
    <w:rsid w:val="005121E1"/>
    <w:rsid w:val="005149CB"/>
    <w:rsid w:val="00515958"/>
    <w:rsid w:val="00523189"/>
    <w:rsid w:val="0052574F"/>
    <w:rsid w:val="00526A53"/>
    <w:rsid w:val="005315E5"/>
    <w:rsid w:val="005318AC"/>
    <w:rsid w:val="00531AE4"/>
    <w:rsid w:val="00532A5F"/>
    <w:rsid w:val="00533785"/>
    <w:rsid w:val="00534C83"/>
    <w:rsid w:val="00535405"/>
    <w:rsid w:val="005400DC"/>
    <w:rsid w:val="00541314"/>
    <w:rsid w:val="00542B72"/>
    <w:rsid w:val="0054429D"/>
    <w:rsid w:val="0054540D"/>
    <w:rsid w:val="00551FC4"/>
    <w:rsid w:val="00555A23"/>
    <w:rsid w:val="00557D06"/>
    <w:rsid w:val="005609C8"/>
    <w:rsid w:val="00561A08"/>
    <w:rsid w:val="00562E6D"/>
    <w:rsid w:val="005639D4"/>
    <w:rsid w:val="00563E06"/>
    <w:rsid w:val="005700B7"/>
    <w:rsid w:val="00570461"/>
    <w:rsid w:val="00570A1C"/>
    <w:rsid w:val="00570BC3"/>
    <w:rsid w:val="005762BB"/>
    <w:rsid w:val="00577EC8"/>
    <w:rsid w:val="00580557"/>
    <w:rsid w:val="005820C3"/>
    <w:rsid w:val="00582210"/>
    <w:rsid w:val="00582C57"/>
    <w:rsid w:val="00583312"/>
    <w:rsid w:val="00583986"/>
    <w:rsid w:val="00585923"/>
    <w:rsid w:val="005866B5"/>
    <w:rsid w:val="00586E5C"/>
    <w:rsid w:val="005874B0"/>
    <w:rsid w:val="005874BE"/>
    <w:rsid w:val="0059053A"/>
    <w:rsid w:val="005913EC"/>
    <w:rsid w:val="00591EA0"/>
    <w:rsid w:val="00595232"/>
    <w:rsid w:val="0059581D"/>
    <w:rsid w:val="00597CB2"/>
    <w:rsid w:val="005A01CD"/>
    <w:rsid w:val="005A2915"/>
    <w:rsid w:val="005A3A6D"/>
    <w:rsid w:val="005A4153"/>
    <w:rsid w:val="005A49DD"/>
    <w:rsid w:val="005A56EF"/>
    <w:rsid w:val="005A667D"/>
    <w:rsid w:val="005B0800"/>
    <w:rsid w:val="005B478D"/>
    <w:rsid w:val="005B4DA5"/>
    <w:rsid w:val="005B4F34"/>
    <w:rsid w:val="005C02CA"/>
    <w:rsid w:val="005C14D4"/>
    <w:rsid w:val="005C28FB"/>
    <w:rsid w:val="005C3021"/>
    <w:rsid w:val="005C6898"/>
    <w:rsid w:val="005C6953"/>
    <w:rsid w:val="005C6ECD"/>
    <w:rsid w:val="005D1B3A"/>
    <w:rsid w:val="005D1BB6"/>
    <w:rsid w:val="005D2FCC"/>
    <w:rsid w:val="005D395C"/>
    <w:rsid w:val="005D41F1"/>
    <w:rsid w:val="005E12A3"/>
    <w:rsid w:val="005E624D"/>
    <w:rsid w:val="005E62A3"/>
    <w:rsid w:val="005E6DE2"/>
    <w:rsid w:val="005E7400"/>
    <w:rsid w:val="005E7A6E"/>
    <w:rsid w:val="005F4D3F"/>
    <w:rsid w:val="005F7329"/>
    <w:rsid w:val="005F79D4"/>
    <w:rsid w:val="00600A65"/>
    <w:rsid w:val="00601583"/>
    <w:rsid w:val="00601A85"/>
    <w:rsid w:val="00602026"/>
    <w:rsid w:val="0060354A"/>
    <w:rsid w:val="0060763F"/>
    <w:rsid w:val="006101FD"/>
    <w:rsid w:val="00611A02"/>
    <w:rsid w:val="0061301A"/>
    <w:rsid w:val="00613069"/>
    <w:rsid w:val="00613182"/>
    <w:rsid w:val="00615C45"/>
    <w:rsid w:val="0062087C"/>
    <w:rsid w:val="00621872"/>
    <w:rsid w:val="006230CB"/>
    <w:rsid w:val="0062440B"/>
    <w:rsid w:val="00624ACD"/>
    <w:rsid w:val="00626380"/>
    <w:rsid w:val="00635134"/>
    <w:rsid w:val="00642B12"/>
    <w:rsid w:val="00647017"/>
    <w:rsid w:val="006478F2"/>
    <w:rsid w:val="00661282"/>
    <w:rsid w:val="0066522D"/>
    <w:rsid w:val="00670DA0"/>
    <w:rsid w:val="00673A8D"/>
    <w:rsid w:val="006801A4"/>
    <w:rsid w:val="006806D3"/>
    <w:rsid w:val="00687217"/>
    <w:rsid w:val="00687446"/>
    <w:rsid w:val="00691993"/>
    <w:rsid w:val="006948DD"/>
    <w:rsid w:val="00695052"/>
    <w:rsid w:val="006951B5"/>
    <w:rsid w:val="006961D3"/>
    <w:rsid w:val="006A0C57"/>
    <w:rsid w:val="006A134B"/>
    <w:rsid w:val="006A2689"/>
    <w:rsid w:val="006A308A"/>
    <w:rsid w:val="006A3D74"/>
    <w:rsid w:val="006A5540"/>
    <w:rsid w:val="006A7D2E"/>
    <w:rsid w:val="006B0F03"/>
    <w:rsid w:val="006B0F47"/>
    <w:rsid w:val="006B2EC1"/>
    <w:rsid w:val="006B47F5"/>
    <w:rsid w:val="006B597C"/>
    <w:rsid w:val="006B7585"/>
    <w:rsid w:val="006C0727"/>
    <w:rsid w:val="006C0895"/>
    <w:rsid w:val="006C193E"/>
    <w:rsid w:val="006C33F7"/>
    <w:rsid w:val="006C3DD7"/>
    <w:rsid w:val="006C4954"/>
    <w:rsid w:val="006C5152"/>
    <w:rsid w:val="006C66D4"/>
    <w:rsid w:val="006D11A2"/>
    <w:rsid w:val="006D30A5"/>
    <w:rsid w:val="006D31FF"/>
    <w:rsid w:val="006D38B4"/>
    <w:rsid w:val="006D6D63"/>
    <w:rsid w:val="006E145F"/>
    <w:rsid w:val="006E1B92"/>
    <w:rsid w:val="006E4033"/>
    <w:rsid w:val="006E5CAB"/>
    <w:rsid w:val="006E6DDF"/>
    <w:rsid w:val="006F0B12"/>
    <w:rsid w:val="006F1481"/>
    <w:rsid w:val="006F1717"/>
    <w:rsid w:val="006F4729"/>
    <w:rsid w:val="006F4FD1"/>
    <w:rsid w:val="006F6F4F"/>
    <w:rsid w:val="006F7770"/>
    <w:rsid w:val="0071075B"/>
    <w:rsid w:val="00710DFE"/>
    <w:rsid w:val="00712CB7"/>
    <w:rsid w:val="00714EB7"/>
    <w:rsid w:val="00715B65"/>
    <w:rsid w:val="007166BC"/>
    <w:rsid w:val="00716E09"/>
    <w:rsid w:val="00717661"/>
    <w:rsid w:val="00722056"/>
    <w:rsid w:val="00724317"/>
    <w:rsid w:val="00725025"/>
    <w:rsid w:val="00730877"/>
    <w:rsid w:val="00730C76"/>
    <w:rsid w:val="007310B4"/>
    <w:rsid w:val="007360CB"/>
    <w:rsid w:val="0074163A"/>
    <w:rsid w:val="007416FA"/>
    <w:rsid w:val="00741BC1"/>
    <w:rsid w:val="00744A87"/>
    <w:rsid w:val="00745172"/>
    <w:rsid w:val="007451E5"/>
    <w:rsid w:val="00745605"/>
    <w:rsid w:val="00745717"/>
    <w:rsid w:val="00745E92"/>
    <w:rsid w:val="00745FC2"/>
    <w:rsid w:val="0074761F"/>
    <w:rsid w:val="00752717"/>
    <w:rsid w:val="00754E0C"/>
    <w:rsid w:val="00756A36"/>
    <w:rsid w:val="00757497"/>
    <w:rsid w:val="00757C66"/>
    <w:rsid w:val="00760EAF"/>
    <w:rsid w:val="0076138F"/>
    <w:rsid w:val="00761D12"/>
    <w:rsid w:val="00761E4C"/>
    <w:rsid w:val="00762899"/>
    <w:rsid w:val="00764049"/>
    <w:rsid w:val="00764CA1"/>
    <w:rsid w:val="00765083"/>
    <w:rsid w:val="007670EB"/>
    <w:rsid w:val="00767B00"/>
    <w:rsid w:val="00770572"/>
    <w:rsid w:val="007735CF"/>
    <w:rsid w:val="00774981"/>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6219"/>
    <w:rsid w:val="007A64B5"/>
    <w:rsid w:val="007A78F0"/>
    <w:rsid w:val="007B2555"/>
    <w:rsid w:val="007B3F74"/>
    <w:rsid w:val="007B6576"/>
    <w:rsid w:val="007B70F4"/>
    <w:rsid w:val="007B75F9"/>
    <w:rsid w:val="007C1292"/>
    <w:rsid w:val="007C1E03"/>
    <w:rsid w:val="007C3731"/>
    <w:rsid w:val="007C3B5F"/>
    <w:rsid w:val="007C40D4"/>
    <w:rsid w:val="007C4D3F"/>
    <w:rsid w:val="007C5953"/>
    <w:rsid w:val="007D019D"/>
    <w:rsid w:val="007D19DD"/>
    <w:rsid w:val="007D2796"/>
    <w:rsid w:val="007D2AB1"/>
    <w:rsid w:val="007E0A15"/>
    <w:rsid w:val="007E2770"/>
    <w:rsid w:val="007E2A20"/>
    <w:rsid w:val="007E2A2B"/>
    <w:rsid w:val="007E2B32"/>
    <w:rsid w:val="007E2BCA"/>
    <w:rsid w:val="007E3F19"/>
    <w:rsid w:val="007E44DE"/>
    <w:rsid w:val="007E5030"/>
    <w:rsid w:val="007E51DE"/>
    <w:rsid w:val="007F0210"/>
    <w:rsid w:val="007F4160"/>
    <w:rsid w:val="007F5EAC"/>
    <w:rsid w:val="007F6E4C"/>
    <w:rsid w:val="007F71DA"/>
    <w:rsid w:val="00800E85"/>
    <w:rsid w:val="00801938"/>
    <w:rsid w:val="00801F27"/>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58BC"/>
    <w:rsid w:val="00836CF2"/>
    <w:rsid w:val="00836F74"/>
    <w:rsid w:val="00843068"/>
    <w:rsid w:val="0084457A"/>
    <w:rsid w:val="008465EC"/>
    <w:rsid w:val="00846605"/>
    <w:rsid w:val="008469D2"/>
    <w:rsid w:val="0085118C"/>
    <w:rsid w:val="008523AC"/>
    <w:rsid w:val="00853077"/>
    <w:rsid w:val="00853224"/>
    <w:rsid w:val="00853AA1"/>
    <w:rsid w:val="0085409C"/>
    <w:rsid w:val="0085430E"/>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C4F"/>
    <w:rsid w:val="00883A2C"/>
    <w:rsid w:val="00883B5B"/>
    <w:rsid w:val="008842B6"/>
    <w:rsid w:val="0088530A"/>
    <w:rsid w:val="00885621"/>
    <w:rsid w:val="00885CA7"/>
    <w:rsid w:val="008869A3"/>
    <w:rsid w:val="00887C13"/>
    <w:rsid w:val="008927F6"/>
    <w:rsid w:val="00893018"/>
    <w:rsid w:val="008931AB"/>
    <w:rsid w:val="008979CB"/>
    <w:rsid w:val="00897F11"/>
    <w:rsid w:val="008A059D"/>
    <w:rsid w:val="008A07DE"/>
    <w:rsid w:val="008B0396"/>
    <w:rsid w:val="008B063C"/>
    <w:rsid w:val="008B2716"/>
    <w:rsid w:val="008B72BF"/>
    <w:rsid w:val="008B7D0A"/>
    <w:rsid w:val="008C1319"/>
    <w:rsid w:val="008C1A1D"/>
    <w:rsid w:val="008C26C5"/>
    <w:rsid w:val="008C41C0"/>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900945"/>
    <w:rsid w:val="00901889"/>
    <w:rsid w:val="00904962"/>
    <w:rsid w:val="00904EF4"/>
    <w:rsid w:val="00911D26"/>
    <w:rsid w:val="00914A8C"/>
    <w:rsid w:val="00917DF0"/>
    <w:rsid w:val="00917E0B"/>
    <w:rsid w:val="0092052D"/>
    <w:rsid w:val="0092143F"/>
    <w:rsid w:val="0092219A"/>
    <w:rsid w:val="009222AB"/>
    <w:rsid w:val="00923BC6"/>
    <w:rsid w:val="0092605D"/>
    <w:rsid w:val="00927641"/>
    <w:rsid w:val="00927CEA"/>
    <w:rsid w:val="009339B5"/>
    <w:rsid w:val="00934015"/>
    <w:rsid w:val="00934638"/>
    <w:rsid w:val="009348C0"/>
    <w:rsid w:val="00937821"/>
    <w:rsid w:val="00940916"/>
    <w:rsid w:val="0094423B"/>
    <w:rsid w:val="00944E3B"/>
    <w:rsid w:val="00945980"/>
    <w:rsid w:val="0094703D"/>
    <w:rsid w:val="00947AB2"/>
    <w:rsid w:val="009507FF"/>
    <w:rsid w:val="009519AC"/>
    <w:rsid w:val="00952EB9"/>
    <w:rsid w:val="00953CA8"/>
    <w:rsid w:val="00956CDE"/>
    <w:rsid w:val="00961C20"/>
    <w:rsid w:val="0096305F"/>
    <w:rsid w:val="009631D5"/>
    <w:rsid w:val="00965D72"/>
    <w:rsid w:val="009664D2"/>
    <w:rsid w:val="00967EC8"/>
    <w:rsid w:val="00973E59"/>
    <w:rsid w:val="00973E87"/>
    <w:rsid w:val="00973EE3"/>
    <w:rsid w:val="0097505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4335"/>
    <w:rsid w:val="009A67A3"/>
    <w:rsid w:val="009A7673"/>
    <w:rsid w:val="009A7FFA"/>
    <w:rsid w:val="009B0936"/>
    <w:rsid w:val="009B3854"/>
    <w:rsid w:val="009B4D9B"/>
    <w:rsid w:val="009B792D"/>
    <w:rsid w:val="009C1334"/>
    <w:rsid w:val="009C28C3"/>
    <w:rsid w:val="009C4629"/>
    <w:rsid w:val="009D27C4"/>
    <w:rsid w:val="009D3DFA"/>
    <w:rsid w:val="009D473D"/>
    <w:rsid w:val="009D6CB2"/>
    <w:rsid w:val="009D787D"/>
    <w:rsid w:val="009E226E"/>
    <w:rsid w:val="009E24C5"/>
    <w:rsid w:val="009E4888"/>
    <w:rsid w:val="009E4CC0"/>
    <w:rsid w:val="009E4E3B"/>
    <w:rsid w:val="009F1766"/>
    <w:rsid w:val="009F179C"/>
    <w:rsid w:val="009F2A49"/>
    <w:rsid w:val="009F2FBC"/>
    <w:rsid w:val="009F3B34"/>
    <w:rsid w:val="009F41F1"/>
    <w:rsid w:val="009F7C8F"/>
    <w:rsid w:val="00A007BB"/>
    <w:rsid w:val="00A048B5"/>
    <w:rsid w:val="00A12E59"/>
    <w:rsid w:val="00A1434B"/>
    <w:rsid w:val="00A149CD"/>
    <w:rsid w:val="00A14F5A"/>
    <w:rsid w:val="00A15947"/>
    <w:rsid w:val="00A162A2"/>
    <w:rsid w:val="00A1793C"/>
    <w:rsid w:val="00A20143"/>
    <w:rsid w:val="00A26857"/>
    <w:rsid w:val="00A27C01"/>
    <w:rsid w:val="00A319F2"/>
    <w:rsid w:val="00A330DC"/>
    <w:rsid w:val="00A341F8"/>
    <w:rsid w:val="00A34F2B"/>
    <w:rsid w:val="00A36AB5"/>
    <w:rsid w:val="00A47275"/>
    <w:rsid w:val="00A47FFC"/>
    <w:rsid w:val="00A554BF"/>
    <w:rsid w:val="00A55B8E"/>
    <w:rsid w:val="00A57E45"/>
    <w:rsid w:val="00A60D60"/>
    <w:rsid w:val="00A61A1C"/>
    <w:rsid w:val="00A61CE4"/>
    <w:rsid w:val="00A64584"/>
    <w:rsid w:val="00A665DE"/>
    <w:rsid w:val="00A66CA6"/>
    <w:rsid w:val="00A70AFC"/>
    <w:rsid w:val="00A76A14"/>
    <w:rsid w:val="00A7715A"/>
    <w:rsid w:val="00A80630"/>
    <w:rsid w:val="00A809CB"/>
    <w:rsid w:val="00A80A20"/>
    <w:rsid w:val="00A8134F"/>
    <w:rsid w:val="00A84B73"/>
    <w:rsid w:val="00A860E6"/>
    <w:rsid w:val="00A9188A"/>
    <w:rsid w:val="00A9305C"/>
    <w:rsid w:val="00A93987"/>
    <w:rsid w:val="00A939F8"/>
    <w:rsid w:val="00A94973"/>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D170F"/>
    <w:rsid w:val="00AD1CEA"/>
    <w:rsid w:val="00AE17D8"/>
    <w:rsid w:val="00AE5AEB"/>
    <w:rsid w:val="00AE5FC8"/>
    <w:rsid w:val="00AF0878"/>
    <w:rsid w:val="00AF0BF1"/>
    <w:rsid w:val="00AF548F"/>
    <w:rsid w:val="00AF54F5"/>
    <w:rsid w:val="00AF6115"/>
    <w:rsid w:val="00B006C5"/>
    <w:rsid w:val="00B02AD4"/>
    <w:rsid w:val="00B03F14"/>
    <w:rsid w:val="00B05281"/>
    <w:rsid w:val="00B05CA9"/>
    <w:rsid w:val="00B0611B"/>
    <w:rsid w:val="00B07F52"/>
    <w:rsid w:val="00B11D83"/>
    <w:rsid w:val="00B12BC8"/>
    <w:rsid w:val="00B138A3"/>
    <w:rsid w:val="00B241A5"/>
    <w:rsid w:val="00B24920"/>
    <w:rsid w:val="00B251E5"/>
    <w:rsid w:val="00B268B1"/>
    <w:rsid w:val="00B26EDF"/>
    <w:rsid w:val="00B420A6"/>
    <w:rsid w:val="00B430B3"/>
    <w:rsid w:val="00B430EA"/>
    <w:rsid w:val="00B431C2"/>
    <w:rsid w:val="00B4501F"/>
    <w:rsid w:val="00B46880"/>
    <w:rsid w:val="00B46DFA"/>
    <w:rsid w:val="00B473B6"/>
    <w:rsid w:val="00B50D3C"/>
    <w:rsid w:val="00B5222E"/>
    <w:rsid w:val="00B52478"/>
    <w:rsid w:val="00B5281F"/>
    <w:rsid w:val="00B5357C"/>
    <w:rsid w:val="00B53C47"/>
    <w:rsid w:val="00B56166"/>
    <w:rsid w:val="00B6006D"/>
    <w:rsid w:val="00B65688"/>
    <w:rsid w:val="00B657F4"/>
    <w:rsid w:val="00B661F1"/>
    <w:rsid w:val="00B73469"/>
    <w:rsid w:val="00B74CEE"/>
    <w:rsid w:val="00B759AA"/>
    <w:rsid w:val="00B774B5"/>
    <w:rsid w:val="00B779EE"/>
    <w:rsid w:val="00B80996"/>
    <w:rsid w:val="00B82E0B"/>
    <w:rsid w:val="00B842B4"/>
    <w:rsid w:val="00B84C2A"/>
    <w:rsid w:val="00B9058C"/>
    <w:rsid w:val="00B92736"/>
    <w:rsid w:val="00B92A5D"/>
    <w:rsid w:val="00B92CB0"/>
    <w:rsid w:val="00B93E2C"/>
    <w:rsid w:val="00B97988"/>
    <w:rsid w:val="00B97A2F"/>
    <w:rsid w:val="00BB04E4"/>
    <w:rsid w:val="00BB1E0B"/>
    <w:rsid w:val="00BB26D8"/>
    <w:rsid w:val="00BC0001"/>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3753"/>
    <w:rsid w:val="00BE45CB"/>
    <w:rsid w:val="00BE4B7A"/>
    <w:rsid w:val="00BE5751"/>
    <w:rsid w:val="00BE672E"/>
    <w:rsid w:val="00BE68C2"/>
    <w:rsid w:val="00BE696F"/>
    <w:rsid w:val="00BE74FF"/>
    <w:rsid w:val="00BF090D"/>
    <w:rsid w:val="00BF3C55"/>
    <w:rsid w:val="00BF463C"/>
    <w:rsid w:val="00C046E4"/>
    <w:rsid w:val="00C05043"/>
    <w:rsid w:val="00C06E06"/>
    <w:rsid w:val="00C07857"/>
    <w:rsid w:val="00C07A29"/>
    <w:rsid w:val="00C07D26"/>
    <w:rsid w:val="00C1444A"/>
    <w:rsid w:val="00C20451"/>
    <w:rsid w:val="00C20CB1"/>
    <w:rsid w:val="00C21BD9"/>
    <w:rsid w:val="00C21E19"/>
    <w:rsid w:val="00C223CF"/>
    <w:rsid w:val="00C229C0"/>
    <w:rsid w:val="00C22D97"/>
    <w:rsid w:val="00C2418E"/>
    <w:rsid w:val="00C27323"/>
    <w:rsid w:val="00C30E06"/>
    <w:rsid w:val="00C31C2A"/>
    <w:rsid w:val="00C333BF"/>
    <w:rsid w:val="00C34B49"/>
    <w:rsid w:val="00C37011"/>
    <w:rsid w:val="00C431E0"/>
    <w:rsid w:val="00C4515D"/>
    <w:rsid w:val="00C463EC"/>
    <w:rsid w:val="00C47D32"/>
    <w:rsid w:val="00C513FA"/>
    <w:rsid w:val="00C525DC"/>
    <w:rsid w:val="00C5433A"/>
    <w:rsid w:val="00C55F15"/>
    <w:rsid w:val="00C569E4"/>
    <w:rsid w:val="00C57B94"/>
    <w:rsid w:val="00C6072F"/>
    <w:rsid w:val="00C61B5A"/>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7B0F"/>
    <w:rsid w:val="00CA09B2"/>
    <w:rsid w:val="00CA1C4F"/>
    <w:rsid w:val="00CA21BC"/>
    <w:rsid w:val="00CA2F15"/>
    <w:rsid w:val="00CA4DC4"/>
    <w:rsid w:val="00CA681B"/>
    <w:rsid w:val="00CA6A2C"/>
    <w:rsid w:val="00CB00C4"/>
    <w:rsid w:val="00CB0522"/>
    <w:rsid w:val="00CB10AD"/>
    <w:rsid w:val="00CB1E4B"/>
    <w:rsid w:val="00CB2AF9"/>
    <w:rsid w:val="00CB6D5A"/>
    <w:rsid w:val="00CC0B3E"/>
    <w:rsid w:val="00CC14E6"/>
    <w:rsid w:val="00CC4146"/>
    <w:rsid w:val="00CC5A5E"/>
    <w:rsid w:val="00CC5B63"/>
    <w:rsid w:val="00CC6ACC"/>
    <w:rsid w:val="00CD071C"/>
    <w:rsid w:val="00CD430E"/>
    <w:rsid w:val="00CD43FE"/>
    <w:rsid w:val="00CD7431"/>
    <w:rsid w:val="00CD7970"/>
    <w:rsid w:val="00CE1550"/>
    <w:rsid w:val="00CE25D0"/>
    <w:rsid w:val="00CE5487"/>
    <w:rsid w:val="00CE751B"/>
    <w:rsid w:val="00CF2C30"/>
    <w:rsid w:val="00CF2C8A"/>
    <w:rsid w:val="00CF4E9B"/>
    <w:rsid w:val="00CF4F5E"/>
    <w:rsid w:val="00CF5CEF"/>
    <w:rsid w:val="00D00450"/>
    <w:rsid w:val="00D02369"/>
    <w:rsid w:val="00D02993"/>
    <w:rsid w:val="00D0325E"/>
    <w:rsid w:val="00D03A93"/>
    <w:rsid w:val="00D0503C"/>
    <w:rsid w:val="00D0548B"/>
    <w:rsid w:val="00D05799"/>
    <w:rsid w:val="00D06C25"/>
    <w:rsid w:val="00D07C38"/>
    <w:rsid w:val="00D11391"/>
    <w:rsid w:val="00D11EA1"/>
    <w:rsid w:val="00D1423D"/>
    <w:rsid w:val="00D15159"/>
    <w:rsid w:val="00D17313"/>
    <w:rsid w:val="00D236F7"/>
    <w:rsid w:val="00D23A18"/>
    <w:rsid w:val="00D337B0"/>
    <w:rsid w:val="00D34A52"/>
    <w:rsid w:val="00D351B5"/>
    <w:rsid w:val="00D37F81"/>
    <w:rsid w:val="00D41C58"/>
    <w:rsid w:val="00D44FC6"/>
    <w:rsid w:val="00D4688B"/>
    <w:rsid w:val="00D4718D"/>
    <w:rsid w:val="00D53E52"/>
    <w:rsid w:val="00D5404F"/>
    <w:rsid w:val="00D55829"/>
    <w:rsid w:val="00D60885"/>
    <w:rsid w:val="00D62572"/>
    <w:rsid w:val="00D63A99"/>
    <w:rsid w:val="00D63BD4"/>
    <w:rsid w:val="00D63F14"/>
    <w:rsid w:val="00D642B6"/>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7430"/>
    <w:rsid w:val="00D9413B"/>
    <w:rsid w:val="00DA1993"/>
    <w:rsid w:val="00DA349D"/>
    <w:rsid w:val="00DA545A"/>
    <w:rsid w:val="00DB012E"/>
    <w:rsid w:val="00DB091D"/>
    <w:rsid w:val="00DB1461"/>
    <w:rsid w:val="00DB19B7"/>
    <w:rsid w:val="00DB4E07"/>
    <w:rsid w:val="00DB5578"/>
    <w:rsid w:val="00DB7930"/>
    <w:rsid w:val="00DC01F0"/>
    <w:rsid w:val="00DC25E3"/>
    <w:rsid w:val="00DC5916"/>
    <w:rsid w:val="00DC5A7B"/>
    <w:rsid w:val="00DC5FB9"/>
    <w:rsid w:val="00DC63E3"/>
    <w:rsid w:val="00DD0D38"/>
    <w:rsid w:val="00DD4EA4"/>
    <w:rsid w:val="00DD55CA"/>
    <w:rsid w:val="00DD7139"/>
    <w:rsid w:val="00DD73FC"/>
    <w:rsid w:val="00DD7AE8"/>
    <w:rsid w:val="00DD7D79"/>
    <w:rsid w:val="00DE0445"/>
    <w:rsid w:val="00DE04FC"/>
    <w:rsid w:val="00DE1955"/>
    <w:rsid w:val="00DE2182"/>
    <w:rsid w:val="00DE38AB"/>
    <w:rsid w:val="00DE739D"/>
    <w:rsid w:val="00DE760B"/>
    <w:rsid w:val="00DE7F45"/>
    <w:rsid w:val="00DF1E29"/>
    <w:rsid w:val="00DF359C"/>
    <w:rsid w:val="00DF6326"/>
    <w:rsid w:val="00DF71E8"/>
    <w:rsid w:val="00DF7463"/>
    <w:rsid w:val="00DF7E2D"/>
    <w:rsid w:val="00E0203A"/>
    <w:rsid w:val="00E05C2A"/>
    <w:rsid w:val="00E06813"/>
    <w:rsid w:val="00E078B2"/>
    <w:rsid w:val="00E106B6"/>
    <w:rsid w:val="00E1218A"/>
    <w:rsid w:val="00E14418"/>
    <w:rsid w:val="00E158BB"/>
    <w:rsid w:val="00E15E0B"/>
    <w:rsid w:val="00E16E92"/>
    <w:rsid w:val="00E17244"/>
    <w:rsid w:val="00E173A2"/>
    <w:rsid w:val="00E22407"/>
    <w:rsid w:val="00E22ECB"/>
    <w:rsid w:val="00E23F5C"/>
    <w:rsid w:val="00E2618C"/>
    <w:rsid w:val="00E270B0"/>
    <w:rsid w:val="00E30275"/>
    <w:rsid w:val="00E31C83"/>
    <w:rsid w:val="00E33224"/>
    <w:rsid w:val="00E3346B"/>
    <w:rsid w:val="00E33473"/>
    <w:rsid w:val="00E344FB"/>
    <w:rsid w:val="00E36E20"/>
    <w:rsid w:val="00E4002E"/>
    <w:rsid w:val="00E400BC"/>
    <w:rsid w:val="00E4147D"/>
    <w:rsid w:val="00E41E8D"/>
    <w:rsid w:val="00E4262E"/>
    <w:rsid w:val="00E4407D"/>
    <w:rsid w:val="00E45757"/>
    <w:rsid w:val="00E46828"/>
    <w:rsid w:val="00E5143A"/>
    <w:rsid w:val="00E52C6A"/>
    <w:rsid w:val="00E53374"/>
    <w:rsid w:val="00E565EA"/>
    <w:rsid w:val="00E56617"/>
    <w:rsid w:val="00E56BDE"/>
    <w:rsid w:val="00E57549"/>
    <w:rsid w:val="00E6024B"/>
    <w:rsid w:val="00E6081B"/>
    <w:rsid w:val="00E608FA"/>
    <w:rsid w:val="00E61001"/>
    <w:rsid w:val="00E6201D"/>
    <w:rsid w:val="00E62153"/>
    <w:rsid w:val="00E624A6"/>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034"/>
    <w:rsid w:val="00E93EFF"/>
    <w:rsid w:val="00E94480"/>
    <w:rsid w:val="00E94DD7"/>
    <w:rsid w:val="00E95EDC"/>
    <w:rsid w:val="00E95FF4"/>
    <w:rsid w:val="00EA0ACB"/>
    <w:rsid w:val="00EA1ECA"/>
    <w:rsid w:val="00EA4CE5"/>
    <w:rsid w:val="00EA6CC7"/>
    <w:rsid w:val="00EA7959"/>
    <w:rsid w:val="00EB020D"/>
    <w:rsid w:val="00EB115C"/>
    <w:rsid w:val="00EB1163"/>
    <w:rsid w:val="00EB1C87"/>
    <w:rsid w:val="00EB2AAC"/>
    <w:rsid w:val="00EC0806"/>
    <w:rsid w:val="00EC08A3"/>
    <w:rsid w:val="00EC25D1"/>
    <w:rsid w:val="00EC5678"/>
    <w:rsid w:val="00EC5BA3"/>
    <w:rsid w:val="00ED00BB"/>
    <w:rsid w:val="00ED223D"/>
    <w:rsid w:val="00ED229C"/>
    <w:rsid w:val="00ED7A3B"/>
    <w:rsid w:val="00EE23E1"/>
    <w:rsid w:val="00EE2487"/>
    <w:rsid w:val="00EE33B9"/>
    <w:rsid w:val="00EE3A93"/>
    <w:rsid w:val="00EF0544"/>
    <w:rsid w:val="00EF0D30"/>
    <w:rsid w:val="00EF3B5E"/>
    <w:rsid w:val="00EF42BA"/>
    <w:rsid w:val="00EF7DB6"/>
    <w:rsid w:val="00F00818"/>
    <w:rsid w:val="00F00F7F"/>
    <w:rsid w:val="00F01211"/>
    <w:rsid w:val="00F01C2C"/>
    <w:rsid w:val="00F01ECC"/>
    <w:rsid w:val="00F04350"/>
    <w:rsid w:val="00F04948"/>
    <w:rsid w:val="00F0659F"/>
    <w:rsid w:val="00F06D55"/>
    <w:rsid w:val="00F07856"/>
    <w:rsid w:val="00F1283B"/>
    <w:rsid w:val="00F1585E"/>
    <w:rsid w:val="00F17FE7"/>
    <w:rsid w:val="00F206A6"/>
    <w:rsid w:val="00F24E18"/>
    <w:rsid w:val="00F2795F"/>
    <w:rsid w:val="00F32C31"/>
    <w:rsid w:val="00F33644"/>
    <w:rsid w:val="00F3473C"/>
    <w:rsid w:val="00F37003"/>
    <w:rsid w:val="00F415E3"/>
    <w:rsid w:val="00F428A9"/>
    <w:rsid w:val="00F44FF9"/>
    <w:rsid w:val="00F45AF5"/>
    <w:rsid w:val="00F4754F"/>
    <w:rsid w:val="00F504EF"/>
    <w:rsid w:val="00F512F3"/>
    <w:rsid w:val="00F5382C"/>
    <w:rsid w:val="00F54C47"/>
    <w:rsid w:val="00F55CC0"/>
    <w:rsid w:val="00F56507"/>
    <w:rsid w:val="00F56AC0"/>
    <w:rsid w:val="00F60063"/>
    <w:rsid w:val="00F60126"/>
    <w:rsid w:val="00F61242"/>
    <w:rsid w:val="00F622F2"/>
    <w:rsid w:val="00F6266B"/>
    <w:rsid w:val="00F64609"/>
    <w:rsid w:val="00F7217C"/>
    <w:rsid w:val="00F74332"/>
    <w:rsid w:val="00F74CB7"/>
    <w:rsid w:val="00F76D2B"/>
    <w:rsid w:val="00F80009"/>
    <w:rsid w:val="00F83A07"/>
    <w:rsid w:val="00F847C3"/>
    <w:rsid w:val="00F85587"/>
    <w:rsid w:val="00F864E5"/>
    <w:rsid w:val="00F868BF"/>
    <w:rsid w:val="00F95632"/>
    <w:rsid w:val="00F9625B"/>
    <w:rsid w:val="00F96B2B"/>
    <w:rsid w:val="00FA0584"/>
    <w:rsid w:val="00FA3864"/>
    <w:rsid w:val="00FA4573"/>
    <w:rsid w:val="00FA6C2B"/>
    <w:rsid w:val="00FA751A"/>
    <w:rsid w:val="00FA7D2A"/>
    <w:rsid w:val="00FB0CA2"/>
    <w:rsid w:val="00FB1D6B"/>
    <w:rsid w:val="00FB2136"/>
    <w:rsid w:val="00FB4407"/>
    <w:rsid w:val="00FB4540"/>
    <w:rsid w:val="00FB78A5"/>
    <w:rsid w:val="00FC0063"/>
    <w:rsid w:val="00FC4CF1"/>
    <w:rsid w:val="00FC4E17"/>
    <w:rsid w:val="00FC6835"/>
    <w:rsid w:val="00FD34AC"/>
    <w:rsid w:val="00FD34BD"/>
    <w:rsid w:val="00FD67D9"/>
    <w:rsid w:val="00FD7C52"/>
    <w:rsid w:val="00FE1EFD"/>
    <w:rsid w:val="00FE30C3"/>
    <w:rsid w:val="00FE45A1"/>
    <w:rsid w:val="00FE4834"/>
    <w:rsid w:val="00FE4EE7"/>
    <w:rsid w:val="00FE5027"/>
    <w:rsid w:val="00FE5838"/>
    <w:rsid w:val="00FE7766"/>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1758341">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04A64FF4-8CD6-490A-B137-13AFEC2E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1754</TotalTime>
  <Pages>8</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802.11-18/1460r0</vt:lpstr>
    </vt:vector>
  </TitlesOfParts>
  <Company>Some Company</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802.11-18/1460r0</dc:title>
  <dc:subject>Submission</dc:subject>
  <dc:creator>lverma@qti.qualcomm.com</dc:creator>
  <cp:keywords>March 2017</cp:keywords>
  <dc:description/>
  <cp:lastModifiedBy>Lochan Verma</cp:lastModifiedBy>
  <cp:revision>166</cp:revision>
  <cp:lastPrinted>2017-12-28T17:14:00Z</cp:lastPrinted>
  <dcterms:created xsi:type="dcterms:W3CDTF">2018-03-06T17:40:00Z</dcterms:created>
  <dcterms:modified xsi:type="dcterms:W3CDTF">2018-09-07T22:03:00Z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