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95A59" w:rsidP="00195A59">
                  <w:pPr>
                    <w:pStyle w:val="T2"/>
                  </w:pPr>
                  <w:r>
                    <w:rPr>
                      <w:lang w:eastAsia="ko-KR"/>
                    </w:rPr>
                    <w:t>Doze Transition Signaling</w:t>
                  </w:r>
                </w:p>
              </w:tc>
            </w:tr>
            <w:tr w:rsidR="008B3792" w:rsidRPr="00CD4C78" w:rsidTr="00810624">
              <w:trPr>
                <w:trHeight w:val="359"/>
                <w:jc w:val="center"/>
              </w:trPr>
              <w:tc>
                <w:tcPr>
                  <w:tcW w:w="7943" w:type="dxa"/>
                  <w:gridSpan w:val="5"/>
                  <w:vAlign w:val="center"/>
                </w:tcPr>
                <w:p w:rsidR="008B3792" w:rsidRPr="00CD4C78" w:rsidRDefault="008B3792" w:rsidP="00561113">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10BE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561113"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w:t>
      </w:r>
      <w:r w:rsidR="00561113">
        <w:rPr>
          <w:sz w:val="20"/>
          <w:lang w:eastAsia="ko-KR"/>
        </w:rPr>
        <w:t>to signal PS State change using A-control Control subfield CAS.</w:t>
      </w:r>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The proposed changes address CID 15757 of LB233 on TGax D3.</w:t>
      </w:r>
      <w:r w:rsidR="005F4B80">
        <w:rPr>
          <w:sz w:val="20"/>
          <w:lang w:eastAsia="ko-KR"/>
        </w:rPr>
        <w:t>0</w:t>
      </w:r>
      <w:r>
        <w:rPr>
          <w:sz w:val="20"/>
          <w:lang w:eastAsia="ko-KR"/>
        </w:rPr>
        <w:t>.</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nges are referenced to TGax D3.1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D11902" w:rsidRDefault="00D11902" w:rsidP="00D11902">
      <w:r w:rsidRPr="00E15B24">
        <w:rPr>
          <w:b/>
          <w:sz w:val="24"/>
        </w:rPr>
        <w:t>R</w:t>
      </w:r>
      <w:r>
        <w:rPr>
          <w:b/>
          <w:sz w:val="24"/>
        </w:rPr>
        <w:t>1</w:t>
      </w:r>
      <w:r>
        <w:t>:</w:t>
      </w:r>
    </w:p>
    <w:p w:rsidR="00D11902" w:rsidRDefault="00D11902" w:rsidP="00D11902"/>
    <w:p w:rsidR="00D11902" w:rsidRDefault="00D11902" w:rsidP="00D11902">
      <w:r>
        <w:t>27.7.5 – slight modification to the wording of the TWT SP termination condition to make it match the style of the other conditions</w:t>
      </w:r>
    </w:p>
    <w:p w:rsidR="00FB354E" w:rsidRDefault="00FB354E" w:rsidP="00FB354E"/>
    <w:p w:rsidR="00FB354E" w:rsidRDefault="00FB354E" w:rsidP="00FB354E">
      <w:r w:rsidRPr="00E15B24">
        <w:rPr>
          <w:b/>
          <w:sz w:val="24"/>
        </w:rPr>
        <w:t>R</w:t>
      </w:r>
      <w:r>
        <w:rPr>
          <w:b/>
          <w:sz w:val="24"/>
        </w:rPr>
        <w:t>2</w:t>
      </w:r>
      <w:r>
        <w:t>:</w:t>
      </w:r>
    </w:p>
    <w:p w:rsidR="00FB354E" w:rsidRDefault="00FB354E" w:rsidP="00FB354E"/>
    <w:p w:rsidR="00FB354E" w:rsidRDefault="00FB354E" w:rsidP="00FB354E">
      <w:r>
        <w:t>Change several editor instruction references to TGax D3.0 to TGax D3.1</w:t>
      </w:r>
    </w:p>
    <w:p w:rsidR="00C03089" w:rsidRDefault="00C03089" w:rsidP="00C03089"/>
    <w:p w:rsidR="00C03089" w:rsidRDefault="00C03089" w:rsidP="00C03089">
      <w:r w:rsidRPr="00E15B24">
        <w:rPr>
          <w:b/>
          <w:sz w:val="24"/>
        </w:rPr>
        <w:t>R</w:t>
      </w:r>
      <w:r>
        <w:rPr>
          <w:b/>
          <w:sz w:val="24"/>
        </w:rPr>
        <w:t>3</w:t>
      </w:r>
      <w:r>
        <w:t>:</w:t>
      </w:r>
    </w:p>
    <w:p w:rsidR="00C03089" w:rsidRDefault="00C03089" w:rsidP="00C03089"/>
    <w:p w:rsidR="001A1B8D" w:rsidRDefault="001A1B8D" w:rsidP="00C03089">
      <w:r>
        <w:t>Change the name of the field from Doze to Doze Transition</w:t>
      </w:r>
    </w:p>
    <w:p w:rsidR="001A1B8D" w:rsidRDefault="00C03089" w:rsidP="00C03089">
      <w:r>
        <w:t xml:space="preserve">Add a qualifier to allow only a PS STA to set </w:t>
      </w:r>
      <w:r w:rsidR="001A1B8D">
        <w:t>the Doze Transition subfield to 1</w:t>
      </w:r>
    </w:p>
    <w:p w:rsidR="001A1B8D" w:rsidRDefault="001A1B8D" w:rsidP="00C03089"/>
    <w:p w:rsidR="001A1B8D" w:rsidRDefault="001A1B8D" w:rsidP="00C03089">
      <w:r>
        <w:t>Removed the requirement that no other condition requires the STA to remain in the AWAKE state when the Doze Transition is set to 1. This means that the Doze Transition subfield has priority over other requirements, that is, acts an early termination event for any wake condition for a PS STA.</w:t>
      </w:r>
    </w:p>
    <w:p w:rsidR="00D31B6A" w:rsidRDefault="00D31B6A" w:rsidP="00C03089"/>
    <w:p w:rsidR="00D31B6A" w:rsidRDefault="00D31B6A" w:rsidP="00C03089">
      <w:r>
        <w:t>Add several subclauses relating to several baseline power save operations, with proposed text changes to modify the state transition behaviour in each of those cases to allow the Doze Transition subfield to be transmitted and acknowledged and then for the STA to be allowed to enter Doze state.</w:t>
      </w:r>
      <w:bookmarkStart w:id="0" w:name="_GoBack"/>
      <w:bookmarkEnd w:id="0"/>
    </w:p>
    <w:p w:rsidR="001A1B8D" w:rsidRDefault="001A1B8D" w:rsidP="00C03089"/>
    <w:p w:rsidR="00FB354E" w:rsidRDefault="00FB354E" w:rsidP="00FB354E"/>
    <w:p w:rsidR="00C03089" w:rsidRDefault="00C03089" w:rsidP="00FB354E">
      <w:r>
        <w:t>Update doc references.</w:t>
      </w:r>
    </w:p>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lastRenderedPageBreak/>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541AFE" w:rsidRPr="00C768E3" w:rsidTr="00181F06">
        <w:trPr>
          <w:trHeight w:val="510"/>
        </w:trPr>
        <w:tc>
          <w:tcPr>
            <w:tcW w:w="773" w:type="dxa"/>
            <w:shd w:val="clear" w:color="auto" w:fill="auto"/>
          </w:tcPr>
          <w:p w:rsidR="00541AFE" w:rsidRDefault="00541AFE" w:rsidP="00181F06">
            <w:pPr>
              <w:jc w:val="right"/>
              <w:rPr>
                <w:rFonts w:ascii="Arial" w:hAnsi="Arial" w:cs="Arial"/>
                <w:color w:val="222222"/>
                <w:sz w:val="20"/>
              </w:rPr>
            </w:pPr>
            <w:r>
              <w:rPr>
                <w:rFonts w:ascii="Arial" w:hAnsi="Arial" w:cs="Arial"/>
                <w:color w:val="222222"/>
                <w:sz w:val="20"/>
              </w:rPr>
              <w:t>15757</w:t>
            </w:r>
          </w:p>
        </w:tc>
        <w:tc>
          <w:tcPr>
            <w:tcW w:w="682" w:type="dxa"/>
            <w:shd w:val="clear" w:color="auto" w:fill="auto"/>
          </w:tcPr>
          <w:p w:rsidR="00541AFE" w:rsidRDefault="00541AFE" w:rsidP="00181F06">
            <w:pPr>
              <w:rPr>
                <w:rFonts w:ascii="Arial" w:hAnsi="Arial" w:cs="Arial"/>
                <w:color w:val="222222"/>
                <w:sz w:val="20"/>
              </w:rPr>
            </w:pPr>
            <w:r>
              <w:rPr>
                <w:rFonts w:ascii="Arial" w:hAnsi="Arial" w:cs="Arial"/>
                <w:color w:val="222222"/>
                <w:sz w:val="20"/>
              </w:rPr>
              <w:t>Jarkko Knecht</w:t>
            </w:r>
          </w:p>
        </w:tc>
        <w:tc>
          <w:tcPr>
            <w:tcW w:w="1170" w:type="dxa"/>
            <w:shd w:val="clear" w:color="auto" w:fill="auto"/>
          </w:tcPr>
          <w:p w:rsidR="00541AFE" w:rsidRDefault="00541AFE" w:rsidP="00181F06">
            <w:pPr>
              <w:rPr>
                <w:rFonts w:ascii="Arial" w:hAnsi="Arial" w:cs="Arial"/>
                <w:color w:val="222222"/>
                <w:sz w:val="20"/>
                <w:shd w:val="clear" w:color="auto" w:fill="FFFFFF"/>
              </w:rPr>
            </w:pPr>
            <w:r>
              <w:rPr>
                <w:rFonts w:ascii="Arial" w:hAnsi="Arial" w:cs="Arial"/>
                <w:sz w:val="20"/>
              </w:rPr>
              <w:t>27.7.4</w:t>
            </w:r>
          </w:p>
        </w:tc>
        <w:tc>
          <w:tcPr>
            <w:tcW w:w="810" w:type="dxa"/>
            <w:shd w:val="clear" w:color="auto" w:fill="auto"/>
          </w:tcPr>
          <w:p w:rsidR="00541AFE" w:rsidRDefault="00541AFE" w:rsidP="00541AFE">
            <w:pPr>
              <w:rPr>
                <w:rFonts w:ascii="Arial" w:eastAsia="Times New Roman" w:hAnsi="Arial" w:cs="Arial"/>
                <w:lang w:val="en-US"/>
              </w:rPr>
            </w:pPr>
            <w:r>
              <w:rPr>
                <w:rFonts w:ascii="Arial" w:eastAsia="Times New Roman" w:hAnsi="Arial" w:cs="Arial"/>
                <w:lang w:val="en-US"/>
              </w:rPr>
              <w:t>326.20</w:t>
            </w:r>
          </w:p>
        </w:tc>
        <w:tc>
          <w:tcPr>
            <w:tcW w:w="2430" w:type="dxa"/>
            <w:shd w:val="clear" w:color="auto" w:fill="auto"/>
          </w:tcPr>
          <w:p w:rsidR="00541AFE" w:rsidRDefault="00541AFE">
            <w:pPr>
              <w:rPr>
                <w:rFonts w:ascii="Arial" w:hAnsi="Arial" w:cs="Arial"/>
                <w:sz w:val="20"/>
              </w:rPr>
            </w:pPr>
            <w:r>
              <w:rPr>
                <w:rFonts w:ascii="Arial" w:hAnsi="Arial" w:cs="Arial"/>
                <w:sz w:val="20"/>
              </w:rPr>
              <w:t>The TWT Information frame is a management frame which handling/reception/parsing the content in the receiving STA takes  time. A STA may transmit a TWT Information frame to teminate an ongoing TWT SP. For the receiving device the processing time of the TWT Information frame may be too long for immediate TWT SP termination. The immediate SP termination would be better to do through EOSP or more data bits which handling time is much shorter.</w:t>
            </w:r>
          </w:p>
        </w:tc>
        <w:tc>
          <w:tcPr>
            <w:tcW w:w="1980" w:type="dxa"/>
            <w:shd w:val="clear" w:color="auto" w:fill="auto"/>
          </w:tcPr>
          <w:p w:rsidR="00541AFE" w:rsidRDefault="00541AFE">
            <w:pPr>
              <w:rPr>
                <w:rFonts w:ascii="Arial" w:hAnsi="Arial" w:cs="Arial"/>
                <w:sz w:val="20"/>
              </w:rPr>
            </w:pPr>
            <w:r>
              <w:rPr>
                <w:rFonts w:ascii="Arial" w:hAnsi="Arial" w:cs="Arial"/>
                <w:sz w:val="20"/>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Pr>
          <w:p w:rsidR="00541AFE" w:rsidRDefault="00541AFE" w:rsidP="00C0308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3B2A6E">
              <w:rPr>
                <w:rFonts w:ascii="Arial" w:eastAsia="Times New Roman" w:hAnsi="Arial" w:cs="Arial"/>
                <w:sz w:val="20"/>
                <w:lang w:val="en-US"/>
              </w:rPr>
              <w:t>1432</w:t>
            </w:r>
            <w:r>
              <w:rPr>
                <w:rFonts w:ascii="Arial" w:eastAsia="Times New Roman" w:hAnsi="Arial" w:cs="Arial"/>
                <w:sz w:val="20"/>
                <w:lang w:val="en-US"/>
              </w:rPr>
              <w:t>r</w:t>
            </w:r>
            <w:r w:rsidR="00C03089">
              <w:rPr>
                <w:rFonts w:ascii="Arial" w:eastAsia="Times New Roman" w:hAnsi="Arial" w:cs="Arial"/>
                <w:sz w:val="20"/>
                <w:lang w:val="en-US"/>
              </w:rPr>
              <w:t>3</w:t>
            </w:r>
            <w:r>
              <w:rPr>
                <w:rFonts w:ascii="Arial" w:eastAsia="Times New Roman" w:hAnsi="Arial" w:cs="Arial"/>
                <w:sz w:val="20"/>
                <w:lang w:val="en-US"/>
              </w:rPr>
              <w:t xml:space="preserve"> that are marked with CID 15757 which create a new bit in the CAS Control to signal a transition to Doze state. TWT information behavior is unaltered, and still may be used in the original context as another method for TWT SP termination in addition to the requested use of indicating suspend and resume.</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6D7D" w:rsidRDefault="006E6D7D">
      <w:pPr>
        <w:rPr>
          <w:sz w:val="20"/>
        </w:rPr>
      </w:pPr>
      <w:r>
        <w:rPr>
          <w:sz w:val="20"/>
        </w:rPr>
        <w:t>The existing TWT SP early termination by a non-AP STA uses the management action frame TWT Information. The mechanism has more overhead than is preferred and the information is located within the body of the frame. Management frames are typically processed by higher layers of a MAC implementation, and therefore have a longer time to take effect.</w:t>
      </w:r>
    </w:p>
    <w:p w:rsidR="006E6D7D" w:rsidRDefault="006E6D7D">
      <w:pPr>
        <w:rPr>
          <w:sz w:val="20"/>
        </w:rPr>
      </w:pPr>
    </w:p>
    <w:p w:rsidR="006E6D7D" w:rsidRDefault="006E6D7D">
      <w:pPr>
        <w:rPr>
          <w:sz w:val="20"/>
        </w:rPr>
      </w:pPr>
      <w:r>
        <w:rPr>
          <w:sz w:val="20"/>
        </w:rPr>
        <w:t>The proposed mechanism using a CAS control field subfield of the A-control field can be piggybacked onto other frames, including a DATA frame, so that overhead is reduced.</w:t>
      </w:r>
    </w:p>
    <w:p w:rsidR="006E6D7D" w:rsidRDefault="006E6D7D">
      <w:pPr>
        <w:rPr>
          <w:sz w:val="20"/>
        </w:rPr>
      </w:pPr>
    </w:p>
    <w:p w:rsidR="006E6D7D" w:rsidRDefault="006E6D7D">
      <w:pPr>
        <w:rPr>
          <w:sz w:val="20"/>
        </w:rPr>
      </w:pPr>
      <w:r>
        <w:rPr>
          <w:sz w:val="20"/>
        </w:rPr>
        <w:t>The A-control field is parsed as part of normal lower-MAC operations and therefore, is conveniently and quickly processed along with other such indications.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D</w:t>
      </w:r>
      <w:r w:rsidR="00561113">
        <w:rPr>
          <w:b/>
          <w:sz w:val="44"/>
          <w:u w:val="single"/>
        </w:rPr>
        <w:t>3.</w:t>
      </w:r>
      <w:r w:rsidR="005F4B80">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27 Extended Capabilities element</w:t>
      </w:r>
    </w:p>
    <w:p w:rsidR="00F920C2" w:rsidRPr="00B5483E" w:rsidRDefault="00F920C2" w:rsidP="00F920C2">
      <w:pPr>
        <w:rPr>
          <w:sz w:val="20"/>
        </w:rPr>
      </w:pPr>
    </w:p>
    <w:p w:rsidR="00F920C2" w:rsidRDefault="00F920C2" w:rsidP="00F920C2">
      <w:pPr>
        <w:rPr>
          <w:b/>
          <w:i/>
          <w:sz w:val="22"/>
          <w:highlight w:val="yellow"/>
        </w:rPr>
      </w:pPr>
      <w:r>
        <w:rPr>
          <w:b/>
          <w:i/>
          <w:sz w:val="22"/>
          <w:highlight w:val="yellow"/>
        </w:rPr>
        <w:t>TGax editor: within TGax D3.</w:t>
      </w:r>
      <w:r w:rsidR="005F4B80">
        <w:rPr>
          <w:b/>
          <w:i/>
          <w:sz w:val="22"/>
          <w:highlight w:val="yellow"/>
        </w:rPr>
        <w:t>1</w:t>
      </w:r>
      <w:r>
        <w:rPr>
          <w:b/>
          <w:i/>
          <w:sz w:val="22"/>
          <w:highlight w:val="yellow"/>
        </w:rPr>
        <w:t xml:space="preserve">, add another row to Table 9-135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A55E8E">
        <w:rPr>
          <w:b/>
          <w:bCs/>
          <w:sz w:val="20"/>
        </w:rPr>
        <w:t>53</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Toler-ance Support field to 1 if dot11OBSSNarrowBWRUinOFDMAToler-ated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F920C2" w:rsidTr="00F920C2">
        <w:tc>
          <w:tcPr>
            <w:tcW w:w="990" w:type="dxa"/>
          </w:tcPr>
          <w:p w:rsidR="00F920C2" w:rsidRPr="00F920C2" w:rsidRDefault="00C26B31" w:rsidP="00F920C2">
            <w:pPr>
              <w:jc w:val="center"/>
              <w:rPr>
                <w:bCs/>
                <w:sz w:val="20"/>
              </w:rPr>
            </w:pPr>
            <w:ins w:id="1" w:author="Matthew Fischer" w:date="2018-08-31T14:37:00Z">
              <w:r>
                <w:rPr>
                  <w:bCs/>
                  <w:sz w:val="20"/>
                </w:rPr>
                <w:t>&lt;ANA&gt;</w:t>
              </w:r>
            </w:ins>
          </w:p>
        </w:tc>
        <w:tc>
          <w:tcPr>
            <w:tcW w:w="2070" w:type="dxa"/>
          </w:tcPr>
          <w:p w:rsidR="00F920C2" w:rsidRPr="00F920C2" w:rsidRDefault="00766EE3" w:rsidP="0091389C">
            <w:pPr>
              <w:rPr>
                <w:bCs/>
                <w:sz w:val="20"/>
              </w:rPr>
            </w:pPr>
            <w:ins w:id="2" w:author="Matthew Fischer" w:date="2018-08-22T16:10:00Z">
              <w:r>
                <w:rPr>
                  <w:bCs/>
                  <w:sz w:val="20"/>
                </w:rPr>
                <w:t>Doze Transition Signalling Support</w:t>
              </w:r>
            </w:ins>
          </w:p>
        </w:tc>
        <w:tc>
          <w:tcPr>
            <w:tcW w:w="5760" w:type="dxa"/>
          </w:tcPr>
          <w:p w:rsidR="00F920C2" w:rsidRPr="00F920C2" w:rsidRDefault="00766EE3" w:rsidP="00766EE3">
            <w:pPr>
              <w:rPr>
                <w:bCs/>
                <w:sz w:val="20"/>
              </w:rPr>
            </w:pPr>
            <w:ins w:id="3" w:author="Matthew Fischer" w:date="2018-08-22T16:10:00Z">
              <w:r>
                <w:rPr>
                  <w:bCs/>
                  <w:sz w:val="20"/>
                </w:rPr>
                <w:t>An HE STA sets the Doze Transition Signalling Support</w:t>
              </w:r>
            </w:ins>
            <w:r>
              <w:rPr>
                <w:bCs/>
                <w:sz w:val="20"/>
              </w:rPr>
              <w:t xml:space="preserve"> </w:t>
            </w:r>
            <w:ins w:id="4" w:author="Matthew Fischer" w:date="2018-08-22T16:10:00Z">
              <w:r>
                <w:rPr>
                  <w:bCs/>
                  <w:sz w:val="20"/>
                </w:rPr>
                <w:t>field to 1 if dot11</w:t>
              </w:r>
            </w:ins>
            <w:ins w:id="5" w:author="Matthew Fischer" w:date="2018-08-22T16:16:00Z">
              <w:r>
                <w:rPr>
                  <w:bCs/>
                  <w:sz w:val="20"/>
                </w:rPr>
                <w:t>DozeTransitionSignaling</w:t>
              </w:r>
            </w:ins>
            <w:ins w:id="6" w:author="Matthew Fischer" w:date="2018-08-22T16:11:00Z">
              <w:r>
                <w:rPr>
                  <w:bCs/>
                  <w:sz w:val="20"/>
                </w:rPr>
                <w:t>Activated is true and sets it to 0 otherwise.</w:t>
              </w:r>
            </w:ins>
            <w:r w:rsidR="00541AFE" w:rsidRPr="0074106B">
              <w:rPr>
                <w:b/>
                <w:color w:val="00B050"/>
              </w:rPr>
              <w:t xml:space="preserve"> </w:t>
            </w:r>
            <w:r w:rsidR="00541AFE">
              <w:rPr>
                <w:b/>
                <w:color w:val="00B050"/>
              </w:rPr>
              <w:t>(#15757</w:t>
            </w:r>
            <w:r w:rsidR="00541AFE" w:rsidRPr="008225D4">
              <w:rPr>
                <w:b/>
                <w:color w:val="00B050"/>
              </w:rPr>
              <w:t>)</w:t>
            </w:r>
          </w:p>
        </w:tc>
      </w:tr>
    </w:tbl>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561113" w:rsidP="0091389C">
      <w:pPr>
        <w:rPr>
          <w:rFonts w:ascii="Arial" w:hAnsi="Arial" w:cs="Arial"/>
          <w:b/>
          <w:bCs/>
          <w:sz w:val="20"/>
        </w:rPr>
      </w:pPr>
      <w:r w:rsidRPr="00561113">
        <w:rPr>
          <w:rFonts w:ascii="Arial" w:hAnsi="Arial" w:cs="Arial"/>
          <w:b/>
          <w:bCs/>
          <w:sz w:val="20"/>
        </w:rPr>
        <w:t>9.2.4.6a.7 CAS Control</w:t>
      </w:r>
    </w:p>
    <w:p w:rsidR="00561113" w:rsidRPr="00B5483E" w:rsidRDefault="00561113" w:rsidP="0091389C">
      <w:pPr>
        <w:rPr>
          <w:sz w:val="20"/>
        </w:rPr>
      </w:pPr>
    </w:p>
    <w:p w:rsidR="00561113" w:rsidRDefault="00E82AC8" w:rsidP="00E82AC8">
      <w:pPr>
        <w:rPr>
          <w:b/>
          <w:i/>
          <w:sz w:val="22"/>
          <w:highlight w:val="yellow"/>
        </w:rPr>
      </w:pPr>
      <w:r>
        <w:rPr>
          <w:b/>
          <w:i/>
          <w:sz w:val="22"/>
          <w:highlight w:val="yellow"/>
        </w:rPr>
        <w:t xml:space="preserve">TGax editor: </w:t>
      </w:r>
      <w:r w:rsidR="00326A1B">
        <w:rPr>
          <w:b/>
          <w:i/>
          <w:sz w:val="22"/>
          <w:highlight w:val="yellow"/>
        </w:rPr>
        <w:t>within TGax D</w:t>
      </w:r>
      <w:r w:rsidR="00561113">
        <w:rPr>
          <w:b/>
          <w:i/>
          <w:sz w:val="22"/>
          <w:highlight w:val="yellow"/>
        </w:rPr>
        <w:t>3.</w:t>
      </w:r>
      <w:r w:rsidR="00FB354E">
        <w:rPr>
          <w:b/>
          <w:i/>
          <w:sz w:val="22"/>
          <w:highlight w:val="yellow"/>
        </w:rPr>
        <w:t>1</w:t>
      </w:r>
      <w:r w:rsidR="00326A1B">
        <w:rPr>
          <w:b/>
          <w:i/>
          <w:sz w:val="22"/>
          <w:highlight w:val="yellow"/>
        </w:rPr>
        <w:t xml:space="preserve">, </w:t>
      </w:r>
      <w:r w:rsidR="00561113">
        <w:rPr>
          <w:b/>
          <w:i/>
          <w:sz w:val="22"/>
          <w:highlight w:val="yellow"/>
        </w:rPr>
        <w:t xml:space="preserve">in Figure 9-15j – Control Information subfield for CAS Control, change bit B3 </w:t>
      </w:r>
      <w:r w:rsidR="00766EE3">
        <w:rPr>
          <w:b/>
          <w:i/>
          <w:sz w:val="22"/>
          <w:highlight w:val="yellow"/>
        </w:rPr>
        <w:t xml:space="preserve">from reserved to </w:t>
      </w:r>
      <w:r w:rsidR="00561113">
        <w:rPr>
          <w:b/>
          <w:i/>
          <w:sz w:val="22"/>
          <w:highlight w:val="yellow"/>
        </w:rPr>
        <w:t>Doze</w:t>
      </w:r>
      <w:r w:rsidR="00452F0E">
        <w:rPr>
          <w:b/>
          <w:i/>
          <w:sz w:val="22"/>
          <w:highlight w:val="yellow"/>
        </w:rPr>
        <w:t xml:space="preserve"> as shown:</w:t>
      </w:r>
    </w:p>
    <w:p w:rsidR="0050274B" w:rsidRDefault="0050274B" w:rsidP="0050274B">
      <w:pPr>
        <w:rPr>
          <w:sz w:val="20"/>
        </w:rPr>
      </w:pPr>
    </w:p>
    <w:p w:rsidR="0050274B" w:rsidRPr="0050274B" w:rsidRDefault="0050274B" w:rsidP="0050274B">
      <w:pPr>
        <w:jc w:val="center"/>
        <w:rPr>
          <w:b/>
          <w:sz w:val="20"/>
        </w:rPr>
      </w:pPr>
    </w:p>
    <w:tbl>
      <w:tblPr>
        <w:tblStyle w:val="TableGrid"/>
        <w:tblW w:w="0" w:type="auto"/>
        <w:tblInd w:w="828" w:type="dxa"/>
        <w:tblLook w:val="04A0" w:firstRow="1" w:lastRow="0" w:firstColumn="1" w:lastColumn="0" w:noHBand="0" w:noVBand="1"/>
      </w:tblPr>
      <w:tblGrid>
        <w:gridCol w:w="1144"/>
        <w:gridCol w:w="1378"/>
        <w:gridCol w:w="1620"/>
        <w:gridCol w:w="1150"/>
        <w:gridCol w:w="1098"/>
        <w:gridCol w:w="1440"/>
      </w:tblGrid>
      <w:tr w:rsidR="00561113" w:rsidTr="00AF7238">
        <w:tc>
          <w:tcPr>
            <w:tcW w:w="1144" w:type="dxa"/>
            <w:tcBorders>
              <w:top w:val="nil"/>
              <w:left w:val="nil"/>
              <w:bottom w:val="nil"/>
              <w:right w:val="nil"/>
            </w:tcBorders>
          </w:tcPr>
          <w:p w:rsidR="00561113" w:rsidRPr="00561113" w:rsidRDefault="00561113" w:rsidP="00561113">
            <w:pPr>
              <w:jc w:val="center"/>
              <w:rPr>
                <w:sz w:val="20"/>
              </w:rPr>
            </w:pPr>
          </w:p>
        </w:tc>
        <w:tc>
          <w:tcPr>
            <w:tcW w:w="1378" w:type="dxa"/>
            <w:tcBorders>
              <w:top w:val="nil"/>
              <w:left w:val="nil"/>
              <w:right w:val="nil"/>
            </w:tcBorders>
          </w:tcPr>
          <w:p w:rsidR="00561113" w:rsidRPr="00561113" w:rsidRDefault="00561113" w:rsidP="00561113">
            <w:pPr>
              <w:jc w:val="center"/>
              <w:rPr>
                <w:sz w:val="20"/>
              </w:rPr>
            </w:pPr>
            <w:r w:rsidRPr="00561113">
              <w:rPr>
                <w:sz w:val="20"/>
              </w:rPr>
              <w:t>B0</w:t>
            </w:r>
          </w:p>
        </w:tc>
        <w:tc>
          <w:tcPr>
            <w:tcW w:w="1620" w:type="dxa"/>
            <w:tcBorders>
              <w:top w:val="nil"/>
              <w:left w:val="nil"/>
              <w:right w:val="nil"/>
            </w:tcBorders>
          </w:tcPr>
          <w:p w:rsidR="00561113" w:rsidRPr="00561113" w:rsidRDefault="00561113" w:rsidP="0050274B">
            <w:pPr>
              <w:jc w:val="center"/>
              <w:rPr>
                <w:sz w:val="20"/>
              </w:rPr>
            </w:pPr>
            <w:r w:rsidRPr="00561113">
              <w:rPr>
                <w:sz w:val="20"/>
              </w:rPr>
              <w:t>B1</w:t>
            </w:r>
          </w:p>
        </w:tc>
        <w:tc>
          <w:tcPr>
            <w:tcW w:w="1150" w:type="dxa"/>
            <w:tcBorders>
              <w:top w:val="nil"/>
              <w:left w:val="nil"/>
              <w:right w:val="nil"/>
            </w:tcBorders>
          </w:tcPr>
          <w:p w:rsidR="00561113" w:rsidRPr="00561113" w:rsidRDefault="00561113" w:rsidP="0050274B">
            <w:pPr>
              <w:jc w:val="center"/>
              <w:rPr>
                <w:sz w:val="20"/>
              </w:rPr>
            </w:pPr>
            <w:r w:rsidRPr="00561113">
              <w:rPr>
                <w:sz w:val="20"/>
              </w:rPr>
              <w:t>B2</w:t>
            </w:r>
          </w:p>
        </w:tc>
        <w:tc>
          <w:tcPr>
            <w:tcW w:w="1098" w:type="dxa"/>
            <w:tcBorders>
              <w:top w:val="nil"/>
              <w:left w:val="nil"/>
              <w:right w:val="nil"/>
            </w:tcBorders>
          </w:tcPr>
          <w:p w:rsidR="00561113" w:rsidRPr="00561113" w:rsidRDefault="00561113" w:rsidP="00561113">
            <w:pPr>
              <w:jc w:val="center"/>
              <w:rPr>
                <w:sz w:val="20"/>
              </w:rPr>
            </w:pPr>
            <w:ins w:id="7" w:author="Matthew Fischer" w:date="2018-08-22T15:50:00Z">
              <w:r>
                <w:rPr>
                  <w:sz w:val="20"/>
                </w:rPr>
                <w:t>B3</w:t>
              </w:r>
            </w:ins>
          </w:p>
        </w:tc>
        <w:tc>
          <w:tcPr>
            <w:tcW w:w="1440" w:type="dxa"/>
            <w:tcBorders>
              <w:top w:val="nil"/>
              <w:left w:val="nil"/>
              <w:right w:val="nil"/>
            </w:tcBorders>
          </w:tcPr>
          <w:p w:rsidR="00561113" w:rsidRPr="00561113" w:rsidRDefault="00AF7238" w:rsidP="00AF7238">
            <w:pPr>
              <w:jc w:val="center"/>
              <w:rPr>
                <w:sz w:val="20"/>
              </w:rPr>
            </w:pPr>
            <w:r>
              <w:rPr>
                <w:sz w:val="20"/>
              </w:rPr>
              <w:t>B</w:t>
            </w:r>
            <w:ins w:id="8" w:author="Matthew Fischer" w:date="2018-08-22T15:50:00Z">
              <w:r>
                <w:rPr>
                  <w:sz w:val="20"/>
                </w:rPr>
                <w:t>4</w:t>
              </w:r>
            </w:ins>
            <w:del w:id="9" w:author="Matthew Fischer" w:date="2018-08-22T15:50:00Z">
              <w:r w:rsidDel="00AF7238">
                <w:rPr>
                  <w:sz w:val="20"/>
                </w:rPr>
                <w:delText>3</w:delText>
              </w:r>
            </w:del>
            <w:r w:rsidR="00561113" w:rsidRPr="00561113">
              <w:rPr>
                <w:sz w:val="20"/>
              </w:rPr>
              <w:t xml:space="preserve">      B7</w:t>
            </w:r>
          </w:p>
        </w:tc>
      </w:tr>
      <w:tr w:rsidR="00561113" w:rsidTr="00AF7238">
        <w:tc>
          <w:tcPr>
            <w:tcW w:w="1144" w:type="dxa"/>
            <w:tcBorders>
              <w:top w:val="nil"/>
              <w:left w:val="nil"/>
              <w:bottom w:val="nil"/>
            </w:tcBorders>
          </w:tcPr>
          <w:p w:rsidR="00561113" w:rsidRPr="00561113" w:rsidRDefault="00561113" w:rsidP="00561113">
            <w:pPr>
              <w:jc w:val="center"/>
              <w:rPr>
                <w:sz w:val="20"/>
              </w:rPr>
            </w:pPr>
          </w:p>
        </w:tc>
        <w:tc>
          <w:tcPr>
            <w:tcW w:w="1378" w:type="dxa"/>
            <w:tcBorders>
              <w:bottom w:val="single" w:sz="4" w:space="0" w:color="000000"/>
            </w:tcBorders>
          </w:tcPr>
          <w:p w:rsidR="00561113" w:rsidRPr="00561113" w:rsidRDefault="00561113" w:rsidP="00561113">
            <w:pPr>
              <w:jc w:val="center"/>
              <w:rPr>
                <w:sz w:val="20"/>
              </w:rPr>
            </w:pPr>
            <w:r w:rsidRPr="00561113">
              <w:rPr>
                <w:sz w:val="20"/>
              </w:rPr>
              <w:t>AC Constraint</w:t>
            </w:r>
          </w:p>
        </w:tc>
        <w:tc>
          <w:tcPr>
            <w:tcW w:w="1620" w:type="dxa"/>
            <w:tcBorders>
              <w:bottom w:val="single" w:sz="4" w:space="0" w:color="000000"/>
            </w:tcBorders>
          </w:tcPr>
          <w:p w:rsidR="00561113" w:rsidRPr="00561113" w:rsidRDefault="00561113" w:rsidP="0050274B">
            <w:pPr>
              <w:jc w:val="center"/>
              <w:rPr>
                <w:sz w:val="20"/>
              </w:rPr>
            </w:pPr>
            <w:r w:rsidRPr="00561113">
              <w:rPr>
                <w:sz w:val="20"/>
              </w:rPr>
              <w:t>RDG/More PPDU</w:t>
            </w:r>
          </w:p>
        </w:tc>
        <w:tc>
          <w:tcPr>
            <w:tcW w:w="1150" w:type="dxa"/>
            <w:tcBorders>
              <w:bottom w:val="single" w:sz="4" w:space="0" w:color="000000"/>
            </w:tcBorders>
          </w:tcPr>
          <w:p w:rsidR="00561113" w:rsidRPr="00561113" w:rsidRDefault="00561113" w:rsidP="0050274B">
            <w:pPr>
              <w:jc w:val="center"/>
              <w:rPr>
                <w:sz w:val="20"/>
              </w:rPr>
            </w:pPr>
            <w:r w:rsidRPr="00561113">
              <w:rPr>
                <w:sz w:val="20"/>
              </w:rPr>
              <w:t>SR PPDU</w:t>
            </w:r>
          </w:p>
        </w:tc>
        <w:tc>
          <w:tcPr>
            <w:tcW w:w="1098" w:type="dxa"/>
            <w:tcBorders>
              <w:bottom w:val="single" w:sz="4" w:space="0" w:color="000000"/>
            </w:tcBorders>
          </w:tcPr>
          <w:p w:rsidR="00561113" w:rsidRPr="00561113" w:rsidRDefault="00561113" w:rsidP="0050274B">
            <w:pPr>
              <w:jc w:val="center"/>
              <w:rPr>
                <w:sz w:val="20"/>
              </w:rPr>
            </w:pPr>
            <w:ins w:id="10" w:author="Matthew Fischer" w:date="2018-08-22T15:50:00Z">
              <w:r>
                <w:rPr>
                  <w:sz w:val="20"/>
                </w:rPr>
                <w:t>Doze</w:t>
              </w:r>
            </w:ins>
            <w:ins w:id="11" w:author="Matthew Fischer" w:date="2018-09-11T20:26:00Z">
              <w:r w:rsidR="00C03089">
                <w:rPr>
                  <w:sz w:val="20"/>
                </w:rPr>
                <w:t xml:space="preserve"> Transition</w:t>
              </w:r>
            </w:ins>
          </w:p>
        </w:tc>
        <w:tc>
          <w:tcPr>
            <w:tcW w:w="1440" w:type="dxa"/>
            <w:tcBorders>
              <w:bottom w:val="single" w:sz="4" w:space="0" w:color="000000"/>
            </w:tcBorders>
          </w:tcPr>
          <w:p w:rsidR="00561113" w:rsidRPr="00561113" w:rsidRDefault="00561113" w:rsidP="0050274B">
            <w:pPr>
              <w:jc w:val="center"/>
              <w:rPr>
                <w:sz w:val="20"/>
              </w:rPr>
            </w:pPr>
            <w:r w:rsidRPr="00561113">
              <w:rPr>
                <w:sz w:val="20"/>
              </w:rPr>
              <w:t>Reserved</w:t>
            </w:r>
          </w:p>
          <w:p w:rsidR="00561113" w:rsidRPr="00561113" w:rsidRDefault="00561113" w:rsidP="00561113">
            <w:pPr>
              <w:ind w:firstLine="720"/>
              <w:rPr>
                <w:sz w:val="20"/>
              </w:rPr>
            </w:pPr>
          </w:p>
        </w:tc>
      </w:tr>
      <w:tr w:rsidR="00561113" w:rsidTr="00AF7238">
        <w:tc>
          <w:tcPr>
            <w:tcW w:w="1144" w:type="dxa"/>
            <w:tcBorders>
              <w:top w:val="nil"/>
              <w:left w:val="nil"/>
              <w:bottom w:val="nil"/>
              <w:right w:val="nil"/>
            </w:tcBorders>
          </w:tcPr>
          <w:p w:rsidR="00561113" w:rsidRPr="00561113" w:rsidRDefault="00561113" w:rsidP="0050274B">
            <w:pPr>
              <w:jc w:val="center"/>
              <w:rPr>
                <w:sz w:val="20"/>
              </w:rPr>
            </w:pPr>
            <w:r>
              <w:rPr>
                <w:sz w:val="20"/>
              </w:rPr>
              <w:t>Bits:</w:t>
            </w:r>
          </w:p>
        </w:tc>
        <w:tc>
          <w:tcPr>
            <w:tcW w:w="1378" w:type="dxa"/>
            <w:tcBorders>
              <w:left w:val="nil"/>
              <w:bottom w:val="nil"/>
              <w:right w:val="nil"/>
            </w:tcBorders>
          </w:tcPr>
          <w:p w:rsidR="00561113" w:rsidRPr="00561113" w:rsidRDefault="00561113" w:rsidP="0050274B">
            <w:pPr>
              <w:jc w:val="center"/>
              <w:rPr>
                <w:sz w:val="20"/>
              </w:rPr>
            </w:pPr>
            <w:r w:rsidRPr="00561113">
              <w:rPr>
                <w:sz w:val="20"/>
              </w:rPr>
              <w:t>1</w:t>
            </w:r>
          </w:p>
        </w:tc>
        <w:tc>
          <w:tcPr>
            <w:tcW w:w="1620" w:type="dxa"/>
            <w:tcBorders>
              <w:left w:val="nil"/>
              <w:bottom w:val="nil"/>
              <w:right w:val="nil"/>
            </w:tcBorders>
          </w:tcPr>
          <w:p w:rsidR="00561113" w:rsidRPr="00561113" w:rsidRDefault="00561113" w:rsidP="0050274B">
            <w:pPr>
              <w:jc w:val="center"/>
              <w:rPr>
                <w:sz w:val="20"/>
              </w:rPr>
            </w:pPr>
            <w:r w:rsidRPr="00561113">
              <w:rPr>
                <w:sz w:val="20"/>
              </w:rPr>
              <w:t>1</w:t>
            </w:r>
          </w:p>
        </w:tc>
        <w:tc>
          <w:tcPr>
            <w:tcW w:w="1150" w:type="dxa"/>
            <w:tcBorders>
              <w:left w:val="nil"/>
              <w:bottom w:val="nil"/>
              <w:right w:val="nil"/>
            </w:tcBorders>
          </w:tcPr>
          <w:p w:rsidR="00561113" w:rsidRPr="00561113" w:rsidRDefault="00561113" w:rsidP="0050274B">
            <w:pPr>
              <w:jc w:val="center"/>
              <w:rPr>
                <w:sz w:val="20"/>
              </w:rPr>
            </w:pPr>
            <w:r w:rsidRPr="00561113">
              <w:rPr>
                <w:sz w:val="20"/>
              </w:rPr>
              <w:t>1</w:t>
            </w:r>
          </w:p>
        </w:tc>
        <w:tc>
          <w:tcPr>
            <w:tcW w:w="1098" w:type="dxa"/>
            <w:tcBorders>
              <w:left w:val="nil"/>
              <w:bottom w:val="nil"/>
              <w:right w:val="nil"/>
            </w:tcBorders>
          </w:tcPr>
          <w:p w:rsidR="00561113" w:rsidRPr="00561113" w:rsidRDefault="00561113" w:rsidP="00561113">
            <w:pPr>
              <w:jc w:val="center"/>
              <w:rPr>
                <w:sz w:val="20"/>
              </w:rPr>
            </w:pPr>
            <w:ins w:id="12" w:author="Matthew Fischer" w:date="2018-08-22T15:50:00Z">
              <w:r>
                <w:rPr>
                  <w:sz w:val="20"/>
                </w:rPr>
                <w:t>1</w:t>
              </w:r>
            </w:ins>
          </w:p>
        </w:tc>
        <w:tc>
          <w:tcPr>
            <w:tcW w:w="1440" w:type="dxa"/>
            <w:tcBorders>
              <w:left w:val="nil"/>
              <w:bottom w:val="nil"/>
              <w:right w:val="nil"/>
            </w:tcBorders>
          </w:tcPr>
          <w:p w:rsidR="00561113" w:rsidRPr="00561113" w:rsidRDefault="00561113" w:rsidP="00561113">
            <w:pPr>
              <w:jc w:val="center"/>
              <w:rPr>
                <w:sz w:val="20"/>
              </w:rPr>
            </w:pPr>
            <w:del w:id="13" w:author="Matthew Fischer" w:date="2018-08-22T15:50:00Z">
              <w:r w:rsidDel="00AF7238">
                <w:rPr>
                  <w:sz w:val="20"/>
                </w:rPr>
                <w:delText>5</w:delText>
              </w:r>
            </w:del>
            <w:ins w:id="14" w:author="Matthew Fischer" w:date="2018-08-22T15:50:00Z">
              <w:r w:rsidR="00AF7238">
                <w:rPr>
                  <w:sz w:val="20"/>
                </w:rPr>
                <w:t>4</w:t>
              </w:r>
            </w:ins>
          </w:p>
        </w:tc>
      </w:tr>
    </w:tbl>
    <w:p w:rsidR="0050274B" w:rsidRDefault="0050274B" w:rsidP="00E82AC8">
      <w:pPr>
        <w:rPr>
          <w:sz w:val="20"/>
        </w:rPr>
      </w:pPr>
    </w:p>
    <w:p w:rsidR="00561113" w:rsidRDefault="00561113" w:rsidP="00561113">
      <w:pPr>
        <w:jc w:val="center"/>
        <w:rPr>
          <w:b/>
          <w:bCs/>
          <w:sz w:val="20"/>
        </w:rPr>
      </w:pPr>
      <w:r>
        <w:rPr>
          <w:b/>
          <w:bCs/>
          <w:sz w:val="20"/>
        </w:rPr>
        <w:t>Figure 9-15j—Control Information subfield for CAS Control</w:t>
      </w:r>
      <w:r w:rsidR="00541AFE" w:rsidRPr="0074106B">
        <w:rPr>
          <w:b/>
          <w:color w:val="00B050"/>
        </w:rPr>
        <w:t xml:space="preserve"> </w:t>
      </w:r>
      <w:r w:rsidR="00541AFE">
        <w:rPr>
          <w:b/>
          <w:color w:val="00B050"/>
        </w:rPr>
        <w:t>(#15757</w:t>
      </w:r>
      <w:r w:rsidR="00541AFE" w:rsidRPr="008225D4">
        <w:rPr>
          <w:b/>
          <w:color w:val="00B050"/>
        </w:rPr>
        <w:t>)</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r>
        <w:rPr>
          <w:b/>
          <w:i/>
          <w:sz w:val="22"/>
          <w:highlight w:val="yellow"/>
        </w:rPr>
        <w:t>TGax editor: within TGax D3.</w:t>
      </w:r>
      <w:r w:rsidR="00FB354E">
        <w:rPr>
          <w:b/>
          <w:i/>
          <w:sz w:val="22"/>
          <w:highlight w:val="yellow"/>
        </w:rPr>
        <w:t>1</w:t>
      </w:r>
      <w:r>
        <w:rPr>
          <w:b/>
          <w:i/>
          <w:sz w:val="22"/>
          <w:highlight w:val="yellow"/>
        </w:rPr>
        <w:t>, in an appropriate location within 9.2.4.6a.7 CAS Control, insert the following paragraph:</w:t>
      </w:r>
    </w:p>
    <w:p w:rsidR="00452F0E" w:rsidRDefault="00452F0E" w:rsidP="00452F0E">
      <w:pPr>
        <w:rPr>
          <w:sz w:val="20"/>
        </w:rPr>
      </w:pPr>
    </w:p>
    <w:p w:rsidR="00452F0E" w:rsidRDefault="00766EE3" w:rsidP="00452F0E">
      <w:pPr>
        <w:rPr>
          <w:sz w:val="20"/>
        </w:rPr>
      </w:pPr>
      <w:r>
        <w:rPr>
          <w:sz w:val="20"/>
        </w:rPr>
        <w:t xml:space="preserve">The </w:t>
      </w:r>
      <w:r w:rsidR="00C03089">
        <w:rPr>
          <w:sz w:val="20"/>
        </w:rPr>
        <w:t xml:space="preserve">Doze Transition </w:t>
      </w:r>
      <w:r w:rsidR="00452F0E">
        <w:rPr>
          <w:sz w:val="20"/>
        </w:rPr>
        <w:t>subfield is set to 1 to indicate that the STA transmitting the frame containing this subfield will enter the Doze state following the receipt of the acknowledgement for the frame. No information is conveyed to the recipient when the Doze</w:t>
      </w:r>
      <w:r w:rsidR="00C03089">
        <w:rPr>
          <w:sz w:val="20"/>
        </w:rPr>
        <w:t xml:space="preserve"> Transition</w:t>
      </w:r>
      <w:r w:rsidR="00452F0E">
        <w:rPr>
          <w:sz w:val="20"/>
        </w:rPr>
        <w:t xml:space="preserve"> subfield has the value of 0.</w:t>
      </w:r>
      <w:r w:rsidR="00541AFE" w:rsidRPr="0074106B">
        <w:rPr>
          <w:b/>
          <w:color w:val="00B050"/>
        </w:rPr>
        <w:t xml:space="preserve"> </w:t>
      </w:r>
      <w:r w:rsidR="00541AFE">
        <w:rPr>
          <w:b/>
          <w:color w:val="00B050"/>
        </w:rPr>
        <w:t>(#15757</w:t>
      </w:r>
      <w:r w:rsidR="00541AFE" w:rsidRPr="008225D4">
        <w:rPr>
          <w:b/>
          <w:color w:val="00B050"/>
        </w:rPr>
        <w:t>)</w:t>
      </w:r>
    </w:p>
    <w:p w:rsidR="00163C7D" w:rsidRDefault="00163C7D" w:rsidP="00E82AC8">
      <w:pPr>
        <w:rPr>
          <w:sz w:val="20"/>
        </w:rPr>
      </w:pPr>
    </w:p>
    <w:p w:rsidR="00F920C2" w:rsidRDefault="00F920C2" w:rsidP="00E82AC8">
      <w:pPr>
        <w:rPr>
          <w:sz w:val="20"/>
        </w:rPr>
      </w:pPr>
    </w:p>
    <w:p w:rsidR="006E6D7D" w:rsidRDefault="006E6D7D" w:rsidP="00E82AC8">
      <w:pPr>
        <w:rPr>
          <w:sz w:val="20"/>
        </w:rPr>
      </w:pPr>
    </w:p>
    <w:p w:rsidR="006E6D7D" w:rsidRDefault="006E6D7D" w:rsidP="00E82AC8">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r>
        <w:rPr>
          <w:b/>
          <w:i/>
          <w:sz w:val="22"/>
          <w:highlight w:val="yellow"/>
        </w:rPr>
        <w:t xml:space="preserve">TGax editor: within TGax D3.1, </w:t>
      </w:r>
      <w:r>
        <w:rPr>
          <w:b/>
          <w:i/>
          <w:sz w:val="22"/>
          <w:highlight w:val="yellow"/>
        </w:rPr>
        <w:t>modify</w:t>
      </w:r>
      <w:r>
        <w:rPr>
          <w:b/>
          <w:i/>
          <w:sz w:val="22"/>
          <w:highlight w:val="yellow"/>
        </w:rPr>
        <w:t xml:space="preserve"> the following </w:t>
      </w:r>
      <w:r>
        <w:rPr>
          <w:b/>
          <w:i/>
          <w:sz w:val="22"/>
          <w:highlight w:val="yellow"/>
        </w:rPr>
        <w:t>text</w:t>
      </w:r>
      <w:r>
        <w:rPr>
          <w:b/>
          <w:i/>
          <w:sz w:val="22"/>
          <w:highlight w:val="yellow"/>
        </w:rPr>
        <w: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FE39E5" w:rsidRPr="00B5483E" w:rsidRDefault="00FE39E5"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agreement with an AP for a group address using the GCR-A delivery method, there is no defined end of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scheduled SP. The STA in PS mode shall enter the awake state and shall remain awake in order to receive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the buffered group addressed BUs until the AP changes the delivery method of the stream to a method other</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than GCR-A or until the GCR agreement is canceled</w:t>
      </w:r>
      <w:ins w:id="15" w:author="Matthew Fischer" w:date="2018-09-11T20:41:00Z">
        <w:r w:rsidR="00FE39E5">
          <w:rPr>
            <w:rFonts w:ascii="TimesNewRomanPSMT" w:hAnsi="TimesNewRomanPSMT" w:cs="TimesNewRomanPSMT"/>
            <w:sz w:val="20"/>
            <w:lang w:val="en-US" w:eastAsia="ko-KR"/>
          </w:rPr>
          <w:t xml:space="preserve"> or until a Doze Transition subfield with a value of 1 is successfully acknowledged</w:t>
        </w:r>
      </w:ins>
      <w:r>
        <w:rPr>
          <w:rFonts w:ascii="TimesNewRomanPSMT" w:hAnsi="TimesNewRomanPSMT" w:cs="TimesNewRomanPSMT"/>
          <w:sz w:val="20"/>
          <w:lang w:val="en-US" w:eastAsia="ko-KR"/>
        </w:rPr>
        <w:t>.</w:t>
      </w:r>
      <w:r w:rsidR="00FE39E5" w:rsidRPr="0074106B">
        <w:rPr>
          <w:b/>
          <w:color w:val="00B050"/>
        </w:rPr>
        <w:t xml:space="preserve"> </w:t>
      </w:r>
      <w:r w:rsidR="00FE39E5">
        <w:rPr>
          <w:b/>
          <w:color w:val="00B050"/>
        </w:rPr>
        <w:t>(#15757</w:t>
      </w:r>
      <w:r w:rsidR="00FE39E5" w:rsidRPr="008225D4">
        <w:rPr>
          <w:b/>
          <w:color w:val="00B050"/>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w:t>
      </w:r>
      <w:r>
        <w:rPr>
          <w:rFonts w:ascii="Arial" w:hAnsi="Arial" w:cs="Arial"/>
          <w:b/>
          <w:bCs/>
          <w:sz w:val="20"/>
        </w:rPr>
        <w:t>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r>
        <w:rPr>
          <w:b/>
          <w:i/>
          <w:sz w:val="22"/>
          <w:highlight w:val="yellow"/>
        </w:rPr>
        <w:t>TGax editor: within TGax D3.1, add the following text to the itemized list as item m):</w:t>
      </w:r>
    </w:p>
    <w:p w:rsidR="00FE39E5" w:rsidRDefault="00FE39E5" w:rsidP="00FE39E5">
      <w:pPr>
        <w:rPr>
          <w:sz w:val="20"/>
        </w:rPr>
      </w:pPr>
    </w:p>
    <w:p w:rsidR="00FE39E5" w:rsidRDefault="00FE39E5" w:rsidP="00FE39E5">
      <w:pPr>
        <w:rPr>
          <w:sz w:val="20"/>
        </w:rPr>
      </w:pPr>
      <w:r>
        <w:rPr>
          <w:sz w:val="20"/>
        </w:rPr>
        <w:t>m) If an MPDU that contains a Doze Transition subfield equal to 1 is received from a PS STA then after acknowledgement of the receipt of the MPDU, the AP shall assume that the STA has transitioned to the doze state and shall cease delivery of any frames to the STA</w:t>
      </w:r>
      <w:r w:rsidRPr="0074106B">
        <w:rPr>
          <w:b/>
          <w:color w:val="00B050"/>
        </w:rPr>
        <w:t xml:space="preserve"> </w:t>
      </w:r>
      <w:r>
        <w:rPr>
          <w:b/>
          <w:color w:val="00B050"/>
        </w:rPr>
        <w:t>(#15757</w:t>
      </w:r>
      <w:r w:rsidRPr="008225D4">
        <w:rPr>
          <w:b/>
          <w:color w:val="00B050"/>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r>
        <w:rPr>
          <w:b/>
          <w:i/>
          <w:sz w:val="22"/>
          <w:highlight w:val="yellow"/>
        </w:rPr>
        <w:t>TGax editor: within TGax D3.1, add the following text at the end of the subclause:</w:t>
      </w:r>
    </w:p>
    <w:p w:rsidR="00FE39E5" w:rsidRDefault="00FE39E5" w:rsidP="00FE39E5">
      <w:pPr>
        <w:rPr>
          <w:sz w:val="20"/>
        </w:rPr>
      </w:pPr>
    </w:p>
    <w:p w:rsidR="00FE39E5" w:rsidRDefault="00FE39E5" w:rsidP="00FE39E5">
      <w:pPr>
        <w:rPr>
          <w:sz w:val="20"/>
        </w:rPr>
      </w:pPr>
      <w:r>
        <w:rPr>
          <w:sz w:val="20"/>
        </w:rPr>
        <w:t>A DTS STA may set the Doze Transistion subfield to 1 to signal a transition to the doze state as described in 11.2.3.19a Doze Transition Signaling.</w:t>
      </w:r>
      <w:r w:rsidRPr="0074106B">
        <w:rPr>
          <w:b/>
          <w:color w:val="00B050"/>
        </w:rPr>
        <w:t xml:space="preserve"> </w:t>
      </w:r>
      <w:r>
        <w:rPr>
          <w:b/>
          <w:color w:val="00B050"/>
        </w:rPr>
        <w:t>(#15757</w:t>
      </w:r>
      <w:r w:rsidRPr="008225D4">
        <w:rPr>
          <w:b/>
          <w:color w:val="00B050"/>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r>
        <w:rPr>
          <w:b/>
          <w:i/>
          <w:sz w:val="22"/>
          <w:highlight w:val="yellow"/>
        </w:rPr>
        <w:t xml:space="preserve">TGax editor: within TGax D3.1, </w:t>
      </w:r>
      <w:r>
        <w:rPr>
          <w:b/>
          <w:i/>
          <w:sz w:val="22"/>
          <w:highlight w:val="yellow"/>
        </w:rPr>
        <w:t>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c) The STA shall remain awake until it receives a QoS Data frame or QoS Null frame addressed to it,</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with the EOSP subfield equal to 1</w:t>
      </w:r>
      <w:ins w:id="16" w:author="Matthew Fischer" w:date="2018-09-11T20:52:00Z">
        <w:r>
          <w:rPr>
            <w:rFonts w:ascii="TimesNewRomanPSMT" w:hAnsi="TimesNewRomanPSMT" w:cs="TimesNewRomanPSMT"/>
            <w:sz w:val="20"/>
            <w:lang w:val="en-US" w:eastAsia="ko-KR"/>
          </w:rPr>
          <w:t xml:space="preserve"> or until it receives an acknowledgement to the transmission of a Doze Transition subfield with a value of 1</w:t>
        </w:r>
      </w:ins>
      <w:r>
        <w:rPr>
          <w:rFonts w:ascii="TimesNewRomanPSMT" w:hAnsi="TimesNewRomanPSMT" w:cs="TimesNewRomanPSMT"/>
          <w:sz w:val="20"/>
          <w:lang w:val="en-US" w:eastAsia="ko-KR"/>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r>
        <w:rPr>
          <w:b/>
          <w:i/>
          <w:sz w:val="22"/>
          <w:highlight w:val="yellow"/>
        </w:rPr>
        <w:t>TGax editor: within TGax D3.1, modify the text as shown:</w:t>
      </w:r>
    </w:p>
    <w:p w:rsidR="00A50ECF" w:rsidRDefault="00A50ECF" w:rsidP="00E82AC8">
      <w:pPr>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A STA transmitting a TDLS Peer PSM Request frame shall remain in the awake state until it received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corresponding TDLS Peer PSM Response frame</w:t>
      </w:r>
      <w:ins w:id="17" w:author="Matthew Fischer" w:date="2018-09-11T21:00:00Z">
        <w:r w:rsidR="00EF3E33" w:rsidRPr="00EF3E33">
          <w:rPr>
            <w:rFonts w:ascii="TimesNewRomanPSMT" w:hAnsi="TimesNewRomanPSMT" w:cs="TimesNewRomanPSMT"/>
            <w:sz w:val="20"/>
            <w:lang w:val="en-US" w:eastAsia="ko-KR"/>
          </w:rPr>
          <w:t xml:space="preserve"> </w:t>
        </w:r>
        <w:r w:rsidR="00EF3E33">
          <w:rPr>
            <w:rFonts w:ascii="TimesNewRomanPSMT" w:hAnsi="TimesNewRomanPSMT" w:cs="TimesNewRomanPSMT"/>
            <w:sz w:val="20"/>
            <w:lang w:val="en-US" w:eastAsia="ko-KR"/>
          </w:rPr>
          <w:t>or until it receives an acknowledgement to the transmission of a Doze Transition subfield with a value of 1</w:t>
        </w:r>
      </w:ins>
      <w:r>
        <w:rPr>
          <w:rFonts w:ascii="TimesNewRomanPSMT" w:hAnsi="TimesNewRomanPSMT" w:cs="TimesNewRomanPSMT"/>
          <w:sz w:val="20"/>
          <w:lang w:val="en-US" w:eastAsia="ko-KR"/>
        </w:rPr>
        <w:t>. A TDLS Peer PSM Request frame may be transmitted via</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the AP path or via the direct path (which is up to the implementer to decide). A TDLS Peer PSM Response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frame shall be transmitted over the direct path.</w:t>
      </w:r>
    </w:p>
    <w:p w:rsidR="0090518D" w:rsidRDefault="0090518D" w:rsidP="00E82AC8">
      <w:pPr>
        <w:rPr>
          <w:sz w:val="20"/>
        </w:rPr>
      </w:pPr>
    </w:p>
    <w:p w:rsidR="0090518D" w:rsidRDefault="0090518D" w:rsidP="00E82AC8">
      <w:pPr>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If a TDLS peer STA enters power save mode when a Wakeup Schedule is active, it shall be awake at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beginning of each scheduled periodic Awake Window, and stay awake for the duration of the Awake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Window or until the end of a TDLS peer PSM service period</w:t>
      </w:r>
      <w:ins w:id="18" w:author="Matthew Fischer" w:date="2018-09-11T21:00:00Z">
        <w:r w:rsidR="00EF3E33" w:rsidRPr="00EF3E33">
          <w:rPr>
            <w:rFonts w:ascii="TimesNewRomanPSMT" w:hAnsi="TimesNewRomanPSMT" w:cs="TimesNewRomanPSMT"/>
            <w:sz w:val="20"/>
            <w:lang w:val="en-US" w:eastAsia="ko-KR"/>
          </w:rPr>
          <w:t xml:space="preserve"> </w:t>
        </w:r>
        <w:r w:rsidR="00EF3E33">
          <w:rPr>
            <w:rFonts w:ascii="TimesNewRomanPSMT" w:hAnsi="TimesNewRomanPSMT" w:cs="TimesNewRomanPSMT"/>
            <w:sz w:val="20"/>
            <w:lang w:val="en-US" w:eastAsia="ko-KR"/>
          </w:rPr>
          <w:t>or until it receives an acknowledgement to the transmission of a Doze Transition subfield with a value of 1</w:t>
        </w:r>
      </w:ins>
      <w:r>
        <w:rPr>
          <w:rFonts w:ascii="TimesNewRomanPSMT" w:hAnsi="TimesNewRomanPSMT" w:cs="TimesNewRomanPSMT"/>
          <w:sz w:val="20"/>
          <w:lang w:val="en-US" w:eastAsia="ko-KR"/>
        </w:rPr>
        <w:t>. Otherwise, it may enter a doze state,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depending on the current requirements to be awake, imposed by other links. A TDLS peer STA that did not</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enter power save mode shall remain in the awake state.</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r>
        <w:rPr>
          <w:b/>
          <w:i/>
          <w:sz w:val="22"/>
          <w:highlight w:val="yellow"/>
        </w:rPr>
        <w:t>TGax editor: within TGax D3.1</w:t>
      </w:r>
      <w:r w:rsidR="00452F0E">
        <w:rPr>
          <w:b/>
          <w:i/>
          <w:sz w:val="22"/>
          <w:highlight w:val="yellow"/>
        </w:rPr>
        <w:t>, insert the following editing instruction and new subclause:</w:t>
      </w:r>
    </w:p>
    <w:p w:rsidR="00452F0E" w:rsidRDefault="00452F0E" w:rsidP="00E82AC8">
      <w:pPr>
        <w:rPr>
          <w:sz w:val="20"/>
        </w:rPr>
      </w:pPr>
    </w:p>
    <w:p w:rsidR="00452F0E" w:rsidRPr="00452F0E" w:rsidRDefault="00452F0E" w:rsidP="00E82AC8">
      <w:pPr>
        <w:rPr>
          <w:b/>
          <w:i/>
          <w:sz w:val="20"/>
        </w:rPr>
      </w:pPr>
      <w:r w:rsidRPr="00452F0E">
        <w:rPr>
          <w:b/>
          <w:i/>
          <w:sz w:val="20"/>
        </w:rPr>
        <w:t>Insert a new subclause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Pr>
          <w:rFonts w:ascii="Arial" w:hAnsi="Arial" w:cs="Arial"/>
          <w:b/>
          <w:bCs/>
          <w:sz w:val="20"/>
        </w:rPr>
        <w:t>Doze Transition Signaling</w:t>
      </w:r>
      <w:r w:rsidR="00541AFE" w:rsidRPr="0074106B">
        <w:rPr>
          <w:b/>
          <w:color w:val="00B050"/>
        </w:rPr>
        <w:t xml:space="preserve"> </w:t>
      </w:r>
      <w:r w:rsidR="00541AFE">
        <w:rPr>
          <w:b/>
          <w:color w:val="00B050"/>
        </w:rPr>
        <w:t>(#15757</w:t>
      </w:r>
      <w:r w:rsidR="00541AFE" w:rsidRPr="008225D4">
        <w:rPr>
          <w:b/>
          <w:color w:val="00B050"/>
        </w:rPr>
        <w:t>)</w:t>
      </w:r>
    </w:p>
    <w:p w:rsidR="00452F0E" w:rsidRPr="00B5483E" w:rsidRDefault="00452F0E" w:rsidP="00452F0E">
      <w:pPr>
        <w:rPr>
          <w:sz w:val="20"/>
        </w:rPr>
      </w:pPr>
    </w:p>
    <w:p w:rsidR="00587E1B" w:rsidRDefault="00587E1B" w:rsidP="00587E1B">
      <w:pPr>
        <w:jc w:val="both"/>
        <w:rPr>
          <w:sz w:val="20"/>
        </w:rPr>
      </w:pPr>
      <w:r>
        <w:rPr>
          <w:sz w:val="20"/>
        </w:rPr>
        <w:t>An HE STA with dot11</w:t>
      </w:r>
      <w:r w:rsidR="00766EE3">
        <w:rPr>
          <w:sz w:val="20"/>
        </w:rPr>
        <w:t>DozeTransitionSignaling</w:t>
      </w:r>
      <w:r>
        <w:rPr>
          <w:sz w:val="20"/>
        </w:rPr>
        <w:t xml:space="preserve">Activated equal to true supports </w:t>
      </w:r>
      <w:r w:rsidR="00766EE3">
        <w:rPr>
          <w:sz w:val="20"/>
        </w:rPr>
        <w:t>Doze</w:t>
      </w:r>
      <w:r>
        <w:rPr>
          <w:sz w:val="20"/>
        </w:rPr>
        <w:t xml:space="preserve"> Transition signalling </w:t>
      </w:r>
      <w:r w:rsidR="00766EE3">
        <w:rPr>
          <w:sz w:val="20"/>
        </w:rPr>
        <w:t>using</w:t>
      </w:r>
      <w:r>
        <w:rPr>
          <w:sz w:val="20"/>
        </w:rPr>
        <w:t xml:space="preserve"> the A-Control </w:t>
      </w:r>
      <w:r w:rsidR="009D1C48">
        <w:rPr>
          <w:sz w:val="20"/>
        </w:rPr>
        <w:t xml:space="preserve">CAS Control subfield and shall set the </w:t>
      </w:r>
      <w:r w:rsidR="00766EE3">
        <w:rPr>
          <w:sz w:val="20"/>
        </w:rPr>
        <w:t>Doze</w:t>
      </w:r>
      <w:r w:rsidR="009D1C48">
        <w:rPr>
          <w:sz w:val="20"/>
        </w:rPr>
        <w:t xml:space="preserve"> Transition Signaling Support subfield to 1 in transmitted Extended Capability elements</w:t>
      </w:r>
      <w:r w:rsidR="00766EE3">
        <w:rPr>
          <w:sz w:val="20"/>
        </w:rPr>
        <w:t xml:space="preserve"> and is called a DTS STA</w:t>
      </w:r>
      <w:r w:rsidR="009D1C48">
        <w:rPr>
          <w:sz w:val="20"/>
        </w:rPr>
        <w:t>.</w:t>
      </w:r>
    </w:p>
    <w:p w:rsidR="00B22540" w:rsidRDefault="00B22540" w:rsidP="00587E1B">
      <w:pPr>
        <w:jc w:val="both"/>
        <w:rPr>
          <w:sz w:val="20"/>
        </w:rPr>
      </w:pPr>
    </w:p>
    <w:p w:rsidR="001A1B8D" w:rsidRDefault="00766EE3" w:rsidP="00587E1B">
      <w:pPr>
        <w:jc w:val="both"/>
        <w:rPr>
          <w:sz w:val="20"/>
        </w:rPr>
      </w:pPr>
      <w:r>
        <w:rPr>
          <w:sz w:val="20"/>
        </w:rPr>
        <w:t xml:space="preserve">A DTS STA </w:t>
      </w:r>
      <w:r w:rsidR="00C03089">
        <w:rPr>
          <w:sz w:val="20"/>
        </w:rPr>
        <w:t xml:space="preserve">that is a PS STA </w:t>
      </w:r>
      <w:r>
        <w:rPr>
          <w:sz w:val="20"/>
        </w:rPr>
        <w:t xml:space="preserve">may set the Doze </w:t>
      </w:r>
      <w:r w:rsidR="001A1B8D">
        <w:rPr>
          <w:sz w:val="20"/>
        </w:rPr>
        <w:t xml:space="preserve">Transition </w:t>
      </w:r>
      <w:r>
        <w:rPr>
          <w:sz w:val="20"/>
        </w:rPr>
        <w:t>subfield to 1 in CAS Control fields transmitted to a STA from which it has received an Extended Capability element with the value 1 in the Doze Transition Signaling Support subfield</w:t>
      </w:r>
      <w:r w:rsidR="001A1B8D">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that </w:t>
      </w:r>
      <w:r w:rsidR="00E438E0">
        <w:rPr>
          <w:sz w:val="20"/>
        </w:rPr>
        <w:t xml:space="preserve">transmits a value of 1 in the Doze </w:t>
      </w:r>
      <w:r w:rsidR="001A1B8D">
        <w:rPr>
          <w:sz w:val="20"/>
        </w:rPr>
        <w:t xml:space="preserve">Transition </w:t>
      </w:r>
      <w:r w:rsidR="00E438E0">
        <w:rPr>
          <w:sz w:val="20"/>
        </w:rPr>
        <w:t>subfield of a CAS Control field may transition to Doze state immediately following the receipt of the acknowledgement of the frame that contained the CAS Control field.</w:t>
      </w:r>
    </w:p>
    <w:p w:rsidR="00766EE3" w:rsidRDefault="00766EE3" w:rsidP="00587E1B">
      <w:pPr>
        <w:jc w:val="both"/>
        <w:rPr>
          <w:sz w:val="20"/>
        </w:rPr>
      </w:pPr>
    </w:p>
    <w:p w:rsidR="00195A59" w:rsidRDefault="00195A59"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w:t>
      </w:r>
      <w:r>
        <w:rPr>
          <w:rFonts w:ascii="TimesNewRomanPSMT" w:hAnsi="TimesNewRomanPSMT" w:cs="TimesNewRomanPSMT"/>
          <w:sz w:val="20"/>
          <w:lang w:val="en-US" w:eastAsia="ko-KR"/>
        </w:rPr>
        <w:t>If a STA receives at least one individually addressed ATIM frame containing the STA’s individual</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address in the RA field during the ATIM window then the STA shall remain in the awake state at</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least until the earlier of the completion of the successful transmission to and reception from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source STA of each received ATIM frame, a frame with the EOSP subfield equal to 1, </w:t>
      </w:r>
      <w:ins w:id="19" w:author="Matthew Fischer" w:date="2018-09-11T21:01:00Z">
        <w:r w:rsidR="00EF3E33">
          <w:rPr>
            <w:rFonts w:ascii="TimesNewRomanPSMT" w:hAnsi="TimesNewRomanPSMT" w:cs="TimesNewRomanPSMT"/>
            <w:sz w:val="20"/>
            <w:lang w:val="en-US" w:eastAsia="ko-KR"/>
          </w:rPr>
          <w:t xml:space="preserve">the receipt of an </w:t>
        </w:r>
      </w:ins>
      <w:ins w:id="20" w:author="Matthew Fischer" w:date="2018-09-11T21:00:00Z">
        <w:r w:rsidR="00EF3E33">
          <w:rPr>
            <w:rFonts w:ascii="TimesNewRomanPSMT" w:hAnsi="TimesNewRomanPSMT" w:cs="TimesNewRomanPSMT"/>
            <w:sz w:val="20"/>
            <w:lang w:val="en-US" w:eastAsia="ko-KR"/>
          </w:rPr>
          <w:t>acknowledgement to the transmission of a Doze Transition subfield with a value of 1</w:t>
        </w:r>
      </w:ins>
      <w:ins w:id="21"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the next ATIM window.</w:t>
      </w:r>
    </w:p>
    <w:p w:rsidR="006E6D7D" w:rsidRDefault="006E6D7D" w:rsidP="00587E1B">
      <w:pPr>
        <w:jc w:val="both"/>
        <w:rPr>
          <w:sz w:val="20"/>
        </w:rPr>
      </w:pPr>
    </w:p>
    <w:p w:rsidR="006E6D7D" w:rsidRDefault="006E6D7D"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27.7.5 Power save operation during TWT SPs</w:t>
      </w:r>
    </w:p>
    <w:p w:rsidR="00195A59" w:rsidRDefault="00195A59" w:rsidP="00195A59">
      <w:pPr>
        <w:jc w:val="both"/>
        <w:rPr>
          <w:sz w:val="20"/>
        </w:rPr>
      </w:pPr>
    </w:p>
    <w:p w:rsidR="00195A59" w:rsidRDefault="00FB354E" w:rsidP="00195A59">
      <w:pPr>
        <w:rPr>
          <w:b/>
          <w:i/>
          <w:sz w:val="22"/>
          <w:highlight w:val="yellow"/>
        </w:rPr>
      </w:pPr>
      <w:r>
        <w:rPr>
          <w:b/>
          <w:i/>
          <w:sz w:val="22"/>
          <w:highlight w:val="yellow"/>
        </w:rPr>
        <w:t>TGax editor: within TGax D3.1</w:t>
      </w:r>
      <w:r w:rsidR="00195A59">
        <w:rPr>
          <w:b/>
          <w:i/>
          <w:sz w:val="22"/>
          <w:highlight w:val="yellow"/>
        </w:rPr>
        <w:t>, in subclause 27.7.5 Power save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2) The transmission by the TWT requesting STA or TWT scheduled STA of an acknowledgment in response to an individually addressed QoS Data or QoS Null frame sent by the TWT responding STA or TWT scheduling AP, respectively, that had the EOSP subfield equal to 1.</w:t>
      </w:r>
    </w:p>
    <w:p w:rsidR="00195A59" w:rsidRDefault="00195A59" w:rsidP="00587E1B">
      <w:pPr>
        <w:jc w:val="both"/>
        <w:rPr>
          <w:sz w:val="20"/>
        </w:rPr>
      </w:pPr>
      <w:r>
        <w:rPr>
          <w:sz w:val="20"/>
        </w:rPr>
        <w:t>3) 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rsidR="00195A59" w:rsidRDefault="00195A59" w:rsidP="00587E1B">
      <w:pPr>
        <w:jc w:val="both"/>
        <w:rPr>
          <w:sz w:val="20"/>
        </w:rPr>
      </w:pPr>
      <w:r>
        <w:rPr>
          <w:sz w:val="20"/>
        </w:rPr>
        <w:t>4) The reception of an individually addressed or broadcast QoS Data or QoS Null frame sent by the TWT responding STA or TWT scheduling AP, that does not solicit an immediate response and with the EOSP subfield equal to 1.</w:t>
      </w:r>
    </w:p>
    <w:p w:rsidR="00195A59" w:rsidRDefault="00195A59" w:rsidP="00587E1B">
      <w:pPr>
        <w:jc w:val="both"/>
        <w:rPr>
          <w:sz w:val="20"/>
        </w:rPr>
      </w:pPr>
      <w:r>
        <w:rPr>
          <w:sz w:val="20"/>
        </w:rPr>
        <w:t>5) The reception of an individually addressed frame that is neither a QoS Data frame nor a QoS Null frame, sent by the TWT responding STA or TWT scheduling AP, that does not solicit an immediate response and with the More Data field equal to 0.</w:t>
      </w:r>
    </w:p>
    <w:p w:rsidR="00195A59" w:rsidRDefault="00195A59" w:rsidP="00587E1B">
      <w:pPr>
        <w:jc w:val="both"/>
        <w:rPr>
          <w:ins w:id="22"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sz w:val="20"/>
        </w:rPr>
      </w:pPr>
      <w:ins w:id="23" w:author="Matthew Fischer" w:date="2018-08-22T17:13:00Z">
        <w:r>
          <w:rPr>
            <w:sz w:val="20"/>
          </w:rPr>
          <w:lastRenderedPageBreak/>
          <w:t xml:space="preserve">7) The </w:t>
        </w:r>
      </w:ins>
      <w:ins w:id="24" w:author="Matthew Fischer" w:date="2018-08-22T17:14:00Z">
        <w:r>
          <w:rPr>
            <w:sz w:val="20"/>
          </w:rPr>
          <w:t xml:space="preserve">successful acknowledgement </w:t>
        </w:r>
      </w:ins>
      <w:ins w:id="25" w:author="Matthew Fischer" w:date="2018-09-05T09:47:00Z">
        <w:r w:rsidR="00D11902">
          <w:rPr>
            <w:sz w:val="20"/>
          </w:rPr>
          <w:t xml:space="preserve">from </w:t>
        </w:r>
      </w:ins>
      <w:ins w:id="26" w:author="Matthew Fischer" w:date="2018-09-05T09:48:00Z">
        <w:r w:rsidR="00D11902">
          <w:rPr>
            <w:sz w:val="20"/>
          </w:rPr>
          <w:t>the</w:t>
        </w:r>
      </w:ins>
      <w:ins w:id="27" w:author="Matthew Fischer" w:date="2018-09-05T09:47:00Z">
        <w:r w:rsidR="00D11902">
          <w:rPr>
            <w:sz w:val="20"/>
          </w:rPr>
          <w:t xml:space="preserve"> TWT scheduling STA or </w:t>
        </w:r>
      </w:ins>
      <w:ins w:id="28" w:author="Matthew Fischer" w:date="2018-09-05T09:48:00Z">
        <w:r w:rsidR="00D11902">
          <w:rPr>
            <w:sz w:val="20"/>
          </w:rPr>
          <w:t>the</w:t>
        </w:r>
      </w:ins>
      <w:ins w:id="29" w:author="Matthew Fischer" w:date="2018-09-05T09:47:00Z">
        <w:r w:rsidR="00D11902">
          <w:rPr>
            <w:sz w:val="20"/>
          </w:rPr>
          <w:t xml:space="preserve"> TWT responding STA </w:t>
        </w:r>
      </w:ins>
      <w:ins w:id="30" w:author="Matthew Fischer" w:date="2018-08-22T17:14:00Z">
        <w:r>
          <w:rPr>
            <w:sz w:val="20"/>
          </w:rPr>
          <w:t xml:space="preserve">of the </w:t>
        </w:r>
      </w:ins>
      <w:ins w:id="31" w:author="Matthew Fischer" w:date="2018-08-22T17:13:00Z">
        <w:r>
          <w:rPr>
            <w:sz w:val="20"/>
          </w:rPr>
          <w:t xml:space="preserve">reception of a frame </w:t>
        </w:r>
      </w:ins>
      <w:ins w:id="32" w:author="Matthew Fischer" w:date="2018-08-22T17:14:00Z">
        <w:r w:rsidR="00D11902">
          <w:rPr>
            <w:sz w:val="20"/>
          </w:rPr>
          <w:t xml:space="preserve">transmitted by </w:t>
        </w:r>
      </w:ins>
      <w:ins w:id="33" w:author="Matthew Fischer" w:date="2018-09-05T09:48:00Z">
        <w:r w:rsidR="00D11902">
          <w:rPr>
            <w:sz w:val="20"/>
          </w:rPr>
          <w:t>the</w:t>
        </w:r>
      </w:ins>
      <w:ins w:id="34" w:author="Matthew Fischer" w:date="2018-08-22T17:14:00Z">
        <w:r>
          <w:rPr>
            <w:sz w:val="20"/>
          </w:rPr>
          <w:t xml:space="preserve"> TWT scheduled STA or </w:t>
        </w:r>
      </w:ins>
      <w:ins w:id="35" w:author="Matthew Fischer" w:date="2018-09-05T09:48:00Z">
        <w:r w:rsidR="00D11902">
          <w:rPr>
            <w:sz w:val="20"/>
          </w:rPr>
          <w:t xml:space="preserve">the </w:t>
        </w:r>
      </w:ins>
      <w:ins w:id="36" w:author="Matthew Fischer" w:date="2018-08-22T17:14:00Z">
        <w:r>
          <w:rPr>
            <w:sz w:val="20"/>
          </w:rPr>
          <w:t>TWT requesting STA</w:t>
        </w:r>
      </w:ins>
      <w:ins w:id="37" w:author="Matthew Fischer" w:date="2018-09-05T09:47:00Z">
        <w:r w:rsidR="00D11902">
          <w:rPr>
            <w:sz w:val="20"/>
          </w:rPr>
          <w:t>, respectively,</w:t>
        </w:r>
      </w:ins>
      <w:ins w:id="38" w:author="Matthew Fischer" w:date="2018-08-22T17:14:00Z">
        <w:r>
          <w:rPr>
            <w:sz w:val="20"/>
          </w:rPr>
          <w:t xml:space="preserve"> that contains </w:t>
        </w:r>
      </w:ins>
      <w:ins w:id="39" w:author="Matthew Fischer" w:date="2018-08-22T17:13:00Z">
        <w:r>
          <w:rPr>
            <w:sz w:val="20"/>
          </w:rPr>
          <w:t xml:space="preserve">a CAS Control field with the Doze </w:t>
        </w:r>
      </w:ins>
      <w:ins w:id="40" w:author="Matthew Fischer" w:date="2018-09-11T20:30:00Z">
        <w:r w:rsidR="001A1B8D">
          <w:rPr>
            <w:sz w:val="20"/>
          </w:rPr>
          <w:t xml:space="preserve">Transition </w:t>
        </w:r>
      </w:ins>
      <w:ins w:id="41" w:author="Matthew Fischer" w:date="2018-08-22T17:13:00Z">
        <w:r>
          <w:rPr>
            <w:sz w:val="20"/>
          </w:rPr>
          <w:t>subfield set to 1.</w:t>
        </w:r>
      </w:ins>
      <w:r w:rsidR="00541AFE" w:rsidRPr="0074106B">
        <w:rPr>
          <w:b/>
          <w:color w:val="00B050"/>
        </w:rPr>
        <w:t xml:space="preserve"> </w:t>
      </w:r>
      <w:r w:rsidR="00541AFE">
        <w:rPr>
          <w:b/>
          <w:color w:val="00B050"/>
        </w:rPr>
        <w:t>(#15757</w:t>
      </w:r>
      <w:r w:rsidR="00541AFE" w:rsidRPr="008225D4">
        <w:rPr>
          <w:b/>
          <w:color w:val="00B050"/>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r>
        <w:rPr>
          <w:szCs w:val="18"/>
        </w:rPr>
        <w:t>dot11</w:t>
      </w:r>
      <w:r w:rsidR="00766EE3">
        <w:rPr>
          <w:szCs w:val="18"/>
        </w:rPr>
        <w:t>DozeTransitionSignaling</w:t>
      </w:r>
      <w:r>
        <w:rPr>
          <w:szCs w:val="18"/>
        </w:rPr>
        <w:t>Activated OBJECT-TYPE</w:t>
      </w:r>
      <w:r w:rsidR="00541AFE" w:rsidRPr="0074106B">
        <w:rPr>
          <w:b/>
          <w:color w:val="00B050"/>
        </w:rPr>
        <w:t xml:space="preserve"> </w:t>
      </w:r>
      <w:r w:rsidR="00541AFE">
        <w:rPr>
          <w:b/>
          <w:color w:val="00B050"/>
        </w:rPr>
        <w:t>(#15757</w:t>
      </w:r>
      <w:r w:rsidR="00541AFE" w:rsidRPr="008225D4">
        <w:rPr>
          <w:b/>
          <w:color w:val="00B050"/>
        </w:rPr>
        <w:t>)</w:t>
      </w:r>
    </w:p>
    <w:p w:rsidR="00587E1B" w:rsidRDefault="00587E1B" w:rsidP="00587E1B">
      <w:pPr>
        <w:autoSpaceDE w:val="0"/>
        <w:autoSpaceDN w:val="0"/>
        <w:adjustRightInd w:val="0"/>
        <w:ind w:left="720"/>
        <w:rPr>
          <w:szCs w:val="18"/>
        </w:rPr>
      </w:pPr>
      <w:r>
        <w:rPr>
          <w:szCs w:val="18"/>
        </w:rPr>
        <w:t>SYNTAX TruthValue</w:t>
      </w:r>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This attribute, when true, indicates that the STA implementation is capable of signalling a transition to the Doze state through the A-Control CAS</w:t>
      </w:r>
      <w:r w:rsidR="009D1C48">
        <w:rPr>
          <w:szCs w:val="18"/>
        </w:rPr>
        <w:t xml:space="preserve"> Control</w:t>
      </w:r>
      <w:r>
        <w:rPr>
          <w:szCs w:val="18"/>
        </w:rPr>
        <w:t xml:space="preserve"> subfield and capable of interpreting the signalling of a transition to Doze state using the same subfield. The capability is disabled, otherwise."</w:t>
      </w:r>
    </w:p>
    <w:p w:rsidR="00587E1B" w:rsidRDefault="00587E1B" w:rsidP="00587E1B">
      <w:pPr>
        <w:autoSpaceDE w:val="0"/>
        <w:autoSpaceDN w:val="0"/>
        <w:adjustRightInd w:val="0"/>
        <w:ind w:left="720"/>
        <w:rPr>
          <w:szCs w:val="18"/>
        </w:rPr>
      </w:pPr>
      <w:r>
        <w:rPr>
          <w:szCs w:val="18"/>
        </w:rPr>
        <w:t>DEFVAL { false }</w:t>
      </w:r>
    </w:p>
    <w:p w:rsidR="00587E1B" w:rsidRDefault="00587E1B" w:rsidP="00587E1B">
      <w:pPr>
        <w:autoSpaceDE w:val="0"/>
        <w:autoSpaceDN w:val="0"/>
        <w:adjustRightInd w:val="0"/>
        <w:rPr>
          <w:szCs w:val="18"/>
        </w:rPr>
      </w:pPr>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EB" w:rsidRDefault="00110BEB">
      <w:r>
        <w:separator/>
      </w:r>
    </w:p>
  </w:endnote>
  <w:endnote w:type="continuationSeparator" w:id="0">
    <w:p w:rsidR="00110BEB" w:rsidRDefault="0011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10BEB">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D31B6A">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EB" w:rsidRDefault="00110BEB">
      <w:r>
        <w:separator/>
      </w:r>
    </w:p>
  </w:footnote>
  <w:footnote w:type="continuationSeparator" w:id="0">
    <w:p w:rsidR="00110BEB" w:rsidRDefault="0011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10BEB">
    <w:pPr>
      <w:pStyle w:val="Header"/>
      <w:tabs>
        <w:tab w:val="clear" w:pos="6480"/>
        <w:tab w:val="center" w:pos="4680"/>
        <w:tab w:val="right" w:pos="9360"/>
      </w:tabs>
    </w:pPr>
    <w:r>
      <w:fldChar w:fldCharType="begin"/>
    </w:r>
    <w:r>
      <w:instrText xml:space="preserve"> KEYWORDS   \* MERGEFORMAT </w:instrText>
    </w:r>
    <w:r>
      <w:fldChar w:fldCharType="separate"/>
    </w:r>
    <w:r w:rsidR="00486398">
      <w:t>September 2018</w:t>
    </w:r>
    <w:r>
      <w:fldChar w:fldCharType="end"/>
    </w:r>
    <w:r w:rsidR="000864D4">
      <w:tab/>
    </w:r>
    <w:r w:rsidR="000864D4">
      <w:tab/>
    </w:r>
    <w:r>
      <w:fldChar w:fldCharType="begin"/>
    </w:r>
    <w:r>
      <w:instrText xml:space="preserve"> TITLE  \* MERGEFORMAT </w:instrText>
    </w:r>
    <w:r>
      <w:fldChar w:fldCharType="separate"/>
    </w:r>
    <w:r w:rsidR="00486398">
      <w:t>doc.: IEEE 802.11-18/1432r3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53A1-2D69-4D08-91C2-7A94AC1FA4B8}">
  <ds:schemaRefs>
    <ds:schemaRef ds:uri="http://schemas.openxmlformats.org/officeDocument/2006/bibliography"/>
  </ds:schemaRefs>
</ds:datastoreItem>
</file>

<file path=customXml/itemProps2.xml><?xml version="1.0" encoding="utf-8"?>
<ds:datastoreItem xmlns:ds="http://schemas.openxmlformats.org/officeDocument/2006/customXml" ds:itemID="{0E45CA0B-0BCC-47DC-929A-527896E74F48}">
  <ds:schemaRefs>
    <ds:schemaRef ds:uri="http://schemas.openxmlformats.org/officeDocument/2006/bibliography"/>
  </ds:schemaRefs>
</ds:datastoreItem>
</file>

<file path=customXml/itemProps3.xml><?xml version="1.0" encoding="utf-8"?>
<ds:datastoreItem xmlns:ds="http://schemas.openxmlformats.org/officeDocument/2006/customXml" ds:itemID="{B5E85DD9-105F-40FC-8D38-B205DE197BFC}">
  <ds:schemaRefs>
    <ds:schemaRef ds:uri="http://schemas.openxmlformats.org/officeDocument/2006/bibliography"/>
  </ds:schemaRefs>
</ds:datastoreItem>
</file>

<file path=customXml/itemProps4.xml><?xml version="1.0" encoding="utf-8"?>
<ds:datastoreItem xmlns:ds="http://schemas.openxmlformats.org/officeDocument/2006/customXml" ds:itemID="{501ECFC0-85A7-46CD-870C-37A9F4CD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2004</Words>
  <Characters>11427</Characters>
  <Application>Microsoft Office Word</Application>
  <DocSecurity>0</DocSecurity>
  <Lines>95</Lines>
  <Paragraphs>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802.11-18/1432r2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13405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802.11-18/1432r3</dc:title>
  <dc:subject>Submission</dc:subject>
  <dc:creator>Matthew Fischer, Broadcom</dc:creator>
  <cp:keywords>September 2018</cp:keywords>
  <cp:lastModifiedBy>Matthew Fischer</cp:lastModifiedBy>
  <cp:revision>5</cp:revision>
  <cp:lastPrinted>2010-05-04T02:47:00Z</cp:lastPrinted>
  <dcterms:created xsi:type="dcterms:W3CDTF">2018-09-12T04:01:00Z</dcterms:created>
  <dcterms:modified xsi:type="dcterms:W3CDTF">2018-09-13T01:25:00Z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