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00AF6" w14:textId="77777777" w:rsidR="00C526AE" w:rsidRDefault="00C526AE" w:rsidP="00C526A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26AE" w14:paraId="053C15EB" w14:textId="77777777" w:rsidTr="00A150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816CE9" w14:textId="44688BE3" w:rsidR="00C526AE" w:rsidRDefault="001E6DAB" w:rsidP="00897670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</w:t>
            </w:r>
            <w:r w:rsidR="00897670">
              <w:rPr>
                <w:lang w:eastAsia="ko-KR"/>
              </w:rPr>
              <w:t xml:space="preserve"> for EDMG </w:t>
            </w:r>
            <w:r>
              <w:rPr>
                <w:lang w:eastAsia="ko-KR"/>
              </w:rPr>
              <w:t>Channel A</w:t>
            </w:r>
            <w:r w:rsidR="00897670">
              <w:rPr>
                <w:lang w:eastAsia="ko-KR"/>
              </w:rPr>
              <w:t>ccess</w:t>
            </w:r>
            <w:r>
              <w:rPr>
                <w:lang w:eastAsia="ko-KR"/>
              </w:rPr>
              <w:t xml:space="preserve"> CIDs</w:t>
            </w:r>
            <w:r w:rsidR="007E6572">
              <w:rPr>
                <w:lang w:eastAsia="ko-KR"/>
              </w:rPr>
              <w:t xml:space="preserve"> part2</w:t>
            </w:r>
          </w:p>
        </w:tc>
      </w:tr>
      <w:tr w:rsidR="00C526AE" w14:paraId="397AC6F7" w14:textId="77777777" w:rsidTr="00A150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2181BB" w14:textId="4C4F1A58" w:rsidR="00C526AE" w:rsidRDefault="00C526AE" w:rsidP="00A150F6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CA28BE">
              <w:rPr>
                <w:rFonts w:hint="eastAsia"/>
                <w:b w:val="0"/>
                <w:sz w:val="20"/>
                <w:lang w:eastAsia="ko-KR"/>
              </w:rPr>
              <w:t>8</w:t>
            </w:r>
            <w:r>
              <w:rPr>
                <w:b w:val="0"/>
                <w:sz w:val="20"/>
              </w:rPr>
              <w:t>-</w:t>
            </w:r>
            <w:r w:rsidR="002C5FF9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7E6572">
              <w:rPr>
                <w:rFonts w:hint="eastAsia"/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E6572">
              <w:rPr>
                <w:rFonts w:hint="eastAsia"/>
                <w:b w:val="0"/>
                <w:sz w:val="20"/>
                <w:lang w:eastAsia="ko-KR"/>
              </w:rPr>
              <w:t>09</w:t>
            </w:r>
          </w:p>
        </w:tc>
      </w:tr>
      <w:tr w:rsidR="00C526AE" w14:paraId="5FB61356" w14:textId="77777777" w:rsidTr="00A150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2FB817" w14:textId="77777777" w:rsidR="00C526AE" w:rsidRDefault="00C526AE" w:rsidP="00A150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6AE" w14:paraId="7AC24E5F" w14:textId="77777777" w:rsidTr="00A150F6">
        <w:trPr>
          <w:jc w:val="center"/>
        </w:trPr>
        <w:tc>
          <w:tcPr>
            <w:tcW w:w="2178" w:type="dxa"/>
            <w:vAlign w:val="center"/>
          </w:tcPr>
          <w:p w14:paraId="6710A0EF" w14:textId="77777777" w:rsidR="00C526AE" w:rsidRDefault="00C526AE" w:rsidP="00A150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3FAD0BD" w14:textId="77777777" w:rsidR="00C526AE" w:rsidRDefault="00C526AE" w:rsidP="00A150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82682F4" w14:textId="77777777" w:rsidR="00C526AE" w:rsidRDefault="00C526AE" w:rsidP="00A150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87AAF7F" w14:textId="77777777" w:rsidR="00C526AE" w:rsidRDefault="00C526AE" w:rsidP="00A150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5AB6158" w14:textId="77777777" w:rsidR="00C526AE" w:rsidRDefault="00C526AE" w:rsidP="00A150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6AE" w14:paraId="53CF599A" w14:textId="77777777" w:rsidTr="00A150F6">
        <w:trPr>
          <w:jc w:val="center"/>
        </w:trPr>
        <w:tc>
          <w:tcPr>
            <w:tcW w:w="2178" w:type="dxa"/>
            <w:vAlign w:val="center"/>
          </w:tcPr>
          <w:p w14:paraId="0B4597D0" w14:textId="77777777" w:rsidR="00C526AE" w:rsidRDefault="00C526AE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07DDBF70" w14:textId="77777777" w:rsidR="00C526AE" w:rsidRDefault="00C526AE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6105D9FE" w14:textId="5618772B" w:rsidR="00C526AE" w:rsidRDefault="00C526AE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11gil, </w:t>
            </w:r>
            <w:proofErr w:type="spellStart"/>
            <w:r w:rsidR="006C7E01">
              <w:rPr>
                <w:rFonts w:hint="eastAsia"/>
                <w:b w:val="0"/>
                <w:sz w:val="20"/>
                <w:lang w:eastAsia="ko-KR"/>
              </w:rPr>
              <w:t>Seocho-gu</w:t>
            </w:r>
            <w:proofErr w:type="spellEnd"/>
            <w:r w:rsidR="006C7E01">
              <w:rPr>
                <w:rFonts w:hint="eastAsia"/>
                <w:b w:val="0"/>
                <w:sz w:val="20"/>
                <w:lang w:eastAsia="ko-KR"/>
              </w:rPr>
              <w:t>, Se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oul, </w:t>
            </w:r>
          </w:p>
          <w:p w14:paraId="3888C8DB" w14:textId="77777777" w:rsidR="00C526AE" w:rsidRDefault="00C526AE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137-893, Korea</w:t>
            </w:r>
          </w:p>
        </w:tc>
        <w:tc>
          <w:tcPr>
            <w:tcW w:w="1710" w:type="dxa"/>
            <w:vAlign w:val="center"/>
          </w:tcPr>
          <w:p w14:paraId="728E3C64" w14:textId="33ECD289" w:rsidR="00C526AE" w:rsidRDefault="00C526AE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201" w:type="dxa"/>
            <w:vAlign w:val="center"/>
          </w:tcPr>
          <w:p w14:paraId="55AFC96E" w14:textId="00E41BB7" w:rsidR="00C526AE" w:rsidRDefault="00670560" w:rsidP="00A150F6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a</w:t>
            </w:r>
            <w:r w:rsidR="00C526AE">
              <w:rPr>
                <w:rFonts w:hint="eastAsia"/>
                <w:b w:val="0"/>
                <w:sz w:val="16"/>
                <w:lang w:eastAsia="ko-KR"/>
              </w:rPr>
              <w:t>llean.park@lge.com</w:t>
            </w:r>
          </w:p>
        </w:tc>
      </w:tr>
      <w:tr w:rsidR="004A43C6" w14:paraId="2C0E73CC" w14:textId="77777777" w:rsidTr="00A150F6">
        <w:trPr>
          <w:jc w:val="center"/>
        </w:trPr>
        <w:tc>
          <w:tcPr>
            <w:tcW w:w="2178" w:type="dxa"/>
          </w:tcPr>
          <w:p w14:paraId="54AD3E36" w14:textId="56E397B0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</w:tcPr>
          <w:p w14:paraId="15389295" w14:textId="743F2C8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</w:tcPr>
          <w:p w14:paraId="365C265C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08387529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78F36249" w14:textId="369C1EF8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jinmin1230.kim@lge.com</w:t>
            </w:r>
          </w:p>
        </w:tc>
      </w:tr>
      <w:tr w:rsidR="004A43C6" w14:paraId="5FF0E1D8" w14:textId="77777777" w:rsidTr="00A150F6">
        <w:trPr>
          <w:jc w:val="center"/>
        </w:trPr>
        <w:tc>
          <w:tcPr>
            <w:tcW w:w="2178" w:type="dxa"/>
          </w:tcPr>
          <w:p w14:paraId="417D1487" w14:textId="1E5CE78A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Saehee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Bang</w:t>
            </w:r>
          </w:p>
        </w:tc>
        <w:tc>
          <w:tcPr>
            <w:tcW w:w="1147" w:type="dxa"/>
          </w:tcPr>
          <w:p w14:paraId="76895A74" w14:textId="6D2B4BA2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0E600510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14AEE01A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13D7FC25" w14:textId="3101700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saehee.bang@lge.com</w:t>
            </w:r>
          </w:p>
        </w:tc>
      </w:tr>
      <w:tr w:rsidR="004A43C6" w14:paraId="670C234E" w14:textId="77777777" w:rsidTr="00A150F6">
        <w:trPr>
          <w:jc w:val="center"/>
        </w:trPr>
        <w:tc>
          <w:tcPr>
            <w:tcW w:w="2178" w:type="dxa"/>
          </w:tcPr>
          <w:p w14:paraId="6DBC151B" w14:textId="57B34F43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SunWoong Yun</w:t>
            </w:r>
          </w:p>
        </w:tc>
        <w:tc>
          <w:tcPr>
            <w:tcW w:w="1147" w:type="dxa"/>
          </w:tcPr>
          <w:p w14:paraId="6382A751" w14:textId="14F494B6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2659A7AB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58820B69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0FFC8F24" w14:textId="05F9B5A8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sunwoong.yun</w:t>
            </w:r>
            <w:r w:rsidRPr="004A43C6">
              <w:rPr>
                <w:b w:val="0"/>
                <w:sz w:val="16"/>
              </w:rPr>
              <w:t>@lge.com</w:t>
            </w:r>
          </w:p>
        </w:tc>
      </w:tr>
      <w:tr w:rsidR="004A43C6" w14:paraId="28044095" w14:textId="77777777" w:rsidTr="00A150F6">
        <w:trPr>
          <w:jc w:val="center"/>
        </w:trPr>
        <w:tc>
          <w:tcPr>
            <w:tcW w:w="2178" w:type="dxa"/>
          </w:tcPr>
          <w:p w14:paraId="54A27BB7" w14:textId="462E5684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</w:tcPr>
          <w:p w14:paraId="78710906" w14:textId="7AB9DD3E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23741A73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38277D94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5E095B66" w14:textId="476984D1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js.choi@lge.com</w:t>
            </w:r>
          </w:p>
        </w:tc>
      </w:tr>
      <w:tr w:rsidR="004A43C6" w14:paraId="7CA01204" w14:textId="77777777" w:rsidTr="00A150F6">
        <w:trPr>
          <w:jc w:val="center"/>
        </w:trPr>
        <w:tc>
          <w:tcPr>
            <w:tcW w:w="2178" w:type="dxa"/>
          </w:tcPr>
          <w:p w14:paraId="25F0A091" w14:textId="23E02A1A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</w:tcPr>
          <w:p w14:paraId="1B4C962C" w14:textId="69BBEAA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6926063F" w14:textId="77777777" w:rsidR="004A43C6" w:rsidRPr="004A43C6" w:rsidRDefault="004A43C6" w:rsidP="00A150F6">
            <w:pPr>
              <w:rPr>
                <w:sz w:val="20"/>
                <w:lang w:eastAsia="ko-KR"/>
              </w:rPr>
            </w:pPr>
            <w:r w:rsidRPr="004A43C6">
              <w:rPr>
                <w:sz w:val="20"/>
              </w:rPr>
              <w:t>San</w:t>
            </w:r>
            <w:r w:rsidRPr="004A43C6">
              <w:rPr>
                <w:rFonts w:hint="eastAsia"/>
                <w:sz w:val="20"/>
                <w:lang w:eastAsia="ko-KR"/>
              </w:rPr>
              <w:t xml:space="preserve"> </w:t>
            </w:r>
            <w:r w:rsidRPr="004A43C6">
              <w:rPr>
                <w:sz w:val="20"/>
              </w:rPr>
              <w:t>Diego</w:t>
            </w:r>
          </w:p>
          <w:p w14:paraId="6429D200" w14:textId="72CA8935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b w:val="0"/>
                <w:sz w:val="20"/>
              </w:rPr>
              <w:t>/California/US</w:t>
            </w:r>
          </w:p>
        </w:tc>
        <w:tc>
          <w:tcPr>
            <w:tcW w:w="1710" w:type="dxa"/>
          </w:tcPr>
          <w:p w14:paraId="336A36CC" w14:textId="77777777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0CC50010" w14:textId="5EFEACCA" w:rsidR="004A43C6" w:rsidRPr="004A43C6" w:rsidRDefault="004A43C6" w:rsidP="00A150F6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b w:val="0"/>
                <w:sz w:val="16"/>
              </w:rPr>
              <w:t>sanggook.kim@lge.com</w:t>
            </w:r>
          </w:p>
        </w:tc>
      </w:tr>
    </w:tbl>
    <w:p w14:paraId="37150378" w14:textId="77777777" w:rsidR="00C526AE" w:rsidRDefault="00C526AE" w:rsidP="00C526A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5CDF4" wp14:editId="63BAFC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DB74" w14:textId="77777777" w:rsidR="00DA09A8" w:rsidRDefault="00DA09A8" w:rsidP="00C526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0EF" w14:textId="50A96135" w:rsidR="00DA09A8" w:rsidRDefault="00DA09A8" w:rsidP="00C526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his document proposes </w:t>
                            </w:r>
                            <w:r>
                              <w:rPr>
                                <w:lang w:eastAsia="ko-KR"/>
                              </w:rPr>
                              <w:t>resolutions for EDMG channel access CIDs.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CD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423DB74" w14:textId="77777777" w:rsidR="00DA09A8" w:rsidRDefault="00DA09A8" w:rsidP="00C526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0EF" w14:textId="50A96135" w:rsidR="00DA09A8" w:rsidRDefault="00DA09A8" w:rsidP="00C526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his document proposes </w:t>
                      </w:r>
                      <w:r>
                        <w:rPr>
                          <w:lang w:eastAsia="ko-KR"/>
                        </w:rPr>
                        <w:t>resolutions for EDMG channel access CIDs.</w:t>
                      </w:r>
                    </w:p>
                  </w:txbxContent>
                </v:textbox>
              </v:shape>
            </w:pict>
          </mc:Fallback>
        </mc:AlternateContent>
      </w:r>
    </w:p>
    <w:p w14:paraId="3C32F0EE" w14:textId="77777777" w:rsidR="00C526AE" w:rsidRDefault="00C526AE" w:rsidP="00C526AE"/>
    <w:p w14:paraId="0951A83D" w14:textId="77777777" w:rsidR="00C526AE" w:rsidRPr="00C07B4E" w:rsidRDefault="00C526AE" w:rsidP="00C526AE"/>
    <w:p w14:paraId="1CAFF478" w14:textId="77777777" w:rsidR="00C526AE" w:rsidRPr="00C07B4E" w:rsidRDefault="00C526AE" w:rsidP="00C526AE"/>
    <w:p w14:paraId="25425DF0" w14:textId="77777777" w:rsidR="00C526AE" w:rsidRPr="00C07B4E" w:rsidRDefault="00C526AE" w:rsidP="00C526AE"/>
    <w:p w14:paraId="7E1A7875" w14:textId="77777777" w:rsidR="00C526AE" w:rsidRPr="00C07B4E" w:rsidRDefault="00C526AE" w:rsidP="00C526AE"/>
    <w:p w14:paraId="588C0A27" w14:textId="77777777" w:rsidR="00C526AE" w:rsidRPr="00C07B4E" w:rsidRDefault="00C526AE" w:rsidP="00C526AE"/>
    <w:p w14:paraId="0F6E585B" w14:textId="77777777" w:rsidR="00C526AE" w:rsidRPr="00C07B4E" w:rsidRDefault="00C526AE" w:rsidP="00C526AE"/>
    <w:p w14:paraId="17405AE6" w14:textId="77777777" w:rsidR="00C526AE" w:rsidRPr="00C07B4E" w:rsidRDefault="00C526AE" w:rsidP="00C526AE"/>
    <w:p w14:paraId="1AEBFA1B" w14:textId="77777777" w:rsidR="00C526AE" w:rsidRPr="00C07B4E" w:rsidRDefault="00C526AE" w:rsidP="00C526AE"/>
    <w:p w14:paraId="69E69B66" w14:textId="77777777" w:rsidR="00C526AE" w:rsidRPr="00C07B4E" w:rsidRDefault="00C526AE" w:rsidP="00C526AE"/>
    <w:p w14:paraId="4EE47DBB" w14:textId="77777777" w:rsidR="00C526AE" w:rsidRDefault="00C526AE" w:rsidP="00C526AE">
      <w:pPr>
        <w:rPr>
          <w:lang w:eastAsia="ko-KR"/>
        </w:rPr>
      </w:pPr>
    </w:p>
    <w:p w14:paraId="2EB85B6E" w14:textId="77777777" w:rsidR="00C526AE" w:rsidRDefault="00C526AE" w:rsidP="00C526AE">
      <w:pPr>
        <w:rPr>
          <w:lang w:eastAsia="ko-KR"/>
        </w:rPr>
      </w:pPr>
    </w:p>
    <w:p w14:paraId="71986566" w14:textId="77777777" w:rsidR="00C526AE" w:rsidRDefault="00C526AE" w:rsidP="00C526AE">
      <w:pPr>
        <w:rPr>
          <w:lang w:eastAsia="ko-KR"/>
        </w:rPr>
      </w:pPr>
    </w:p>
    <w:p w14:paraId="7E76DD1B" w14:textId="77777777" w:rsidR="00C526AE" w:rsidRDefault="00C526AE" w:rsidP="00C526AE">
      <w:pPr>
        <w:rPr>
          <w:lang w:eastAsia="ko-KR"/>
        </w:rPr>
      </w:pPr>
    </w:p>
    <w:p w14:paraId="310D59F5" w14:textId="77777777" w:rsidR="00C526AE" w:rsidRDefault="00C526AE" w:rsidP="00C526AE">
      <w:pPr>
        <w:rPr>
          <w:lang w:eastAsia="ko-KR"/>
        </w:rPr>
      </w:pPr>
    </w:p>
    <w:p w14:paraId="6840DD4D" w14:textId="77777777" w:rsidR="00C526AE" w:rsidRDefault="00C526AE" w:rsidP="00C526AE">
      <w:pPr>
        <w:rPr>
          <w:lang w:eastAsia="ko-KR"/>
        </w:rPr>
      </w:pPr>
    </w:p>
    <w:p w14:paraId="1B76AFE3" w14:textId="77777777" w:rsidR="00C526AE" w:rsidRDefault="00C526AE" w:rsidP="00C526AE">
      <w:pPr>
        <w:pStyle w:val="IEEEStdsParagraph"/>
        <w:rPr>
          <w:lang w:eastAsia="ko-KR"/>
        </w:rPr>
      </w:pPr>
    </w:p>
    <w:p w14:paraId="334653EF" w14:textId="77777777" w:rsidR="00C526AE" w:rsidRDefault="00C526AE" w:rsidP="00C526AE">
      <w:pPr>
        <w:pStyle w:val="IEEEStdsParagraph"/>
        <w:rPr>
          <w:lang w:eastAsia="ko-KR"/>
        </w:rPr>
      </w:pPr>
    </w:p>
    <w:p w14:paraId="2C0EC1B4" w14:textId="77777777" w:rsidR="00C526AE" w:rsidRDefault="00C526AE" w:rsidP="00C526AE">
      <w:pPr>
        <w:pStyle w:val="IEEEStdsParagraph"/>
        <w:rPr>
          <w:lang w:eastAsia="ko-KR"/>
        </w:rPr>
      </w:pPr>
    </w:p>
    <w:p w14:paraId="4D29F3FA" w14:textId="77777777" w:rsidR="00C526AE" w:rsidRDefault="00C526AE" w:rsidP="00C526AE">
      <w:pPr>
        <w:pStyle w:val="IEEEStdsParagraph"/>
        <w:rPr>
          <w:lang w:eastAsia="ko-KR"/>
        </w:rPr>
      </w:pPr>
    </w:p>
    <w:p w14:paraId="5D8192A3" w14:textId="77777777" w:rsidR="00C526AE" w:rsidRDefault="00C526AE" w:rsidP="00C526AE">
      <w:pPr>
        <w:pStyle w:val="IEEEStdsParagraph"/>
        <w:rPr>
          <w:lang w:eastAsia="ko-KR"/>
        </w:rPr>
      </w:pPr>
    </w:p>
    <w:p w14:paraId="4EE368BB" w14:textId="77777777" w:rsidR="00C526AE" w:rsidRDefault="00C526AE" w:rsidP="00C526AE">
      <w:pPr>
        <w:pStyle w:val="IEEEStdsParagraph"/>
        <w:rPr>
          <w:lang w:eastAsia="ko-KR"/>
        </w:rPr>
      </w:pPr>
    </w:p>
    <w:p w14:paraId="5392D6B5" w14:textId="77777777" w:rsidR="006B0D28" w:rsidRDefault="006B0D28" w:rsidP="00C526AE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954"/>
        <w:gridCol w:w="1066"/>
        <w:gridCol w:w="2364"/>
        <w:gridCol w:w="3962"/>
      </w:tblGrid>
      <w:tr w:rsidR="006B0D28" w:rsidRPr="007E0FC3" w14:paraId="02D7BD6B" w14:textId="77777777" w:rsidTr="00DA09A8">
        <w:trPr>
          <w:trHeight w:val="416"/>
        </w:trPr>
        <w:tc>
          <w:tcPr>
            <w:tcW w:w="670" w:type="dxa"/>
            <w:hideMark/>
          </w:tcPr>
          <w:p w14:paraId="1F836689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954" w:type="dxa"/>
            <w:hideMark/>
          </w:tcPr>
          <w:p w14:paraId="0F014BF2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066" w:type="dxa"/>
            <w:hideMark/>
          </w:tcPr>
          <w:p w14:paraId="3FCB42E7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64" w:type="dxa"/>
            <w:hideMark/>
          </w:tcPr>
          <w:p w14:paraId="73D27666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962" w:type="dxa"/>
            <w:hideMark/>
          </w:tcPr>
          <w:p w14:paraId="6C152921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6B0D28" w:rsidRPr="007E0FC3" w14:paraId="033C1835" w14:textId="77777777" w:rsidTr="00DA09A8">
        <w:trPr>
          <w:trHeight w:val="1370"/>
        </w:trPr>
        <w:tc>
          <w:tcPr>
            <w:tcW w:w="670" w:type="dxa"/>
            <w:hideMark/>
          </w:tcPr>
          <w:p w14:paraId="298A710A" w14:textId="4F9FC8AF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>
              <w:rPr>
                <w:lang w:eastAsia="ko-KR"/>
              </w:rPr>
              <w:t>1224</w:t>
            </w:r>
          </w:p>
        </w:tc>
        <w:tc>
          <w:tcPr>
            <w:tcW w:w="954" w:type="dxa"/>
            <w:hideMark/>
          </w:tcPr>
          <w:p w14:paraId="3F1F44D5" w14:textId="7A61AA7A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132.24</w:t>
            </w:r>
          </w:p>
        </w:tc>
        <w:tc>
          <w:tcPr>
            <w:tcW w:w="1066" w:type="dxa"/>
            <w:hideMark/>
          </w:tcPr>
          <w:p w14:paraId="2DA072B3" w14:textId="2EAEA6BA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10.36.1</w:t>
            </w:r>
          </w:p>
        </w:tc>
        <w:tc>
          <w:tcPr>
            <w:tcW w:w="2364" w:type="dxa"/>
            <w:hideMark/>
          </w:tcPr>
          <w:p w14:paraId="7F5D1643" w14:textId="26616057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 w:rsidRPr="0061683B">
              <w:t>"SP can span the primary and the secondary channel" -- this statement is intended to be definitive,  so the verb is wrong</w:t>
            </w:r>
          </w:p>
        </w:tc>
        <w:tc>
          <w:tcPr>
            <w:tcW w:w="3962" w:type="dxa"/>
            <w:hideMark/>
          </w:tcPr>
          <w:p w14:paraId="312C155B" w14:textId="719CFD4F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 w:rsidRPr="0061683B">
              <w:t>can -&gt; may</w:t>
            </w:r>
          </w:p>
        </w:tc>
      </w:tr>
    </w:tbl>
    <w:p w14:paraId="0950C62A" w14:textId="77777777" w:rsidR="001B040F" w:rsidRDefault="001B040F" w:rsidP="006B0D28">
      <w:pPr>
        <w:pStyle w:val="IEEEStdsParagraph"/>
        <w:rPr>
          <w:b/>
          <w:lang w:eastAsia="ko-KR"/>
        </w:rPr>
      </w:pPr>
    </w:p>
    <w:p w14:paraId="35614C09" w14:textId="7C74943C" w:rsidR="006B0D28" w:rsidRDefault="001B040F" w:rsidP="006B0D28">
      <w:pPr>
        <w:pStyle w:val="IEEEStdsParagraph"/>
        <w:rPr>
          <w:lang w:eastAsia="ko-KR"/>
        </w:rPr>
      </w:pPr>
      <w:r>
        <w:rPr>
          <w:rFonts w:hint="eastAsia"/>
          <w:b/>
          <w:lang w:eastAsia="ko-KR"/>
        </w:rPr>
        <w:t>Proposed resolutio</w:t>
      </w:r>
      <w:r w:rsidRPr="001B040F">
        <w:rPr>
          <w:rFonts w:hint="eastAsia"/>
          <w:b/>
          <w:lang w:eastAsia="ko-KR"/>
        </w:rPr>
        <w:t>n:</w:t>
      </w:r>
      <w:r>
        <w:rPr>
          <w:rFonts w:hint="eastAsia"/>
          <w:lang w:eastAsia="ko-KR"/>
        </w:rPr>
        <w:t xml:space="preserve"> </w:t>
      </w:r>
      <w:r w:rsidR="00FD5A2B">
        <w:rPr>
          <w:lang w:eastAsia="ko-KR"/>
        </w:rPr>
        <w:t>a</w:t>
      </w:r>
      <w:r w:rsidR="00683D72">
        <w:rPr>
          <w:lang w:eastAsia="ko-KR"/>
        </w:rPr>
        <w:t>ccept</w:t>
      </w:r>
    </w:p>
    <w:p w14:paraId="53BB3DCD" w14:textId="77777777" w:rsidR="006B0D28" w:rsidRDefault="006B0D28" w:rsidP="00C526AE">
      <w:pPr>
        <w:pStyle w:val="IEEEStdsParagraph"/>
        <w:rPr>
          <w:lang w:eastAsia="ko-KR"/>
        </w:rPr>
      </w:pPr>
    </w:p>
    <w:p w14:paraId="513EBE29" w14:textId="77777777" w:rsidR="006B0D28" w:rsidRDefault="006B0D28" w:rsidP="00C526AE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6B0D28" w:rsidRPr="007E0FC3" w14:paraId="27F8A4AE" w14:textId="77777777" w:rsidTr="006B0D28">
        <w:trPr>
          <w:trHeight w:val="416"/>
        </w:trPr>
        <w:tc>
          <w:tcPr>
            <w:tcW w:w="668" w:type="dxa"/>
            <w:hideMark/>
          </w:tcPr>
          <w:p w14:paraId="6C712612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CID</w:t>
            </w:r>
          </w:p>
        </w:tc>
        <w:tc>
          <w:tcPr>
            <w:tcW w:w="948" w:type="dxa"/>
            <w:hideMark/>
          </w:tcPr>
          <w:p w14:paraId="4BCE68EA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489BB3E5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18513EB2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7FDEF8B8" w14:textId="77777777" w:rsidR="006B0D28" w:rsidRPr="007E0FC3" w:rsidRDefault="006B0D28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6B0D28" w:rsidRPr="007E0FC3" w14:paraId="3E3A351A" w14:textId="77777777" w:rsidTr="006B0D28">
        <w:trPr>
          <w:trHeight w:val="1370"/>
        </w:trPr>
        <w:tc>
          <w:tcPr>
            <w:tcW w:w="668" w:type="dxa"/>
            <w:hideMark/>
          </w:tcPr>
          <w:p w14:paraId="08D2682D" w14:textId="7AAE7FFC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 w:rsidRPr="004A7A63">
              <w:t>1226</w:t>
            </w:r>
          </w:p>
        </w:tc>
        <w:tc>
          <w:tcPr>
            <w:tcW w:w="948" w:type="dxa"/>
            <w:hideMark/>
          </w:tcPr>
          <w:p w14:paraId="0AF34C56" w14:textId="6F312FF9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 w:rsidRPr="004A7A63">
              <w:t>138.29</w:t>
            </w:r>
          </w:p>
        </w:tc>
        <w:tc>
          <w:tcPr>
            <w:tcW w:w="1216" w:type="dxa"/>
            <w:hideMark/>
          </w:tcPr>
          <w:p w14:paraId="32C42562" w14:textId="1F3CE325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 w:rsidRPr="004A7A63">
              <w:t>10.36.11.2.2</w:t>
            </w:r>
          </w:p>
        </w:tc>
        <w:tc>
          <w:tcPr>
            <w:tcW w:w="2320" w:type="dxa"/>
            <w:hideMark/>
          </w:tcPr>
          <w:p w14:paraId="29DAE58A" w14:textId="683BA81D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 w:rsidRPr="009E5DBE">
              <w:t>"An EDMG STA shall maintain physical and virtual CS on a primary channel." -- This normative statement is insufficient because it does not define or reference what is meant.</w:t>
            </w:r>
          </w:p>
        </w:tc>
        <w:tc>
          <w:tcPr>
            <w:tcW w:w="3864" w:type="dxa"/>
            <w:hideMark/>
          </w:tcPr>
          <w:p w14:paraId="4DA496CE" w14:textId="3C2BB26E" w:rsidR="006B0D28" w:rsidRPr="007E0FC3" w:rsidRDefault="006B0D28" w:rsidP="006B0D28">
            <w:pPr>
              <w:pStyle w:val="IEEEStdsParagraph"/>
              <w:rPr>
                <w:lang w:eastAsia="ko-KR"/>
              </w:rPr>
            </w:pPr>
            <w:r w:rsidRPr="009E5DBE">
              <w:t xml:space="preserve">Add references to </w:t>
            </w:r>
            <w:proofErr w:type="spellStart"/>
            <w:r w:rsidRPr="009E5DBE">
              <w:t>subclauses</w:t>
            </w:r>
            <w:proofErr w:type="spellEnd"/>
            <w:r w:rsidRPr="009E5DBE">
              <w:t xml:space="preserve"> that define physical and virtual CS.  Or, if this adds nothing that isn't stated below, turn it into an </w:t>
            </w:r>
            <w:proofErr w:type="spellStart"/>
            <w:r w:rsidRPr="009E5DBE">
              <w:t>intoductory</w:t>
            </w:r>
            <w:proofErr w:type="spellEnd"/>
            <w:r w:rsidRPr="009E5DBE">
              <w:t xml:space="preserve"> </w:t>
            </w:r>
            <w:proofErr w:type="spellStart"/>
            <w:r w:rsidRPr="009E5DBE">
              <w:t>declaritive</w:t>
            </w:r>
            <w:proofErr w:type="spellEnd"/>
            <w:r w:rsidRPr="009E5DBE">
              <w:t xml:space="preserve"> statement.</w:t>
            </w:r>
          </w:p>
        </w:tc>
      </w:tr>
    </w:tbl>
    <w:p w14:paraId="0D970B8D" w14:textId="77777777" w:rsidR="00377869" w:rsidRDefault="00377869" w:rsidP="00FB6D12">
      <w:pPr>
        <w:pStyle w:val="IEEEStdsParagraph"/>
        <w:rPr>
          <w:b/>
          <w:lang w:eastAsia="ko-KR"/>
        </w:rPr>
      </w:pPr>
    </w:p>
    <w:p w14:paraId="404CBC27" w14:textId="79C2047C" w:rsidR="00FB6D12" w:rsidRDefault="00FB6D12" w:rsidP="00FB6D12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 w:rsidR="001B040F">
        <w:rPr>
          <w:lang w:eastAsia="ko-KR"/>
        </w:rPr>
        <w:t>revised</w:t>
      </w:r>
    </w:p>
    <w:p w14:paraId="20401E81" w14:textId="77777777" w:rsidR="00377869" w:rsidRDefault="00377869" w:rsidP="00FB6D12">
      <w:pPr>
        <w:pStyle w:val="IEEEStdsParagraph"/>
        <w:rPr>
          <w:b/>
          <w:lang w:eastAsia="ko-KR"/>
        </w:rPr>
      </w:pPr>
    </w:p>
    <w:p w14:paraId="60C2006C" w14:textId="5723B8C7" w:rsidR="00377869" w:rsidRDefault="00377869" w:rsidP="00FB6D12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4BC97B1C" w14:textId="6A9DD227" w:rsidR="00377869" w:rsidRDefault="00377869" w:rsidP="00FB6D12">
      <w:pPr>
        <w:pStyle w:val="IEEEStdsParagraph"/>
        <w:rPr>
          <w:lang w:eastAsia="ko-KR"/>
        </w:rPr>
      </w:pPr>
      <w:r>
        <w:rPr>
          <w:rFonts w:hint="eastAsia"/>
          <w:lang w:eastAsia="ko-KR"/>
        </w:rPr>
        <w:t xml:space="preserve">Physical and virtual CS </w:t>
      </w:r>
      <w:r>
        <w:rPr>
          <w:lang w:eastAsia="ko-KR"/>
        </w:rPr>
        <w:t>is defined in 10.3.2.1 (CS mechanism) in REVmd_D1.0.</w:t>
      </w:r>
    </w:p>
    <w:p w14:paraId="439402E7" w14:textId="77777777" w:rsidR="00377869" w:rsidRPr="00377869" w:rsidRDefault="00377869" w:rsidP="00FB6D12">
      <w:pPr>
        <w:pStyle w:val="IEEEStdsParagraph"/>
        <w:rPr>
          <w:lang w:eastAsia="ko-KR"/>
        </w:rPr>
      </w:pPr>
    </w:p>
    <w:p w14:paraId="5ADAF012" w14:textId="77777777" w:rsidR="00FB6D12" w:rsidRPr="00285BB8" w:rsidRDefault="00FB6D12" w:rsidP="00FB6D12">
      <w:pPr>
        <w:pStyle w:val="IEEEStdsParagraph"/>
        <w:rPr>
          <w:lang w:eastAsia="ko-KR"/>
        </w:rPr>
      </w:pPr>
      <w:r>
        <w:rPr>
          <w:b/>
          <w:lang w:eastAsia="ko-KR"/>
        </w:rPr>
        <w:t>Modification</w:t>
      </w:r>
    </w:p>
    <w:p w14:paraId="1C38BC75" w14:textId="65E1C301" w:rsidR="00FB6D12" w:rsidRPr="001B040F" w:rsidRDefault="001B040F" w:rsidP="00FB6D12">
      <w:pPr>
        <w:pStyle w:val="IEEEStdsParagraph"/>
        <w:rPr>
          <w:u w:val="single"/>
          <w:lang w:eastAsia="ko-KR"/>
        </w:rPr>
      </w:pPr>
      <w:proofErr w:type="spellStart"/>
      <w:r w:rsidRPr="001B040F">
        <w:rPr>
          <w:i/>
          <w:u w:val="single"/>
          <w:lang w:eastAsia="ko-KR"/>
        </w:rPr>
        <w:t>TGay</w:t>
      </w:r>
      <w:proofErr w:type="spellEnd"/>
      <w:r w:rsidRPr="001B040F">
        <w:rPr>
          <w:i/>
          <w:u w:val="single"/>
          <w:lang w:eastAsia="ko-KR"/>
        </w:rPr>
        <w:t xml:space="preserve"> Editor: </w:t>
      </w:r>
      <w:r w:rsidR="00377869" w:rsidRPr="001B040F">
        <w:rPr>
          <w:i/>
          <w:u w:val="single"/>
          <w:lang w:eastAsia="ko-KR"/>
        </w:rPr>
        <w:t>Modify the paragraph (lines 29) of page 138</w:t>
      </w:r>
      <w:r w:rsidR="00FB6D12" w:rsidRPr="001B040F">
        <w:rPr>
          <w:i/>
          <w:u w:val="single"/>
          <w:lang w:eastAsia="ko-KR"/>
        </w:rPr>
        <w:t xml:space="preserve"> as follows</w:t>
      </w:r>
    </w:p>
    <w:p w14:paraId="6F11F8D1" w14:textId="684C2237" w:rsidR="006B0D28" w:rsidRDefault="00377869" w:rsidP="00C526AE">
      <w:pPr>
        <w:pStyle w:val="IEEEStdsParagraph"/>
        <w:rPr>
          <w:lang w:eastAsia="ko-KR"/>
        </w:rPr>
      </w:pPr>
      <w:r w:rsidRPr="00377869">
        <w:rPr>
          <w:color w:val="000000"/>
          <w:lang w:eastAsia="en-US"/>
        </w:rPr>
        <w:t xml:space="preserve">An EDMG STA shall maintain physical and </w:t>
      </w:r>
      <w:r>
        <w:rPr>
          <w:color w:val="000000"/>
          <w:lang w:eastAsia="en-US"/>
        </w:rPr>
        <w:t xml:space="preserve">virtual CS on a primary channel </w:t>
      </w:r>
      <w:r w:rsidRPr="00377869">
        <w:rPr>
          <w:color w:val="FF0000"/>
          <w:lang w:eastAsia="en-US"/>
        </w:rPr>
        <w:t>as specified</w:t>
      </w:r>
      <w:r w:rsidR="00405595" w:rsidRPr="00377869">
        <w:rPr>
          <w:color w:val="FF0000"/>
          <w:lang w:eastAsia="en-US"/>
        </w:rPr>
        <w:t xml:space="preserve"> in </w:t>
      </w:r>
      <w:r w:rsidRPr="00377869">
        <w:rPr>
          <w:color w:val="FF0000"/>
          <w:lang w:eastAsia="en-US"/>
        </w:rPr>
        <w:t>10.3.2.1 (CS mechanism)</w:t>
      </w:r>
      <w:r>
        <w:rPr>
          <w:color w:val="000000"/>
          <w:lang w:eastAsia="en-US"/>
        </w:rPr>
        <w:t>.</w:t>
      </w:r>
    </w:p>
    <w:p w14:paraId="5C038305" w14:textId="77777777" w:rsidR="00082C03" w:rsidRDefault="00082C03" w:rsidP="00082C03">
      <w:pPr>
        <w:pStyle w:val="IEEEStdsParagraph"/>
        <w:rPr>
          <w:lang w:eastAsia="ko-KR"/>
        </w:rPr>
      </w:pPr>
    </w:p>
    <w:p w14:paraId="2102F3D4" w14:textId="77777777" w:rsidR="001B040F" w:rsidRDefault="001B040F" w:rsidP="00082C03">
      <w:pPr>
        <w:pStyle w:val="IEEEStdsParagraph"/>
        <w:rPr>
          <w:lang w:eastAsia="ko-KR"/>
        </w:rPr>
      </w:pPr>
    </w:p>
    <w:p w14:paraId="05ED778B" w14:textId="77777777" w:rsidR="00DF4338" w:rsidRDefault="00DF4338" w:rsidP="00082C03">
      <w:pPr>
        <w:pStyle w:val="IEEEStdsParagraph"/>
        <w:rPr>
          <w:lang w:eastAsia="ko-KR"/>
        </w:rPr>
      </w:pPr>
    </w:p>
    <w:p w14:paraId="020FCF7D" w14:textId="77777777" w:rsidR="00DF4338" w:rsidRDefault="00DF4338" w:rsidP="00082C03">
      <w:pPr>
        <w:pStyle w:val="IEEEStdsParagraph"/>
        <w:rPr>
          <w:lang w:eastAsia="ko-KR"/>
        </w:rPr>
      </w:pPr>
    </w:p>
    <w:p w14:paraId="3397A688" w14:textId="77777777" w:rsidR="00DF4338" w:rsidRDefault="00DF4338" w:rsidP="00082C03">
      <w:pPr>
        <w:pStyle w:val="IEEEStdsParagraph"/>
        <w:rPr>
          <w:lang w:eastAsia="ko-KR"/>
        </w:rPr>
      </w:pPr>
    </w:p>
    <w:p w14:paraId="5BDC8B1F" w14:textId="77777777" w:rsidR="00DF4338" w:rsidRPr="00DF4338" w:rsidRDefault="00DF4338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E9009A" w:rsidRPr="007E0FC3" w14:paraId="2164787E" w14:textId="77777777" w:rsidTr="00DA09A8">
        <w:trPr>
          <w:trHeight w:val="416"/>
        </w:trPr>
        <w:tc>
          <w:tcPr>
            <w:tcW w:w="668" w:type="dxa"/>
            <w:hideMark/>
          </w:tcPr>
          <w:p w14:paraId="4EE558C0" w14:textId="77777777" w:rsidR="00E9009A" w:rsidRPr="007E0FC3" w:rsidRDefault="00E9009A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948" w:type="dxa"/>
            <w:hideMark/>
          </w:tcPr>
          <w:p w14:paraId="4F8A95DD" w14:textId="77777777" w:rsidR="00E9009A" w:rsidRPr="007E0FC3" w:rsidRDefault="00E9009A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12A43081" w14:textId="77777777" w:rsidR="00E9009A" w:rsidRPr="007E0FC3" w:rsidRDefault="00E9009A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3FE589F3" w14:textId="77777777" w:rsidR="00E9009A" w:rsidRPr="007E0FC3" w:rsidRDefault="00E9009A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63E9F4E2" w14:textId="77777777" w:rsidR="00E9009A" w:rsidRPr="007E0FC3" w:rsidRDefault="00E9009A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E9009A" w:rsidRPr="007E0FC3" w14:paraId="776ACDA0" w14:textId="77777777" w:rsidTr="00DA09A8">
        <w:trPr>
          <w:trHeight w:val="1370"/>
        </w:trPr>
        <w:tc>
          <w:tcPr>
            <w:tcW w:w="668" w:type="dxa"/>
            <w:hideMark/>
          </w:tcPr>
          <w:p w14:paraId="266F2CF4" w14:textId="0766047F" w:rsidR="00E9009A" w:rsidRPr="007E0FC3" w:rsidRDefault="00E9009A" w:rsidP="00E9009A">
            <w:pPr>
              <w:pStyle w:val="IEEEStdsParagraph"/>
              <w:rPr>
                <w:lang w:eastAsia="ko-KR"/>
              </w:rPr>
            </w:pPr>
            <w:r w:rsidRPr="00BA4D3C">
              <w:t>1227</w:t>
            </w:r>
          </w:p>
        </w:tc>
        <w:tc>
          <w:tcPr>
            <w:tcW w:w="948" w:type="dxa"/>
            <w:hideMark/>
          </w:tcPr>
          <w:p w14:paraId="121C4271" w14:textId="44EDE910" w:rsidR="00E9009A" w:rsidRPr="007E0FC3" w:rsidRDefault="00E9009A" w:rsidP="00E9009A">
            <w:pPr>
              <w:pStyle w:val="IEEEStdsParagraph"/>
              <w:rPr>
                <w:lang w:eastAsia="ko-KR"/>
              </w:rPr>
            </w:pPr>
            <w:r w:rsidRPr="00BA4D3C">
              <w:t>139.13</w:t>
            </w:r>
          </w:p>
        </w:tc>
        <w:tc>
          <w:tcPr>
            <w:tcW w:w="1216" w:type="dxa"/>
            <w:hideMark/>
          </w:tcPr>
          <w:p w14:paraId="612DAC8F" w14:textId="66B566A6" w:rsidR="00E9009A" w:rsidRPr="007E0FC3" w:rsidRDefault="00696F80" w:rsidP="00E9009A">
            <w:pPr>
              <w:pStyle w:val="IEEEStdsParagrap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10.36.11.3</w:t>
            </w:r>
          </w:p>
        </w:tc>
        <w:tc>
          <w:tcPr>
            <w:tcW w:w="2320" w:type="dxa"/>
            <w:hideMark/>
          </w:tcPr>
          <w:p w14:paraId="3041DD0A" w14:textId="2764168D" w:rsidR="00E9009A" w:rsidRPr="007E0FC3" w:rsidRDefault="00E9009A" w:rsidP="00E9009A">
            <w:pPr>
              <w:pStyle w:val="IEEEStdsParagraph"/>
              <w:rPr>
                <w:lang w:eastAsia="ko-KR"/>
              </w:rPr>
            </w:pPr>
            <w:r w:rsidRPr="002F490D">
              <w:t>"Channel access during a directional allocation shall follow the same rules that are applicable to a CBAP if the directional allocation is of type CBAP and shall follow the same rules that are applicable to an SP if the directional allocation is of type SP" -- this is lazy and inadequate specification.   "Is applicable" has the sense of "you go figure".</w:t>
            </w:r>
          </w:p>
        </w:tc>
        <w:tc>
          <w:tcPr>
            <w:tcW w:w="3864" w:type="dxa"/>
            <w:hideMark/>
          </w:tcPr>
          <w:p w14:paraId="69C9A278" w14:textId="3A4C5137" w:rsidR="00E9009A" w:rsidRPr="007E0FC3" w:rsidRDefault="00E9009A" w:rsidP="00E9009A">
            <w:pPr>
              <w:pStyle w:val="IEEEStdsParagraph"/>
              <w:rPr>
                <w:lang w:eastAsia="ko-KR"/>
              </w:rPr>
            </w:pPr>
            <w:r w:rsidRPr="002F490D">
              <w:t xml:space="preserve">Insert references to the "applicable" </w:t>
            </w:r>
            <w:proofErr w:type="spellStart"/>
            <w:r w:rsidRPr="002F490D">
              <w:t>subclauses</w:t>
            </w:r>
            <w:proofErr w:type="spellEnd"/>
            <w:r w:rsidRPr="002F490D">
              <w:t xml:space="preserve"> defining this </w:t>
            </w:r>
            <w:proofErr w:type="spellStart"/>
            <w:r w:rsidRPr="002F490D">
              <w:t>behaviour</w:t>
            </w:r>
            <w:proofErr w:type="spellEnd"/>
            <w:r w:rsidRPr="002F490D">
              <w:t>.</w:t>
            </w:r>
          </w:p>
        </w:tc>
      </w:tr>
    </w:tbl>
    <w:p w14:paraId="375E6416" w14:textId="77777777" w:rsidR="001E4819" w:rsidRDefault="001E4819" w:rsidP="001E4819">
      <w:pPr>
        <w:pStyle w:val="IEEEStdsParagraph"/>
        <w:rPr>
          <w:b/>
          <w:lang w:eastAsia="ko-KR"/>
        </w:rPr>
      </w:pPr>
    </w:p>
    <w:p w14:paraId="067C25A4" w14:textId="77777777" w:rsidR="001E4819" w:rsidRDefault="001E4819" w:rsidP="001E4819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revised</w:t>
      </w:r>
    </w:p>
    <w:p w14:paraId="48F6C71E" w14:textId="77777777" w:rsidR="001E4819" w:rsidRPr="00377869" w:rsidRDefault="001E4819" w:rsidP="001E4819">
      <w:pPr>
        <w:pStyle w:val="IEEEStdsParagraph"/>
        <w:rPr>
          <w:lang w:eastAsia="ko-KR"/>
        </w:rPr>
      </w:pPr>
    </w:p>
    <w:p w14:paraId="3E41AA08" w14:textId="77777777" w:rsidR="001E4819" w:rsidRPr="00285BB8" w:rsidRDefault="001E4819" w:rsidP="001E4819">
      <w:pPr>
        <w:pStyle w:val="IEEEStdsParagraph"/>
        <w:rPr>
          <w:lang w:eastAsia="ko-KR"/>
        </w:rPr>
      </w:pPr>
      <w:r>
        <w:rPr>
          <w:b/>
          <w:lang w:eastAsia="ko-KR"/>
        </w:rPr>
        <w:t>Modification</w:t>
      </w:r>
    </w:p>
    <w:p w14:paraId="247BF54B" w14:textId="483BF91D" w:rsidR="00E9009A" w:rsidRPr="0045491A" w:rsidRDefault="001E4819" w:rsidP="00082C03">
      <w:pPr>
        <w:pStyle w:val="IEEEStdsParagraph"/>
        <w:rPr>
          <w:u w:val="single"/>
          <w:lang w:eastAsia="ko-KR"/>
        </w:rPr>
      </w:pPr>
      <w:proofErr w:type="spellStart"/>
      <w:r w:rsidRPr="001B040F">
        <w:rPr>
          <w:i/>
          <w:u w:val="single"/>
          <w:lang w:eastAsia="ko-KR"/>
        </w:rPr>
        <w:t>TGay</w:t>
      </w:r>
      <w:proofErr w:type="spellEnd"/>
      <w:r w:rsidRPr="001B040F">
        <w:rPr>
          <w:i/>
          <w:u w:val="single"/>
          <w:lang w:eastAsia="ko-KR"/>
        </w:rPr>
        <w:t xml:space="preserve"> Editor: </w:t>
      </w:r>
      <w:r w:rsidR="0045491A">
        <w:rPr>
          <w:i/>
          <w:u w:val="single"/>
          <w:lang w:eastAsia="ko-KR"/>
        </w:rPr>
        <w:t>Modify the paragraph (lines 13-15) of page 139</w:t>
      </w:r>
      <w:r w:rsidRPr="001B040F">
        <w:rPr>
          <w:i/>
          <w:u w:val="single"/>
          <w:lang w:eastAsia="ko-KR"/>
        </w:rPr>
        <w:t xml:space="preserve"> as follows</w:t>
      </w:r>
    </w:p>
    <w:p w14:paraId="427E13E4" w14:textId="28161DBB" w:rsidR="00E9009A" w:rsidRPr="00694CC6" w:rsidRDefault="00694CC6" w:rsidP="00694CC6">
      <w:pPr>
        <w:pStyle w:val="IEEEStdsParagraph"/>
        <w:rPr>
          <w:lang w:eastAsia="ko-KR"/>
        </w:rPr>
      </w:pPr>
      <w:r>
        <w:rPr>
          <w:lang w:eastAsia="ko-KR"/>
        </w:rPr>
        <w:t>Channel access during a directional allocation shall follow the same rules that are applicable to a CBAP</w:t>
      </w:r>
      <w:r w:rsidR="001E4819">
        <w:rPr>
          <w:lang w:eastAsia="ko-KR"/>
        </w:rPr>
        <w:t xml:space="preserve"> </w:t>
      </w:r>
      <w:r w:rsidR="001E4819" w:rsidRPr="001E4819">
        <w:rPr>
          <w:color w:val="FF0000"/>
          <w:lang w:eastAsia="ko-KR"/>
        </w:rPr>
        <w:t>defined in 10.36.6.3 (Contention based access period (CBAP) allocation)</w:t>
      </w:r>
      <w:r>
        <w:rPr>
          <w:lang w:eastAsia="ko-KR"/>
        </w:rPr>
        <w:t xml:space="preserve"> if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directional allocation is of type CBAP and shall follow the same rules that are applicable to an SP</w:t>
      </w:r>
      <w:r w:rsidR="001E4819">
        <w:rPr>
          <w:lang w:eastAsia="ko-KR"/>
        </w:rPr>
        <w:t xml:space="preserve"> </w:t>
      </w:r>
      <w:r w:rsidR="001E4819" w:rsidRPr="001E4819">
        <w:rPr>
          <w:color w:val="FF0000"/>
          <w:lang w:eastAsia="ko-KR"/>
        </w:rPr>
        <w:t>defined in 10.36.6.2 (Service period (SP) allocation</w:t>
      </w:r>
      <w:r w:rsidR="001E4819" w:rsidRPr="00E14632">
        <w:rPr>
          <w:color w:val="FF0000"/>
          <w:lang w:eastAsia="ko-KR"/>
        </w:rPr>
        <w:t>)</w:t>
      </w:r>
      <w:r>
        <w:rPr>
          <w:lang w:eastAsia="ko-KR"/>
        </w:rPr>
        <w:t xml:space="preserve"> if the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directional allocation is of type SP</w:t>
      </w:r>
    </w:p>
    <w:p w14:paraId="79CDDCE7" w14:textId="77777777" w:rsidR="00E9009A" w:rsidRDefault="00E9009A" w:rsidP="00082C03">
      <w:pPr>
        <w:pStyle w:val="IEEEStdsParagraph"/>
        <w:rPr>
          <w:lang w:eastAsia="ko-KR"/>
        </w:rPr>
      </w:pPr>
      <w:bookmarkStart w:id="0" w:name="_GoBack"/>
      <w:bookmarkEnd w:id="0"/>
    </w:p>
    <w:p w14:paraId="69A08A45" w14:textId="77777777" w:rsidR="00E9009A" w:rsidRDefault="00E9009A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696F80" w:rsidRPr="007E0FC3" w14:paraId="2F7E4B84" w14:textId="77777777" w:rsidTr="00DA09A8">
        <w:trPr>
          <w:trHeight w:val="416"/>
        </w:trPr>
        <w:tc>
          <w:tcPr>
            <w:tcW w:w="668" w:type="dxa"/>
            <w:hideMark/>
          </w:tcPr>
          <w:p w14:paraId="6813B523" w14:textId="77777777" w:rsidR="00696F80" w:rsidRPr="007E0FC3" w:rsidRDefault="00696F80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CID</w:t>
            </w:r>
          </w:p>
        </w:tc>
        <w:tc>
          <w:tcPr>
            <w:tcW w:w="948" w:type="dxa"/>
            <w:hideMark/>
          </w:tcPr>
          <w:p w14:paraId="5718E9F6" w14:textId="77777777" w:rsidR="00696F80" w:rsidRPr="007E0FC3" w:rsidRDefault="00696F80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71D471EF" w14:textId="77777777" w:rsidR="00696F80" w:rsidRPr="007E0FC3" w:rsidRDefault="00696F80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7E23C96B" w14:textId="77777777" w:rsidR="00696F80" w:rsidRPr="007E0FC3" w:rsidRDefault="00696F80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3DF307C8" w14:textId="77777777" w:rsidR="00696F80" w:rsidRPr="007E0FC3" w:rsidRDefault="00696F80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696F80" w:rsidRPr="007E0FC3" w14:paraId="5EA83494" w14:textId="77777777" w:rsidTr="00DA09A8">
        <w:trPr>
          <w:trHeight w:val="1370"/>
        </w:trPr>
        <w:tc>
          <w:tcPr>
            <w:tcW w:w="668" w:type="dxa"/>
            <w:hideMark/>
          </w:tcPr>
          <w:p w14:paraId="1B23C1D9" w14:textId="405165E5" w:rsidR="00696F80" w:rsidRPr="007E0FC3" w:rsidRDefault="00696F80" w:rsidP="00696F80">
            <w:pPr>
              <w:pStyle w:val="IEEEStdsParagraph"/>
              <w:rPr>
                <w:lang w:eastAsia="ko-KR"/>
              </w:rPr>
            </w:pPr>
            <w:r w:rsidRPr="005A2814">
              <w:t>1370</w:t>
            </w:r>
          </w:p>
        </w:tc>
        <w:tc>
          <w:tcPr>
            <w:tcW w:w="948" w:type="dxa"/>
            <w:hideMark/>
          </w:tcPr>
          <w:p w14:paraId="45D072D4" w14:textId="6FC0DCEB" w:rsidR="00696F80" w:rsidRPr="007E0FC3" w:rsidRDefault="00696F80" w:rsidP="00696F80">
            <w:pPr>
              <w:pStyle w:val="IEEEStdsParagraph"/>
              <w:rPr>
                <w:lang w:eastAsia="ko-KR"/>
              </w:rPr>
            </w:pPr>
            <w:r w:rsidRPr="005A2814">
              <w:t>137.26</w:t>
            </w:r>
          </w:p>
        </w:tc>
        <w:tc>
          <w:tcPr>
            <w:tcW w:w="1216" w:type="dxa"/>
            <w:hideMark/>
          </w:tcPr>
          <w:p w14:paraId="68D2166A" w14:textId="54E81689" w:rsidR="00696F80" w:rsidRPr="007E0FC3" w:rsidRDefault="00696F80" w:rsidP="00696F80">
            <w:pPr>
              <w:pStyle w:val="IEEEStdsParagraph"/>
              <w:rPr>
                <w:lang w:eastAsia="ko-KR"/>
              </w:rPr>
            </w:pPr>
            <w:r w:rsidRPr="005A2814">
              <w:t>10.36.11.2.1</w:t>
            </w:r>
          </w:p>
        </w:tc>
        <w:tc>
          <w:tcPr>
            <w:tcW w:w="2320" w:type="dxa"/>
            <w:hideMark/>
          </w:tcPr>
          <w:p w14:paraId="5EB2D3D2" w14:textId="60A75FEF" w:rsidR="00696F80" w:rsidRPr="007E0FC3" w:rsidRDefault="00696F80" w:rsidP="00696F80">
            <w:pPr>
              <w:pStyle w:val="IEEEStdsParagraph"/>
              <w:rPr>
                <w:lang w:eastAsia="ko-KR"/>
              </w:rPr>
            </w:pPr>
            <w:r w:rsidRPr="0077684A">
              <w:t>"The occupied bandwidth of all BRP frames transmitted during beam refinement shall be the same."  - "beam refinement: is not well defined</w:t>
            </w:r>
          </w:p>
        </w:tc>
        <w:tc>
          <w:tcPr>
            <w:tcW w:w="3864" w:type="dxa"/>
            <w:hideMark/>
          </w:tcPr>
          <w:p w14:paraId="0D750E09" w14:textId="0FA74A5E" w:rsidR="00696F80" w:rsidRPr="007E0FC3" w:rsidRDefault="00696F80" w:rsidP="00696F80">
            <w:pPr>
              <w:pStyle w:val="IEEEStdsParagraph"/>
              <w:rPr>
                <w:lang w:eastAsia="ko-KR"/>
              </w:rPr>
            </w:pPr>
            <w:proofErr w:type="gramStart"/>
            <w:r w:rsidRPr="0077684A">
              <w:t>replace</w:t>
            </w:r>
            <w:proofErr w:type="gramEnd"/>
            <w:r w:rsidRPr="0077684A">
              <w:t xml:space="preserve"> "during beam </w:t>
            </w:r>
            <w:proofErr w:type="spellStart"/>
            <w:r w:rsidRPr="0077684A">
              <w:t>refinemnet</w:t>
            </w:r>
            <w:proofErr w:type="spellEnd"/>
            <w:r w:rsidRPr="0077684A">
              <w:t xml:space="preserve">" with "during a beam refinement </w:t>
            </w:r>
            <w:proofErr w:type="spellStart"/>
            <w:r w:rsidRPr="0077684A">
              <w:t>transacation</w:t>
            </w:r>
            <w:proofErr w:type="spellEnd"/>
            <w:r w:rsidRPr="0077684A">
              <w:t xml:space="preserve"> or a BRP TXSS procedure.</w:t>
            </w:r>
          </w:p>
        </w:tc>
      </w:tr>
    </w:tbl>
    <w:p w14:paraId="2928A981" w14:textId="77777777" w:rsidR="00696F80" w:rsidRPr="00696F80" w:rsidRDefault="00696F80" w:rsidP="00082C03">
      <w:pPr>
        <w:pStyle w:val="IEEEStdsParagraph"/>
        <w:rPr>
          <w:lang w:eastAsia="ko-KR"/>
        </w:rPr>
      </w:pPr>
    </w:p>
    <w:p w14:paraId="3C2BE936" w14:textId="31B2FDF7" w:rsidR="00696F80" w:rsidRDefault="00696F80" w:rsidP="00696F80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 w:rsidR="00A33A27">
        <w:rPr>
          <w:lang w:eastAsia="ko-KR"/>
        </w:rPr>
        <w:t>reject</w:t>
      </w:r>
    </w:p>
    <w:p w14:paraId="59A8AEE8" w14:textId="77777777" w:rsidR="00696F80" w:rsidRPr="00377869" w:rsidRDefault="00696F80" w:rsidP="00696F80">
      <w:pPr>
        <w:pStyle w:val="IEEEStdsParagraph"/>
        <w:rPr>
          <w:lang w:eastAsia="ko-KR"/>
        </w:rPr>
      </w:pPr>
    </w:p>
    <w:p w14:paraId="374AE667" w14:textId="58B4543D" w:rsidR="00696F80" w:rsidRPr="00285BB8" w:rsidRDefault="00A33A27" w:rsidP="00696F80">
      <w:pPr>
        <w:pStyle w:val="IEEEStdsParagraph"/>
        <w:rPr>
          <w:lang w:eastAsia="ko-KR"/>
        </w:rPr>
      </w:pPr>
      <w:r>
        <w:rPr>
          <w:b/>
          <w:lang w:eastAsia="ko-KR"/>
        </w:rPr>
        <w:t>Discussion</w:t>
      </w:r>
    </w:p>
    <w:p w14:paraId="26367668" w14:textId="1915219A" w:rsidR="00696F80" w:rsidRDefault="00A33A27" w:rsidP="004D6C2F">
      <w:pPr>
        <w:pStyle w:val="IEEEStdsParagrap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comment was </w:t>
      </w:r>
      <w:r w:rsidR="00DA09A8">
        <w:rPr>
          <w:lang w:eastAsia="ko-KR"/>
        </w:rPr>
        <w:t xml:space="preserve">already </w:t>
      </w:r>
      <w:r>
        <w:rPr>
          <w:lang w:eastAsia="ko-KR"/>
        </w:rPr>
        <w:t>resolved by removing this sentence in D1.3.</w:t>
      </w:r>
    </w:p>
    <w:p w14:paraId="67050FDD" w14:textId="77777777" w:rsidR="004D6C2F" w:rsidRPr="00A33A27" w:rsidRDefault="004D6C2F" w:rsidP="004D6C2F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4D6C2F" w:rsidRPr="007E0FC3" w14:paraId="5F62447E" w14:textId="77777777" w:rsidTr="00DA09A8">
        <w:trPr>
          <w:trHeight w:val="416"/>
        </w:trPr>
        <w:tc>
          <w:tcPr>
            <w:tcW w:w="668" w:type="dxa"/>
            <w:hideMark/>
          </w:tcPr>
          <w:p w14:paraId="22B98196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948" w:type="dxa"/>
            <w:hideMark/>
          </w:tcPr>
          <w:p w14:paraId="41AD135C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27CC8F48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6DA19558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6AEB4927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4D6C2F" w:rsidRPr="007E0FC3" w14:paraId="48236626" w14:textId="77777777" w:rsidTr="00DA09A8">
        <w:trPr>
          <w:trHeight w:val="1370"/>
        </w:trPr>
        <w:tc>
          <w:tcPr>
            <w:tcW w:w="668" w:type="dxa"/>
            <w:hideMark/>
          </w:tcPr>
          <w:p w14:paraId="57EA8232" w14:textId="50F2EC3E" w:rsidR="004D6C2F" w:rsidRPr="007E0FC3" w:rsidRDefault="004D6C2F" w:rsidP="004D6C2F">
            <w:pPr>
              <w:pStyle w:val="IEEEStdsParagraph"/>
              <w:rPr>
                <w:lang w:eastAsia="ko-KR"/>
              </w:rPr>
            </w:pPr>
            <w:r w:rsidRPr="005C4FA7">
              <w:t>1480</w:t>
            </w:r>
          </w:p>
        </w:tc>
        <w:tc>
          <w:tcPr>
            <w:tcW w:w="948" w:type="dxa"/>
            <w:hideMark/>
          </w:tcPr>
          <w:p w14:paraId="5A918BA2" w14:textId="36BCFE3A" w:rsidR="004D6C2F" w:rsidRPr="007E0FC3" w:rsidRDefault="004D6C2F" w:rsidP="004D6C2F">
            <w:pPr>
              <w:pStyle w:val="IEEEStdsParagraph"/>
              <w:rPr>
                <w:lang w:eastAsia="ko-KR"/>
              </w:rPr>
            </w:pPr>
            <w:r w:rsidRPr="005C4FA7">
              <w:t>144.14</w:t>
            </w:r>
          </w:p>
        </w:tc>
        <w:tc>
          <w:tcPr>
            <w:tcW w:w="1216" w:type="dxa"/>
            <w:hideMark/>
          </w:tcPr>
          <w:p w14:paraId="1CA6AD08" w14:textId="24661A7D" w:rsidR="004D6C2F" w:rsidRPr="007E0FC3" w:rsidRDefault="004D6C2F" w:rsidP="004D6C2F">
            <w:pPr>
              <w:pStyle w:val="IEEEStdsParagraph"/>
              <w:rPr>
                <w:lang w:eastAsia="ko-KR"/>
              </w:rPr>
            </w:pPr>
            <w:r w:rsidRPr="005C4FA7">
              <w:t>10.36.11.6</w:t>
            </w:r>
          </w:p>
        </w:tc>
        <w:tc>
          <w:tcPr>
            <w:tcW w:w="2320" w:type="dxa"/>
            <w:hideMark/>
          </w:tcPr>
          <w:p w14:paraId="4148C3F4" w14:textId="7D3B7FC3" w:rsidR="004D6C2F" w:rsidRPr="007E0FC3" w:rsidRDefault="004D6C2F" w:rsidP="004D6C2F">
            <w:pPr>
              <w:pStyle w:val="IEEEStdsParagraph"/>
              <w:rPr>
                <w:lang w:eastAsia="ko-KR"/>
              </w:rPr>
            </w:pPr>
            <w:r w:rsidRPr="005C4FA7">
              <w:t>It would be helpful to have a reference for asymmetric beamforming.</w:t>
            </w:r>
          </w:p>
        </w:tc>
        <w:tc>
          <w:tcPr>
            <w:tcW w:w="3864" w:type="dxa"/>
            <w:hideMark/>
          </w:tcPr>
          <w:p w14:paraId="1F923C63" w14:textId="3BEB0B0F" w:rsidR="004D6C2F" w:rsidRPr="007E0FC3" w:rsidRDefault="004D6C2F" w:rsidP="004D6C2F">
            <w:pPr>
              <w:pStyle w:val="IEEEStdsParagraph"/>
              <w:rPr>
                <w:lang w:eastAsia="ko-KR"/>
              </w:rPr>
            </w:pPr>
            <w:r w:rsidRPr="005C4FA7">
              <w:t>Reference the section that describes how asymmetric beamforming would be used.</w:t>
            </w:r>
          </w:p>
        </w:tc>
      </w:tr>
    </w:tbl>
    <w:p w14:paraId="483E8D24" w14:textId="77777777" w:rsidR="004D6C2F" w:rsidRPr="004D6C2F" w:rsidRDefault="004D6C2F" w:rsidP="004D6C2F">
      <w:pPr>
        <w:pStyle w:val="IEEEStdsParagraph"/>
        <w:rPr>
          <w:lang w:eastAsia="ko-KR"/>
        </w:rPr>
      </w:pPr>
    </w:p>
    <w:p w14:paraId="48C14554" w14:textId="0222497E" w:rsidR="004D6C2F" w:rsidRDefault="004D6C2F" w:rsidP="004D6C2F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 w:rsidR="001851A7">
        <w:rPr>
          <w:lang w:eastAsia="ko-KR"/>
        </w:rPr>
        <w:t>revised</w:t>
      </w:r>
    </w:p>
    <w:p w14:paraId="2B83DE74" w14:textId="77777777" w:rsidR="004D6C2F" w:rsidRPr="00377869" w:rsidRDefault="004D6C2F" w:rsidP="004D6C2F">
      <w:pPr>
        <w:pStyle w:val="IEEEStdsParagraph"/>
        <w:rPr>
          <w:lang w:eastAsia="ko-KR"/>
        </w:rPr>
      </w:pPr>
    </w:p>
    <w:p w14:paraId="7CF9D098" w14:textId="77777777" w:rsidR="004D6C2F" w:rsidRPr="00285BB8" w:rsidRDefault="004D6C2F" w:rsidP="004D6C2F">
      <w:pPr>
        <w:pStyle w:val="IEEEStdsParagraph"/>
        <w:rPr>
          <w:lang w:eastAsia="ko-KR"/>
        </w:rPr>
      </w:pPr>
      <w:r>
        <w:rPr>
          <w:b/>
          <w:lang w:eastAsia="ko-KR"/>
        </w:rPr>
        <w:t>Modification</w:t>
      </w:r>
    </w:p>
    <w:p w14:paraId="16C449DD" w14:textId="0E07F2CA" w:rsidR="004D6C2F" w:rsidRPr="0045491A" w:rsidRDefault="004D6C2F" w:rsidP="004D6C2F">
      <w:pPr>
        <w:pStyle w:val="IEEEStdsParagraph"/>
        <w:rPr>
          <w:u w:val="single"/>
          <w:lang w:eastAsia="ko-KR"/>
        </w:rPr>
      </w:pPr>
      <w:proofErr w:type="spellStart"/>
      <w:r w:rsidRPr="001B040F">
        <w:rPr>
          <w:i/>
          <w:u w:val="single"/>
          <w:lang w:eastAsia="ko-KR"/>
        </w:rPr>
        <w:t>TGay</w:t>
      </w:r>
      <w:proofErr w:type="spellEnd"/>
      <w:r w:rsidRPr="001B040F">
        <w:rPr>
          <w:i/>
          <w:u w:val="single"/>
          <w:lang w:eastAsia="ko-KR"/>
        </w:rPr>
        <w:t xml:space="preserve"> Editor: </w:t>
      </w:r>
      <w:r w:rsidR="001851A7">
        <w:rPr>
          <w:i/>
          <w:u w:val="single"/>
          <w:lang w:eastAsia="ko-KR"/>
        </w:rPr>
        <w:t>Modify the paragraph (lines 11-16) of page 144</w:t>
      </w:r>
      <w:r w:rsidR="001851A7" w:rsidRPr="001B040F">
        <w:rPr>
          <w:i/>
          <w:u w:val="single"/>
          <w:lang w:eastAsia="ko-KR"/>
        </w:rPr>
        <w:t xml:space="preserve"> as follows</w:t>
      </w:r>
    </w:p>
    <w:p w14:paraId="12692DEE" w14:textId="36309DCB" w:rsidR="00696F80" w:rsidRDefault="004D6C2F" w:rsidP="004D6C2F">
      <w:pPr>
        <w:pStyle w:val="IEEEStdsParagraph"/>
        <w:rPr>
          <w:lang w:eastAsia="ko-KR"/>
        </w:rPr>
      </w:pPr>
      <w:r>
        <w:rPr>
          <w:lang w:eastAsia="ko-KR"/>
        </w:rPr>
        <w:t>A non-PCP and non-AP EDMG STA may estimate whether its signal can be successfully received by an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EDMG PCP or AP which is listening in quasi-omnidirectional mode, i.e., to classify itself as a “Near” or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“Far” STA to the PCP or AP. This allows the EDMG STA to decide whether to access the A-BFT (if it is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classified as “Near”) or to use asymmetric beamforming (if it classified as “Far”)</w:t>
      </w:r>
      <w:r w:rsidR="001851A7">
        <w:rPr>
          <w:lang w:eastAsia="ko-KR"/>
        </w:rPr>
        <w:t xml:space="preserve"> </w:t>
      </w:r>
      <w:r w:rsidR="001851A7">
        <w:rPr>
          <w:color w:val="FF0000"/>
          <w:lang w:eastAsia="ko-KR"/>
        </w:rPr>
        <w:t>defined in 10.38.9.3 (</w:t>
      </w:r>
      <w:r w:rsidR="001851A7" w:rsidRPr="001851A7">
        <w:rPr>
          <w:color w:val="FF0000"/>
          <w:lang w:eastAsia="ko-KR"/>
        </w:rPr>
        <w:t>Beamforming for asymmetric links</w:t>
      </w:r>
      <w:r w:rsidR="001851A7">
        <w:rPr>
          <w:color w:val="FF0000"/>
          <w:lang w:eastAsia="ko-KR"/>
        </w:rPr>
        <w:t>)</w:t>
      </w:r>
      <w:r>
        <w:rPr>
          <w:lang w:eastAsia="ko-KR"/>
        </w:rPr>
        <w:t>. To enable this, the PCP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or AP informs EDMG STAs about its link-budget parameters combined in one value, the PCP/AP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Coverage Parameter, which is transmitted in SSW field of the DMG Beacon frame.</w:t>
      </w:r>
    </w:p>
    <w:p w14:paraId="31BA378E" w14:textId="77777777" w:rsidR="004D6C2F" w:rsidRDefault="004D6C2F" w:rsidP="004D6C2F">
      <w:pPr>
        <w:pStyle w:val="IEEEStdsParagraph"/>
        <w:rPr>
          <w:lang w:eastAsia="ko-KR"/>
        </w:rPr>
      </w:pPr>
    </w:p>
    <w:p w14:paraId="4FF217C7" w14:textId="77777777" w:rsidR="004D6C2F" w:rsidRPr="004D6C2F" w:rsidRDefault="004D6C2F" w:rsidP="004D6C2F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4D6C2F" w:rsidRPr="007E0FC3" w14:paraId="66D612CA" w14:textId="77777777" w:rsidTr="00DA09A8">
        <w:trPr>
          <w:trHeight w:val="416"/>
        </w:trPr>
        <w:tc>
          <w:tcPr>
            <w:tcW w:w="668" w:type="dxa"/>
            <w:hideMark/>
          </w:tcPr>
          <w:p w14:paraId="0CD68426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CID</w:t>
            </w:r>
          </w:p>
        </w:tc>
        <w:tc>
          <w:tcPr>
            <w:tcW w:w="948" w:type="dxa"/>
            <w:hideMark/>
          </w:tcPr>
          <w:p w14:paraId="1C98668C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1DA2B9F1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06C4050E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2902ADE6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1851A7" w:rsidRPr="007E0FC3" w14:paraId="491FCB74" w14:textId="77777777" w:rsidTr="00DA09A8">
        <w:trPr>
          <w:trHeight w:val="1370"/>
        </w:trPr>
        <w:tc>
          <w:tcPr>
            <w:tcW w:w="668" w:type="dxa"/>
            <w:hideMark/>
          </w:tcPr>
          <w:p w14:paraId="3D9BBF1A" w14:textId="387AB835" w:rsidR="001851A7" w:rsidRPr="007E0FC3" w:rsidRDefault="001851A7" w:rsidP="001851A7">
            <w:pPr>
              <w:pStyle w:val="IEEEStdsParagraph"/>
              <w:rPr>
                <w:lang w:eastAsia="ko-KR"/>
              </w:rPr>
            </w:pPr>
            <w:r w:rsidRPr="00EB26A5">
              <w:t>1635</w:t>
            </w:r>
          </w:p>
        </w:tc>
        <w:tc>
          <w:tcPr>
            <w:tcW w:w="948" w:type="dxa"/>
            <w:hideMark/>
          </w:tcPr>
          <w:p w14:paraId="1AFF1B9E" w14:textId="3E2FACB7" w:rsidR="001851A7" w:rsidRPr="007E0FC3" w:rsidRDefault="001851A7" w:rsidP="001851A7">
            <w:pPr>
              <w:pStyle w:val="IEEEStdsParagraph"/>
              <w:rPr>
                <w:lang w:eastAsia="ko-KR"/>
              </w:rPr>
            </w:pPr>
            <w:r w:rsidRPr="00EB26A5">
              <w:t>263.03</w:t>
            </w:r>
          </w:p>
        </w:tc>
        <w:tc>
          <w:tcPr>
            <w:tcW w:w="1216" w:type="dxa"/>
            <w:hideMark/>
          </w:tcPr>
          <w:p w14:paraId="47D347B4" w14:textId="4C633724" w:rsidR="001851A7" w:rsidRPr="007E0FC3" w:rsidRDefault="001851A7" w:rsidP="001851A7">
            <w:pPr>
              <w:pStyle w:val="IEEEStdsParagraph"/>
              <w:rPr>
                <w:lang w:eastAsia="ko-KR"/>
              </w:rPr>
            </w:pPr>
            <w:r w:rsidRPr="00EB26A5">
              <w:t>30.3.5</w:t>
            </w:r>
          </w:p>
        </w:tc>
        <w:tc>
          <w:tcPr>
            <w:tcW w:w="2320" w:type="dxa"/>
            <w:hideMark/>
          </w:tcPr>
          <w:p w14:paraId="0F728CED" w14:textId="6ABC0490" w:rsidR="001851A7" w:rsidRPr="007E0FC3" w:rsidRDefault="001851A7" w:rsidP="001851A7">
            <w:pPr>
              <w:pStyle w:val="IEEEStdsParagraph"/>
              <w:rPr>
                <w:lang w:eastAsia="ko-KR"/>
              </w:rPr>
            </w:pPr>
            <w:proofErr w:type="gramStart"/>
            <w:r w:rsidRPr="00EB26A5">
              <w:t>the</w:t>
            </w:r>
            <w:proofErr w:type="gramEnd"/>
            <w:r w:rsidRPr="00EB26A5">
              <w:t xml:space="preserve"> TX mask for contiguous channel aggregation is unclear. What kind of TX mask is used for channel aggregation?</w:t>
            </w:r>
          </w:p>
        </w:tc>
        <w:tc>
          <w:tcPr>
            <w:tcW w:w="3864" w:type="dxa"/>
            <w:hideMark/>
          </w:tcPr>
          <w:p w14:paraId="38950CFB" w14:textId="303BAD23" w:rsidR="001851A7" w:rsidRPr="007E0FC3" w:rsidRDefault="001851A7" w:rsidP="001851A7">
            <w:pPr>
              <w:pStyle w:val="IEEEStdsParagraph"/>
              <w:rPr>
                <w:lang w:eastAsia="ko-KR"/>
              </w:rPr>
            </w:pPr>
            <w:r w:rsidRPr="00EB26A5">
              <w:t>The clarification is needed.</w:t>
            </w:r>
          </w:p>
        </w:tc>
      </w:tr>
    </w:tbl>
    <w:p w14:paraId="30FEF0F4" w14:textId="77777777" w:rsidR="004D6C2F" w:rsidRPr="004D6C2F" w:rsidRDefault="004D6C2F" w:rsidP="00082C03">
      <w:pPr>
        <w:pStyle w:val="IEEEStdsParagraph"/>
        <w:rPr>
          <w:lang w:eastAsia="ko-KR"/>
        </w:rPr>
      </w:pPr>
    </w:p>
    <w:p w14:paraId="52C2BBA2" w14:textId="3AB702B2" w:rsidR="003F1871" w:rsidRDefault="003F1871" w:rsidP="003F1871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reject</w:t>
      </w:r>
    </w:p>
    <w:p w14:paraId="13A526C6" w14:textId="77777777" w:rsidR="003F1871" w:rsidRDefault="003F1871" w:rsidP="003F1871">
      <w:pPr>
        <w:pStyle w:val="IEEEStdsParagraph"/>
        <w:rPr>
          <w:b/>
          <w:lang w:eastAsia="ko-KR"/>
        </w:rPr>
      </w:pPr>
    </w:p>
    <w:p w14:paraId="41CD2324" w14:textId="77777777" w:rsidR="003F1871" w:rsidRDefault="003F1871" w:rsidP="003F1871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75C9F22B" w14:textId="40AC1C51" w:rsidR="003F1871" w:rsidRDefault="003F1871" w:rsidP="003F1871">
      <w:pPr>
        <w:pStyle w:val="IEEEStdsParagraph"/>
        <w:rPr>
          <w:lang w:eastAsia="ko-KR"/>
        </w:rPr>
      </w:pPr>
      <w:r>
        <w:rPr>
          <w:lang w:eastAsia="ko-KR"/>
        </w:rPr>
        <w:t>The t</w:t>
      </w:r>
      <w:r w:rsidRPr="003F1871">
        <w:rPr>
          <w:lang w:eastAsia="ko-KR"/>
        </w:rPr>
        <w:t>ransmi</w:t>
      </w:r>
      <w:r>
        <w:rPr>
          <w:lang w:eastAsia="ko-KR"/>
        </w:rPr>
        <w:t xml:space="preserve">t spectral mask for a 4.32 and 8.64 </w:t>
      </w:r>
      <w:r w:rsidRPr="003F1871">
        <w:rPr>
          <w:lang w:eastAsia="ko-KR"/>
        </w:rPr>
        <w:t>GHz mask PPDU</w:t>
      </w:r>
      <w:r>
        <w:rPr>
          <w:lang w:eastAsia="ko-KR"/>
        </w:rPr>
        <w:t xml:space="preserve"> can be used for the spectral mask for the contiguous channel aggregation. Therefore, we don’t need to define.</w:t>
      </w:r>
    </w:p>
    <w:p w14:paraId="7B3D011E" w14:textId="77777777" w:rsidR="003F1871" w:rsidRDefault="003F1871" w:rsidP="003F1871">
      <w:pPr>
        <w:pStyle w:val="IEEEStdsParagraph"/>
        <w:rPr>
          <w:b/>
          <w:lang w:eastAsia="ko-KR"/>
        </w:rPr>
      </w:pPr>
    </w:p>
    <w:p w14:paraId="6E60D761" w14:textId="77777777" w:rsidR="003F1871" w:rsidRDefault="003F1871" w:rsidP="003F1871">
      <w:pPr>
        <w:pStyle w:val="IEEEStdsParagraph"/>
        <w:rPr>
          <w:b/>
          <w:lang w:eastAsia="ko-KR"/>
        </w:rPr>
      </w:pPr>
    </w:p>
    <w:p w14:paraId="3F6E7DA2" w14:textId="77777777" w:rsidR="004D6C2F" w:rsidRDefault="004D6C2F" w:rsidP="00082C03">
      <w:pPr>
        <w:pStyle w:val="IEEEStdsParagraph"/>
        <w:rPr>
          <w:lang w:eastAsia="ko-KR"/>
        </w:rPr>
      </w:pPr>
    </w:p>
    <w:p w14:paraId="36D1FB54" w14:textId="77777777" w:rsidR="00DF4338" w:rsidRPr="003F1871" w:rsidRDefault="00DF4338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4D6C2F" w:rsidRPr="007E0FC3" w14:paraId="2DD14B82" w14:textId="77777777" w:rsidTr="00DA09A8">
        <w:trPr>
          <w:trHeight w:val="416"/>
        </w:trPr>
        <w:tc>
          <w:tcPr>
            <w:tcW w:w="668" w:type="dxa"/>
            <w:hideMark/>
          </w:tcPr>
          <w:p w14:paraId="097F663E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948" w:type="dxa"/>
            <w:hideMark/>
          </w:tcPr>
          <w:p w14:paraId="77820853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52865402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0651B44F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077EFD8A" w14:textId="77777777" w:rsidR="004D6C2F" w:rsidRPr="007E0FC3" w:rsidRDefault="004D6C2F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3F1871" w:rsidRPr="007E0FC3" w14:paraId="09E71356" w14:textId="77777777" w:rsidTr="00DA09A8">
        <w:trPr>
          <w:trHeight w:val="1370"/>
        </w:trPr>
        <w:tc>
          <w:tcPr>
            <w:tcW w:w="668" w:type="dxa"/>
            <w:hideMark/>
          </w:tcPr>
          <w:p w14:paraId="514A92CB" w14:textId="19B88713" w:rsidR="003F1871" w:rsidRPr="007E0FC3" w:rsidRDefault="003F1871" w:rsidP="003F1871">
            <w:pPr>
              <w:pStyle w:val="IEEEStdsParagraph"/>
              <w:rPr>
                <w:lang w:eastAsia="ko-KR"/>
              </w:rPr>
            </w:pPr>
            <w:r w:rsidRPr="00B93C1A">
              <w:t>1652</w:t>
            </w:r>
          </w:p>
        </w:tc>
        <w:tc>
          <w:tcPr>
            <w:tcW w:w="948" w:type="dxa"/>
            <w:hideMark/>
          </w:tcPr>
          <w:p w14:paraId="34EE440C" w14:textId="65FF0B6F" w:rsidR="003F1871" w:rsidRPr="007E0FC3" w:rsidRDefault="003F1871" w:rsidP="003F1871">
            <w:pPr>
              <w:pStyle w:val="IEEEStdsParagraph"/>
              <w:rPr>
                <w:lang w:eastAsia="ko-KR"/>
              </w:rPr>
            </w:pPr>
            <w:r w:rsidRPr="00B93C1A">
              <w:t>138.10</w:t>
            </w:r>
          </w:p>
        </w:tc>
        <w:tc>
          <w:tcPr>
            <w:tcW w:w="1216" w:type="dxa"/>
            <w:hideMark/>
          </w:tcPr>
          <w:p w14:paraId="33B55315" w14:textId="6C3658EB" w:rsidR="003F1871" w:rsidRPr="007E0FC3" w:rsidRDefault="003F1871" w:rsidP="003F1871">
            <w:pPr>
              <w:pStyle w:val="IEEEStdsParagraph"/>
              <w:rPr>
                <w:lang w:eastAsia="ko-KR"/>
              </w:rPr>
            </w:pPr>
            <w:r w:rsidRPr="00B93C1A">
              <w:t>10.36.11.2.1</w:t>
            </w:r>
          </w:p>
        </w:tc>
        <w:tc>
          <w:tcPr>
            <w:tcW w:w="2320" w:type="dxa"/>
            <w:hideMark/>
          </w:tcPr>
          <w:p w14:paraId="4E41147C" w14:textId="5CD6813A" w:rsidR="003F1871" w:rsidRPr="007E0FC3" w:rsidRDefault="003F1871" w:rsidP="003F1871">
            <w:pPr>
              <w:pStyle w:val="IEEEStdsParagraph"/>
              <w:rPr>
                <w:lang w:eastAsia="ko-KR"/>
              </w:rPr>
            </w:pPr>
            <w:r w:rsidRPr="00B93C1A">
              <w:t>Any reason not to have the flexibility to have SP allocation on two 2.16GHz?</w:t>
            </w:r>
          </w:p>
        </w:tc>
        <w:tc>
          <w:tcPr>
            <w:tcW w:w="3864" w:type="dxa"/>
            <w:hideMark/>
          </w:tcPr>
          <w:p w14:paraId="31BBBA4E" w14:textId="25F61E02" w:rsidR="003F1871" w:rsidRPr="007E0FC3" w:rsidRDefault="003F1871" w:rsidP="003F1871">
            <w:pPr>
              <w:pStyle w:val="IEEEStdsParagraph"/>
              <w:rPr>
                <w:lang w:eastAsia="ko-KR"/>
              </w:rPr>
            </w:pPr>
            <w:r w:rsidRPr="00B93C1A">
              <w:t>Please clarify</w:t>
            </w:r>
          </w:p>
        </w:tc>
      </w:tr>
    </w:tbl>
    <w:p w14:paraId="09E0FDED" w14:textId="77777777" w:rsidR="00A7026D" w:rsidRDefault="00A7026D" w:rsidP="00A7026D">
      <w:pPr>
        <w:pStyle w:val="IEEEStdsParagraph"/>
        <w:rPr>
          <w:b/>
          <w:lang w:eastAsia="ko-KR"/>
        </w:rPr>
      </w:pPr>
    </w:p>
    <w:p w14:paraId="3C1675FF" w14:textId="77777777" w:rsidR="00A7026D" w:rsidRDefault="00A7026D" w:rsidP="00A7026D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revised</w:t>
      </w:r>
    </w:p>
    <w:p w14:paraId="44B9796D" w14:textId="77777777" w:rsidR="00A7026D" w:rsidRDefault="00A7026D" w:rsidP="00A7026D">
      <w:pPr>
        <w:pStyle w:val="IEEEStdsParagraph"/>
        <w:rPr>
          <w:b/>
          <w:lang w:eastAsia="ko-KR"/>
        </w:rPr>
      </w:pPr>
    </w:p>
    <w:p w14:paraId="7374AEBB" w14:textId="77777777" w:rsidR="00A7026D" w:rsidRDefault="00A7026D" w:rsidP="00A7026D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751C890E" w14:textId="69B59A1B" w:rsidR="00A7026D" w:rsidRPr="00A7026D" w:rsidRDefault="00763F68" w:rsidP="00A7026D">
      <w:pPr>
        <w:pStyle w:val="IEEEStdsParagraph"/>
        <w:rPr>
          <w:b/>
          <w:lang w:eastAsia="ko-KR"/>
        </w:rPr>
      </w:pPr>
      <w:r>
        <w:rPr>
          <w:lang w:eastAsia="ko-KR"/>
        </w:rPr>
        <w:t>T</w:t>
      </w:r>
      <w:r w:rsidR="00A7026D">
        <w:rPr>
          <w:lang w:eastAsia="ko-KR"/>
        </w:rPr>
        <w:t>he restriction that an SP allocation shall not span more than one 2.16GHz</w:t>
      </w:r>
      <w:r>
        <w:rPr>
          <w:lang w:eastAsia="ko-KR"/>
        </w:rPr>
        <w:t xml:space="preserve"> is not necessary</w:t>
      </w:r>
      <w:r w:rsidR="00A7026D">
        <w:rPr>
          <w:lang w:eastAsia="ko-KR"/>
        </w:rPr>
        <w:t xml:space="preserve">. </w:t>
      </w:r>
      <w:r>
        <w:rPr>
          <w:lang w:eastAsia="ko-KR"/>
        </w:rPr>
        <w:t>There is no technical issue even if this restriction is removed. Therefore, w</w:t>
      </w:r>
      <w:r w:rsidR="00A7026D">
        <w:rPr>
          <w:lang w:eastAsia="ko-KR"/>
        </w:rPr>
        <w:t xml:space="preserve">e propose </w:t>
      </w:r>
      <w:r>
        <w:rPr>
          <w:lang w:eastAsia="ko-KR"/>
        </w:rPr>
        <w:t>that an SP allocation can span more than one 2.16GHz in order to improve channel utilization.</w:t>
      </w:r>
    </w:p>
    <w:p w14:paraId="62C2CE54" w14:textId="77777777" w:rsidR="00A7026D" w:rsidRPr="00377869" w:rsidRDefault="00A7026D" w:rsidP="00A7026D">
      <w:pPr>
        <w:pStyle w:val="IEEEStdsParagraph"/>
        <w:rPr>
          <w:lang w:eastAsia="ko-KR"/>
        </w:rPr>
      </w:pPr>
    </w:p>
    <w:p w14:paraId="66724A40" w14:textId="77777777" w:rsidR="00A7026D" w:rsidRPr="00285BB8" w:rsidRDefault="00A7026D" w:rsidP="00A7026D">
      <w:pPr>
        <w:pStyle w:val="IEEEStdsParagraph"/>
        <w:rPr>
          <w:lang w:eastAsia="ko-KR"/>
        </w:rPr>
      </w:pPr>
      <w:r>
        <w:rPr>
          <w:b/>
          <w:lang w:eastAsia="ko-KR"/>
        </w:rPr>
        <w:t>Modification</w:t>
      </w:r>
    </w:p>
    <w:p w14:paraId="49975C01" w14:textId="6C006906" w:rsidR="00A7026D" w:rsidRPr="001B040F" w:rsidRDefault="00A7026D" w:rsidP="00A7026D">
      <w:pPr>
        <w:pStyle w:val="IEEEStdsParagraph"/>
        <w:rPr>
          <w:u w:val="single"/>
          <w:lang w:eastAsia="ko-KR"/>
        </w:rPr>
      </w:pPr>
      <w:proofErr w:type="spellStart"/>
      <w:r w:rsidRPr="001B040F">
        <w:rPr>
          <w:i/>
          <w:u w:val="single"/>
          <w:lang w:eastAsia="ko-KR"/>
        </w:rPr>
        <w:t>TGay</w:t>
      </w:r>
      <w:proofErr w:type="spellEnd"/>
      <w:r w:rsidRPr="001B040F">
        <w:rPr>
          <w:i/>
          <w:u w:val="single"/>
          <w:lang w:eastAsia="ko-KR"/>
        </w:rPr>
        <w:t xml:space="preserve"> Editor: </w:t>
      </w:r>
      <w:r w:rsidR="00763F68">
        <w:rPr>
          <w:i/>
          <w:u w:val="single"/>
          <w:lang w:eastAsia="ko-KR"/>
        </w:rPr>
        <w:t>Modify the paragraph (lines 11</w:t>
      </w:r>
      <w:r w:rsidRPr="001B040F">
        <w:rPr>
          <w:i/>
          <w:u w:val="single"/>
          <w:lang w:eastAsia="ko-KR"/>
        </w:rPr>
        <w:t>) of page 138 as follows</w:t>
      </w:r>
    </w:p>
    <w:p w14:paraId="626325AB" w14:textId="5922F851" w:rsidR="005A5DAE" w:rsidRPr="005A5DAE" w:rsidRDefault="005A5DAE" w:rsidP="005A5DAE">
      <w:pPr>
        <w:pStyle w:val="IEEEStdsParagraph"/>
        <w:numPr>
          <w:ilvl w:val="0"/>
          <w:numId w:val="14"/>
        </w:numPr>
        <w:rPr>
          <w:color w:val="000000"/>
          <w:lang w:eastAsia="en-US"/>
        </w:rPr>
      </w:pPr>
      <w:r w:rsidRPr="005A5DAE">
        <w:rPr>
          <w:color w:val="000000"/>
          <w:lang w:eastAsia="en-US"/>
        </w:rPr>
        <w:t>If the allocation is an SP, then:</w:t>
      </w:r>
    </w:p>
    <w:p w14:paraId="10A8FCCC" w14:textId="78CC9F37" w:rsidR="005A5DAE" w:rsidRPr="005A5DAE" w:rsidRDefault="005A5DAE" w:rsidP="005A5DAE">
      <w:pPr>
        <w:pStyle w:val="IEEEStdsParagraph"/>
        <w:ind w:leftChars="150" w:left="360"/>
        <w:rPr>
          <w:color w:val="000000"/>
          <w:lang w:eastAsia="en-US"/>
        </w:rPr>
      </w:pPr>
      <w:r w:rsidRPr="005A5DAE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 </w:t>
      </w:r>
      <w:r w:rsidRPr="005A5DAE">
        <w:rPr>
          <w:color w:val="000000"/>
          <w:lang w:eastAsia="en-US"/>
        </w:rPr>
        <w:t>The allocation does not have to include the primary channel.</w:t>
      </w:r>
    </w:p>
    <w:p w14:paraId="66C9F3A1" w14:textId="0BDE4B7D" w:rsidR="00763F68" w:rsidRDefault="005A5DAE" w:rsidP="005A5DAE">
      <w:pPr>
        <w:pStyle w:val="IEEEStdsParagraph"/>
        <w:ind w:leftChars="150" w:left="36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5A5DAE">
        <w:rPr>
          <w:color w:val="000000"/>
          <w:lang w:eastAsia="en-US"/>
        </w:rPr>
        <w:t>If the allocation does not include the primary channel, the allo</w:t>
      </w:r>
      <w:r>
        <w:rPr>
          <w:color w:val="000000"/>
          <w:lang w:eastAsia="en-US"/>
        </w:rPr>
        <w:t xml:space="preserve">cation </w:t>
      </w:r>
      <w:r w:rsidRPr="005A5DAE">
        <w:rPr>
          <w:strike/>
          <w:color w:val="000000"/>
          <w:lang w:eastAsia="en-US"/>
        </w:rPr>
        <w:t>shall not</w:t>
      </w:r>
      <w:r>
        <w:rPr>
          <w:color w:val="000000"/>
          <w:lang w:eastAsia="en-US"/>
        </w:rPr>
        <w:t xml:space="preserve"> </w:t>
      </w:r>
      <w:r w:rsidRPr="005A5DAE">
        <w:rPr>
          <w:color w:val="FF0000"/>
          <w:lang w:eastAsia="en-US"/>
        </w:rPr>
        <w:t>may</w:t>
      </w:r>
      <w:r>
        <w:rPr>
          <w:color w:val="000000"/>
          <w:lang w:eastAsia="en-US"/>
        </w:rPr>
        <w:t xml:space="preserve"> span more than</w:t>
      </w:r>
      <w:r>
        <w:rPr>
          <w:rFonts w:hint="eastAsia"/>
          <w:color w:val="000000"/>
          <w:lang w:eastAsia="ko-KR"/>
        </w:rPr>
        <w:t xml:space="preserve"> </w:t>
      </w:r>
      <w:r w:rsidRPr="005A5DAE">
        <w:rPr>
          <w:color w:val="000000"/>
          <w:lang w:eastAsia="en-US"/>
        </w:rPr>
        <w:t>one 2.16 GHz channel</w:t>
      </w:r>
      <w:r>
        <w:rPr>
          <w:color w:val="000000"/>
          <w:lang w:eastAsia="en-US"/>
        </w:rPr>
        <w:t>.</w:t>
      </w:r>
    </w:p>
    <w:p w14:paraId="6C94496B" w14:textId="77777777" w:rsidR="00763F68" w:rsidRPr="00763F68" w:rsidRDefault="00763F68" w:rsidP="00763F68">
      <w:pPr>
        <w:pStyle w:val="IEEEStdsParagraph"/>
        <w:rPr>
          <w:color w:val="000000"/>
          <w:lang w:eastAsia="en-US"/>
        </w:rPr>
      </w:pPr>
    </w:p>
    <w:p w14:paraId="4C4EE3A1" w14:textId="77777777" w:rsidR="004D6C2F" w:rsidRDefault="004D6C2F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DC6BE2" w:rsidRPr="007E0FC3" w14:paraId="66C3DAC5" w14:textId="77777777" w:rsidTr="00DA09A8">
        <w:trPr>
          <w:trHeight w:val="416"/>
        </w:trPr>
        <w:tc>
          <w:tcPr>
            <w:tcW w:w="668" w:type="dxa"/>
            <w:hideMark/>
          </w:tcPr>
          <w:p w14:paraId="17959D04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CID</w:t>
            </w:r>
          </w:p>
        </w:tc>
        <w:tc>
          <w:tcPr>
            <w:tcW w:w="948" w:type="dxa"/>
            <w:hideMark/>
          </w:tcPr>
          <w:p w14:paraId="61B55A59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0557F582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1A72224B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279A5537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DC6BE2" w:rsidRPr="007E0FC3" w14:paraId="7F2AF33F" w14:textId="77777777" w:rsidTr="00DA09A8">
        <w:trPr>
          <w:trHeight w:val="1370"/>
        </w:trPr>
        <w:tc>
          <w:tcPr>
            <w:tcW w:w="668" w:type="dxa"/>
            <w:hideMark/>
          </w:tcPr>
          <w:p w14:paraId="02ACB5D3" w14:textId="68150201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116029">
              <w:t>1868</w:t>
            </w:r>
          </w:p>
        </w:tc>
        <w:tc>
          <w:tcPr>
            <w:tcW w:w="948" w:type="dxa"/>
            <w:hideMark/>
          </w:tcPr>
          <w:p w14:paraId="36C8159A" w14:textId="16A3849B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116029">
              <w:t>137.30</w:t>
            </w:r>
          </w:p>
        </w:tc>
        <w:tc>
          <w:tcPr>
            <w:tcW w:w="1216" w:type="dxa"/>
            <w:hideMark/>
          </w:tcPr>
          <w:p w14:paraId="34F18665" w14:textId="4B5B9E3A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116029">
              <w:t>10.36.11.2.1</w:t>
            </w:r>
          </w:p>
        </w:tc>
        <w:tc>
          <w:tcPr>
            <w:tcW w:w="2320" w:type="dxa"/>
            <w:hideMark/>
          </w:tcPr>
          <w:p w14:paraId="30BDAC2E" w14:textId="5852A6F1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116029">
              <w:t>The channel access rules are explicit to EDMG STA.  A reference to a peer STA is made.  Needs to be EDMG STA</w:t>
            </w:r>
          </w:p>
        </w:tc>
        <w:tc>
          <w:tcPr>
            <w:tcW w:w="3864" w:type="dxa"/>
            <w:hideMark/>
          </w:tcPr>
          <w:p w14:paraId="7783323B" w14:textId="77AE82BF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116029">
              <w:t>Change "peer STA" to "peer EDMG STA"</w:t>
            </w:r>
          </w:p>
        </w:tc>
      </w:tr>
    </w:tbl>
    <w:p w14:paraId="428804D3" w14:textId="77777777" w:rsidR="00DC6BE2" w:rsidRDefault="00DC6BE2" w:rsidP="00DC6BE2">
      <w:pPr>
        <w:pStyle w:val="IEEEStdsParagraph"/>
        <w:rPr>
          <w:b/>
          <w:lang w:eastAsia="ko-KR"/>
        </w:rPr>
      </w:pPr>
    </w:p>
    <w:p w14:paraId="772DF2DB" w14:textId="756736A1" w:rsidR="00DC6BE2" w:rsidRDefault="00DC6BE2" w:rsidP="00DC6BE2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accept</w:t>
      </w:r>
    </w:p>
    <w:p w14:paraId="38CAC474" w14:textId="77777777" w:rsidR="00DC6BE2" w:rsidRDefault="00DC6BE2" w:rsidP="00DC6BE2">
      <w:pPr>
        <w:pStyle w:val="IEEEStdsParagraph"/>
        <w:rPr>
          <w:b/>
          <w:lang w:eastAsia="ko-KR"/>
        </w:rPr>
      </w:pPr>
    </w:p>
    <w:p w14:paraId="55DF6A95" w14:textId="77777777" w:rsidR="00DC6BE2" w:rsidRDefault="00DC6BE2" w:rsidP="00DC6BE2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2766FFD2" w14:textId="5B3A1E44" w:rsidR="00DC6BE2" w:rsidRDefault="00DC6BE2" w:rsidP="00DC6BE2">
      <w:pPr>
        <w:pStyle w:val="IEEEStdsParagraph"/>
        <w:rPr>
          <w:lang w:eastAsia="ko-KR"/>
        </w:rPr>
      </w:pPr>
      <w:r>
        <w:rPr>
          <w:lang w:eastAsia="ko-KR"/>
        </w:rPr>
        <w:t>The Supported Channels field in EDMG Capabilities element can be contained only by EDMG STA.</w:t>
      </w:r>
    </w:p>
    <w:p w14:paraId="003D0CB5" w14:textId="77777777" w:rsidR="00DC6BE2" w:rsidRDefault="00DC6BE2" w:rsidP="00082C03">
      <w:pPr>
        <w:pStyle w:val="IEEEStdsParagraph"/>
        <w:rPr>
          <w:lang w:eastAsia="ko-KR"/>
        </w:rPr>
      </w:pPr>
    </w:p>
    <w:p w14:paraId="411D2EB5" w14:textId="77777777" w:rsidR="00DC6BE2" w:rsidRDefault="00DC6BE2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DC6BE2" w:rsidRPr="007E0FC3" w14:paraId="1F341F61" w14:textId="77777777" w:rsidTr="00DA09A8">
        <w:trPr>
          <w:trHeight w:val="416"/>
        </w:trPr>
        <w:tc>
          <w:tcPr>
            <w:tcW w:w="668" w:type="dxa"/>
            <w:hideMark/>
          </w:tcPr>
          <w:p w14:paraId="54131ED6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948" w:type="dxa"/>
            <w:hideMark/>
          </w:tcPr>
          <w:p w14:paraId="7C92C9DC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26570020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72AC8132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5EE5567F" w14:textId="77777777" w:rsidR="00DC6BE2" w:rsidRPr="007E0FC3" w:rsidRDefault="00DC6BE2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DC6BE2" w:rsidRPr="007E0FC3" w14:paraId="0E21466D" w14:textId="77777777" w:rsidTr="00DA09A8">
        <w:trPr>
          <w:trHeight w:val="1370"/>
        </w:trPr>
        <w:tc>
          <w:tcPr>
            <w:tcW w:w="668" w:type="dxa"/>
            <w:hideMark/>
          </w:tcPr>
          <w:p w14:paraId="2DA48C87" w14:textId="7EEE82A6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477E44">
              <w:t>1950</w:t>
            </w:r>
          </w:p>
        </w:tc>
        <w:tc>
          <w:tcPr>
            <w:tcW w:w="948" w:type="dxa"/>
            <w:hideMark/>
          </w:tcPr>
          <w:p w14:paraId="1CAFEB0A" w14:textId="52A05326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477E44">
              <w:t>103.02</w:t>
            </w:r>
          </w:p>
        </w:tc>
        <w:tc>
          <w:tcPr>
            <w:tcW w:w="1216" w:type="dxa"/>
            <w:hideMark/>
          </w:tcPr>
          <w:p w14:paraId="23D8A9DD" w14:textId="5B41DA66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477E44">
              <w:t>10</w:t>
            </w:r>
          </w:p>
        </w:tc>
        <w:tc>
          <w:tcPr>
            <w:tcW w:w="2320" w:type="dxa"/>
            <w:hideMark/>
          </w:tcPr>
          <w:p w14:paraId="49F944D9" w14:textId="0BE5E932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477E44">
              <w:t>There is no definition of protection mechanisms to protect non-EDMG receivers like 10.26.2 Protection mechanism for non-ERP receivers. The protection mechanism and conditions when to activate it should be provided</w:t>
            </w:r>
          </w:p>
        </w:tc>
        <w:tc>
          <w:tcPr>
            <w:tcW w:w="3864" w:type="dxa"/>
            <w:hideMark/>
          </w:tcPr>
          <w:p w14:paraId="7AD31032" w14:textId="5BD7286C" w:rsidR="00DC6BE2" w:rsidRPr="007E0FC3" w:rsidRDefault="00DC6BE2" w:rsidP="00DC6BE2">
            <w:pPr>
              <w:pStyle w:val="IEEEStdsParagraph"/>
              <w:rPr>
                <w:lang w:eastAsia="ko-KR"/>
              </w:rPr>
            </w:pPr>
            <w:r w:rsidRPr="00477E44">
              <w:t>Provide sub clause 10.26.xyz Protection mechanism for non-EDMG receivers. The intent of a protection mechanism is to cause a STA not to transmit a non-EDMG PPDU unless it has attempted to update the NAV of receiving non-EDMG STAs. One specific case of transmission of PPDU in non-EDMG control mode shall be covered as well.</w:t>
            </w:r>
          </w:p>
        </w:tc>
      </w:tr>
    </w:tbl>
    <w:p w14:paraId="58E557AB" w14:textId="77777777" w:rsidR="00DC6BE2" w:rsidRPr="00DC6BE2" w:rsidRDefault="00DC6BE2" w:rsidP="00082C03">
      <w:pPr>
        <w:pStyle w:val="IEEEStdsParagraph"/>
        <w:rPr>
          <w:lang w:eastAsia="ko-KR"/>
        </w:rPr>
      </w:pPr>
    </w:p>
    <w:p w14:paraId="164C3313" w14:textId="167F6E4B" w:rsidR="00DF4338" w:rsidRDefault="00DF4338" w:rsidP="00DF4338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 w:rsidR="00782EC3">
        <w:rPr>
          <w:rFonts w:hint="eastAsia"/>
          <w:lang w:eastAsia="ko-KR"/>
        </w:rPr>
        <w:t>revised</w:t>
      </w:r>
    </w:p>
    <w:p w14:paraId="04500D63" w14:textId="77777777" w:rsidR="00DF4338" w:rsidRDefault="00DF4338" w:rsidP="00DF4338">
      <w:pPr>
        <w:pStyle w:val="IEEEStdsParagraph"/>
        <w:rPr>
          <w:b/>
          <w:lang w:eastAsia="ko-KR"/>
        </w:rPr>
      </w:pPr>
    </w:p>
    <w:p w14:paraId="0E1E4C42" w14:textId="77777777" w:rsidR="00DF4338" w:rsidRDefault="00DF4338" w:rsidP="00DF4338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1CA3E96D" w14:textId="08959593" w:rsidR="00DC6BE2" w:rsidRDefault="00B94841" w:rsidP="002217BA">
      <w:pPr>
        <w:pStyle w:val="IEEEStdsParagrap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</w:t>
      </w:r>
      <w:r>
        <w:rPr>
          <w:lang w:eastAsia="ko-KR"/>
        </w:rPr>
        <w:t>definition of protection mechanism needs to be defined.</w:t>
      </w:r>
    </w:p>
    <w:p w14:paraId="00217247" w14:textId="77777777" w:rsidR="006B78BB" w:rsidRDefault="006B78BB" w:rsidP="002217BA">
      <w:pPr>
        <w:pStyle w:val="IEEEStdsParagraph"/>
        <w:rPr>
          <w:lang w:eastAsia="ko-KR"/>
        </w:rPr>
      </w:pPr>
    </w:p>
    <w:p w14:paraId="31B6F27D" w14:textId="66947295" w:rsidR="00782EC3" w:rsidRPr="00782EC3" w:rsidRDefault="00782EC3" w:rsidP="002217BA">
      <w:pPr>
        <w:pStyle w:val="IEEEStdsParagraph"/>
        <w:rPr>
          <w:b/>
          <w:lang w:eastAsia="ko-KR"/>
        </w:rPr>
      </w:pPr>
      <w:r w:rsidRPr="00782EC3">
        <w:rPr>
          <w:b/>
          <w:lang w:eastAsia="ko-KR"/>
        </w:rPr>
        <w:t>M</w:t>
      </w:r>
      <w:r w:rsidRPr="00782EC3">
        <w:rPr>
          <w:rFonts w:hint="eastAsia"/>
          <w:b/>
          <w:lang w:eastAsia="ko-KR"/>
        </w:rPr>
        <w:t>odification</w:t>
      </w:r>
    </w:p>
    <w:p w14:paraId="50B16184" w14:textId="17CB4605" w:rsidR="00815D6B" w:rsidRPr="006B78BB" w:rsidRDefault="006B78BB" w:rsidP="002217BA">
      <w:pPr>
        <w:pStyle w:val="IEEEStdsParagraph"/>
        <w:rPr>
          <w:u w:val="single"/>
          <w:lang w:eastAsia="ko-KR"/>
        </w:rPr>
      </w:pPr>
      <w:proofErr w:type="spellStart"/>
      <w:r w:rsidRPr="001B040F">
        <w:rPr>
          <w:i/>
          <w:u w:val="single"/>
          <w:lang w:eastAsia="ko-KR"/>
        </w:rPr>
        <w:t>TGay</w:t>
      </w:r>
      <w:proofErr w:type="spellEnd"/>
      <w:r w:rsidRPr="001B040F">
        <w:rPr>
          <w:i/>
          <w:u w:val="single"/>
          <w:lang w:eastAsia="ko-KR"/>
        </w:rPr>
        <w:t xml:space="preserve"> Editor: </w:t>
      </w:r>
      <w:r>
        <w:rPr>
          <w:i/>
          <w:u w:val="single"/>
          <w:lang w:eastAsia="ko-KR"/>
        </w:rPr>
        <w:t xml:space="preserve">add the </w:t>
      </w:r>
      <w:proofErr w:type="spellStart"/>
      <w:r>
        <w:rPr>
          <w:i/>
          <w:u w:val="single"/>
          <w:lang w:eastAsia="ko-KR"/>
        </w:rPr>
        <w:t>subclause</w:t>
      </w:r>
      <w:proofErr w:type="spellEnd"/>
      <w:r>
        <w:rPr>
          <w:i/>
          <w:u w:val="single"/>
          <w:lang w:eastAsia="ko-KR"/>
        </w:rPr>
        <w:t xml:space="preserve"> </w:t>
      </w:r>
      <w:r w:rsidRPr="006B78BB">
        <w:rPr>
          <w:i/>
          <w:u w:val="single"/>
          <w:lang w:eastAsia="ko-KR"/>
        </w:rPr>
        <w:t xml:space="preserve">10.27.6 </w:t>
      </w:r>
      <w:r>
        <w:rPr>
          <w:i/>
          <w:u w:val="single"/>
          <w:lang w:eastAsia="ko-KR"/>
        </w:rPr>
        <w:t>(</w:t>
      </w:r>
      <w:r w:rsidRPr="006B78BB">
        <w:rPr>
          <w:i/>
          <w:u w:val="single"/>
          <w:lang w:eastAsia="ko-KR"/>
        </w:rPr>
        <w:t>Protection mechanism for EDMG transmissions</w:t>
      </w:r>
      <w:r>
        <w:rPr>
          <w:i/>
          <w:u w:val="single"/>
          <w:lang w:eastAsia="ko-KR"/>
        </w:rPr>
        <w:t>)</w:t>
      </w:r>
      <w:r w:rsidRPr="001B040F">
        <w:rPr>
          <w:i/>
          <w:u w:val="single"/>
          <w:lang w:eastAsia="ko-KR"/>
        </w:rPr>
        <w:t xml:space="preserve"> </w:t>
      </w:r>
      <w:r>
        <w:rPr>
          <w:i/>
          <w:u w:val="single"/>
          <w:lang w:eastAsia="ko-KR"/>
        </w:rPr>
        <w:t xml:space="preserve">in </w:t>
      </w:r>
      <w:proofErr w:type="spellStart"/>
      <w:r>
        <w:rPr>
          <w:i/>
          <w:u w:val="single"/>
          <w:lang w:eastAsia="ko-KR"/>
        </w:rPr>
        <w:t>subclause</w:t>
      </w:r>
      <w:proofErr w:type="spellEnd"/>
      <w:r>
        <w:rPr>
          <w:i/>
          <w:u w:val="single"/>
          <w:lang w:eastAsia="ko-KR"/>
        </w:rPr>
        <w:t xml:space="preserve"> 10.27 (</w:t>
      </w:r>
      <w:r w:rsidRPr="006B78BB">
        <w:rPr>
          <w:i/>
          <w:u w:val="single"/>
          <w:lang w:eastAsia="ko-KR"/>
        </w:rPr>
        <w:t>protection mechanisms</w:t>
      </w:r>
      <w:r>
        <w:rPr>
          <w:i/>
          <w:u w:val="single"/>
          <w:lang w:eastAsia="ko-KR"/>
        </w:rPr>
        <w:t>)</w:t>
      </w:r>
      <w:r w:rsidRPr="001B040F">
        <w:rPr>
          <w:i/>
          <w:u w:val="single"/>
          <w:lang w:eastAsia="ko-KR"/>
        </w:rPr>
        <w:t xml:space="preserve"> as follows</w:t>
      </w:r>
    </w:p>
    <w:p w14:paraId="48FC39F6" w14:textId="7EBD5338" w:rsidR="00782EC3" w:rsidRPr="006B78BB" w:rsidRDefault="006B78BB" w:rsidP="002217BA">
      <w:pPr>
        <w:pStyle w:val="IEEEStdsParagraph"/>
        <w:rPr>
          <w:b/>
          <w:color w:val="FF0000"/>
          <w:sz w:val="22"/>
          <w:lang w:eastAsia="ko-KR"/>
        </w:rPr>
      </w:pPr>
      <w:r w:rsidRPr="006B78BB">
        <w:rPr>
          <w:b/>
          <w:color w:val="FF0000"/>
          <w:sz w:val="22"/>
          <w:lang w:eastAsia="ko-KR"/>
        </w:rPr>
        <w:t xml:space="preserve">10.27.6 </w:t>
      </w:r>
      <w:r w:rsidR="00782EC3" w:rsidRPr="006B78BB">
        <w:rPr>
          <w:b/>
          <w:color w:val="FF0000"/>
          <w:sz w:val="22"/>
          <w:lang w:eastAsia="ko-KR"/>
        </w:rPr>
        <w:t>Protection mec</w:t>
      </w:r>
      <w:r w:rsidRPr="006B78BB">
        <w:rPr>
          <w:b/>
          <w:color w:val="FF0000"/>
          <w:sz w:val="22"/>
          <w:lang w:eastAsia="ko-KR"/>
        </w:rPr>
        <w:t xml:space="preserve">hanism for </w:t>
      </w:r>
      <w:r w:rsidR="00D63103" w:rsidRPr="006B78BB">
        <w:rPr>
          <w:b/>
          <w:color w:val="FF0000"/>
          <w:sz w:val="22"/>
          <w:lang w:eastAsia="ko-KR"/>
        </w:rPr>
        <w:t>EDMG</w:t>
      </w:r>
      <w:r w:rsidRPr="006B78BB">
        <w:rPr>
          <w:b/>
          <w:color w:val="FF0000"/>
          <w:sz w:val="22"/>
          <w:lang w:eastAsia="ko-KR"/>
        </w:rPr>
        <w:t xml:space="preserve"> transmission</w:t>
      </w:r>
      <w:r w:rsidR="00782EC3" w:rsidRPr="006B78BB">
        <w:rPr>
          <w:b/>
          <w:color w:val="FF0000"/>
          <w:sz w:val="22"/>
          <w:lang w:eastAsia="ko-KR"/>
        </w:rPr>
        <w:t>s</w:t>
      </w:r>
    </w:p>
    <w:p w14:paraId="52816493" w14:textId="0CBD401B" w:rsidR="00782EC3" w:rsidRPr="00815D6B" w:rsidRDefault="00782EC3" w:rsidP="00195E90">
      <w:pPr>
        <w:pStyle w:val="IEEEStdsParagraph"/>
        <w:rPr>
          <w:rFonts w:ascii="TimesNewRomanPSMT" w:hAnsi="TimesNewRomanPSMT" w:hint="eastAsia"/>
          <w:color w:val="FF0000"/>
          <w:lang w:eastAsia="en-US"/>
        </w:rPr>
      </w:pPr>
      <w:r w:rsidRPr="00815D6B">
        <w:rPr>
          <w:rFonts w:ascii="TimesNewRomanPSMT" w:hAnsi="TimesNewRomanPSMT"/>
          <w:color w:val="FF0000"/>
          <w:lang w:eastAsia="en-US"/>
        </w:rPr>
        <w:t xml:space="preserve">The intent of a protection mechanism is to cause a STA not to transmit an EDMG PPDU unless it has attempted to update the NAV of receiving non-EDMG STAs. The updated NAV period shall be longer than or equal to the total time required to send the Data and any required response frames. An EDMG STA </w:t>
      </w:r>
      <w:r w:rsidR="00EC5DE4" w:rsidRPr="00815D6B">
        <w:rPr>
          <w:rFonts w:ascii="TimesNewRomanPSMT" w:hAnsi="TimesNewRomanPSMT"/>
          <w:color w:val="FF0000"/>
          <w:lang w:eastAsia="en-US"/>
        </w:rPr>
        <w:t>may</w:t>
      </w:r>
      <w:r w:rsidRPr="00815D6B">
        <w:rPr>
          <w:rFonts w:ascii="TimesNewRomanPSMT" w:hAnsi="TimesNewRomanPSMT"/>
          <w:color w:val="FF0000"/>
          <w:lang w:eastAsia="en-US"/>
        </w:rPr>
        <w:t xml:space="preserve"> use protection mechanisms (such as RTS/ DMG CTS or DMG CTS-to-self). </w:t>
      </w:r>
      <w:r w:rsidR="00195E90" w:rsidRPr="00815D6B">
        <w:rPr>
          <w:rFonts w:ascii="TimesNewRomanPSMT" w:hAnsi="TimesNewRomanPSMT"/>
          <w:color w:val="FF0000"/>
          <w:lang w:eastAsia="en-US"/>
        </w:rPr>
        <w:t>Protection mechanisms frames shall be sent usin</w:t>
      </w:r>
      <w:r w:rsidR="00EC5DE4" w:rsidRPr="00815D6B">
        <w:rPr>
          <w:rFonts w:ascii="TimesNewRomanPSMT" w:hAnsi="TimesNewRomanPSMT"/>
          <w:color w:val="FF0000"/>
          <w:lang w:eastAsia="en-US"/>
        </w:rPr>
        <w:t>g one of the mandatory Clause 20 (Directional multi-gigabit (DMG) PHY specification</w:t>
      </w:r>
      <w:r w:rsidR="00D00C9B" w:rsidRPr="00815D6B">
        <w:rPr>
          <w:rFonts w:ascii="TimesNewRomanPSMT" w:hAnsi="TimesNewRomanPSMT"/>
          <w:color w:val="FF0000"/>
          <w:lang w:eastAsia="en-US"/>
        </w:rPr>
        <w:t>) or Clause 29</w:t>
      </w:r>
      <w:r w:rsidR="00195E90" w:rsidRPr="00815D6B">
        <w:rPr>
          <w:rFonts w:ascii="TimesNewRomanPSMT" w:hAnsi="TimesNewRomanPSMT"/>
          <w:color w:val="FF0000"/>
          <w:lang w:eastAsia="en-US"/>
        </w:rPr>
        <w:t xml:space="preserve"> (</w:t>
      </w:r>
      <w:r w:rsidR="00D00C9B" w:rsidRPr="00815D6B">
        <w:rPr>
          <w:rFonts w:ascii="TimesNewRomanPSMT" w:hAnsi="TimesNewRomanPSMT"/>
          <w:color w:val="FF0000"/>
          <w:lang w:eastAsia="en-US"/>
        </w:rPr>
        <w:t>Enhanced directional multi-gigabit (EDMG) PHY specification</w:t>
      </w:r>
      <w:r w:rsidR="00195E90" w:rsidRPr="00815D6B">
        <w:rPr>
          <w:rFonts w:ascii="TimesNewRomanPSMT" w:hAnsi="TimesNewRomanPSMT"/>
          <w:color w:val="FF0000"/>
          <w:lang w:eastAsia="en-US"/>
        </w:rPr>
        <w:t>) rates and waveforms,</w:t>
      </w:r>
      <w:r w:rsidR="00D00C9B" w:rsidRPr="00815D6B">
        <w:rPr>
          <w:rFonts w:ascii="TimesNewRomanPSMT" w:hAnsi="TimesNewRomanPSMT"/>
          <w:color w:val="FF0000"/>
          <w:lang w:eastAsia="en-US"/>
        </w:rPr>
        <w:t xml:space="preserve"> s</w:t>
      </w:r>
      <w:r w:rsidRPr="00815D6B">
        <w:rPr>
          <w:rFonts w:ascii="TimesNewRomanPSMT" w:hAnsi="TimesNewRomanPSMT"/>
          <w:color w:val="FF0000"/>
          <w:lang w:eastAsia="en-US"/>
        </w:rPr>
        <w:t>o all STAs in the BSA are able to learn the</w:t>
      </w:r>
      <w:r w:rsidR="00195E90" w:rsidRPr="00815D6B">
        <w:rPr>
          <w:rFonts w:ascii="TimesNewRomanPSMT" w:hAnsi="TimesNewRomanPSMT"/>
          <w:color w:val="FF0000"/>
          <w:lang w:eastAsia="en-US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 xml:space="preserve">duration of the exchange even if they cannot detect the </w:t>
      </w:r>
      <w:r w:rsidR="00195E90" w:rsidRPr="00815D6B">
        <w:rPr>
          <w:rFonts w:ascii="TimesNewRomanPSMT" w:hAnsi="TimesNewRomanPSMT"/>
          <w:color w:val="FF0000"/>
          <w:lang w:eastAsia="en-US"/>
        </w:rPr>
        <w:t>EDMG</w:t>
      </w:r>
      <w:r w:rsidRPr="00815D6B">
        <w:rPr>
          <w:rFonts w:ascii="TimesNewRomanPSMT" w:hAnsi="TimesNewRomanPSMT"/>
          <w:color w:val="FF0000"/>
          <w:lang w:eastAsia="en-US"/>
        </w:rPr>
        <w:t xml:space="preserve"> signals using their CCA function.</w:t>
      </w:r>
    </w:p>
    <w:p w14:paraId="046E0B00" w14:textId="4A93A7C4" w:rsidR="00195E90" w:rsidRPr="00815D6B" w:rsidRDefault="00195E90" w:rsidP="00195E90">
      <w:pPr>
        <w:pStyle w:val="IEEEStdsParagraph"/>
        <w:rPr>
          <w:rFonts w:ascii="TimesNewRomanPSMT" w:hAnsi="TimesNewRomanPSMT" w:hint="eastAsia"/>
          <w:color w:val="FF0000"/>
          <w:lang w:eastAsia="en-US"/>
        </w:rPr>
      </w:pPr>
      <w:r w:rsidRPr="00815D6B">
        <w:rPr>
          <w:rFonts w:ascii="TimesNewRomanPSMT" w:hAnsi="TimesNewRomanPSMT"/>
          <w:color w:val="FF0000"/>
          <w:lang w:eastAsia="en-US"/>
        </w:rPr>
        <w:t xml:space="preserve">In the case of a BSS composed of only </w:t>
      </w:r>
      <w:r w:rsidR="00D00C9B" w:rsidRPr="00815D6B">
        <w:rPr>
          <w:rFonts w:ascii="TimesNewRomanPSMT" w:hAnsi="TimesNewRomanPSMT"/>
          <w:color w:val="FF0000"/>
          <w:lang w:eastAsia="en-US"/>
        </w:rPr>
        <w:t>EDMG</w:t>
      </w:r>
      <w:r w:rsidRPr="00815D6B">
        <w:rPr>
          <w:rFonts w:ascii="TimesNewRomanPSMT" w:hAnsi="TimesNewRomanPSMT"/>
          <w:color w:val="FF0000"/>
          <w:lang w:eastAsia="en-US"/>
        </w:rPr>
        <w:t xml:space="preserve"> STAs, but with knowledge </w:t>
      </w:r>
      <w:r w:rsidR="00D00C9B" w:rsidRPr="00815D6B">
        <w:rPr>
          <w:rFonts w:ascii="TimesNewRomanPSMT" w:hAnsi="TimesNewRomanPSMT"/>
          <w:color w:val="FF0000"/>
          <w:lang w:eastAsia="en-US"/>
        </w:rPr>
        <w:t>of a neighboring co-channel BSS</w:t>
      </w:r>
      <w:r w:rsidR="00D00C9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="00D00C9B" w:rsidRPr="00815D6B">
        <w:rPr>
          <w:rFonts w:ascii="TimesNewRomanPSMT" w:hAnsi="TimesNewRomanPSMT"/>
          <w:color w:val="FF0000"/>
          <w:lang w:eastAsia="en-US"/>
        </w:rPr>
        <w:t>having Non-EDMG</w:t>
      </w:r>
      <w:r w:rsidRPr="00815D6B">
        <w:rPr>
          <w:rFonts w:ascii="TimesNewRomanPSMT" w:hAnsi="TimesNewRomanPSMT"/>
          <w:color w:val="FF0000"/>
          <w:lang w:eastAsia="en-US"/>
        </w:rPr>
        <w:t xml:space="preserve"> traffic, the AP might need protection mechanisms to</w:t>
      </w:r>
      <w:r w:rsidR="00D00C9B" w:rsidRPr="00815D6B">
        <w:rPr>
          <w:rFonts w:ascii="TimesNewRomanPSMT" w:hAnsi="TimesNewRomanPSMT"/>
          <w:color w:val="FF0000"/>
          <w:lang w:eastAsia="en-US"/>
        </w:rPr>
        <w:t xml:space="preserve"> protect the BSS’s traffic from</w:t>
      </w:r>
      <w:r w:rsidR="00D00C9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>interference. This provides propagation of NAV to all attached STAs and all S</w:t>
      </w:r>
      <w:r w:rsidR="00D00C9B" w:rsidRPr="00815D6B">
        <w:rPr>
          <w:rFonts w:ascii="TimesNewRomanPSMT" w:hAnsi="TimesNewRomanPSMT"/>
          <w:color w:val="FF0000"/>
          <w:lang w:eastAsia="en-US"/>
        </w:rPr>
        <w:t>TAs in a neighboring co-channel</w:t>
      </w:r>
      <w:r w:rsidR="00D00C9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 xml:space="preserve">BSS within range by messages sent using rates contained in the </w:t>
      </w:r>
      <w:proofErr w:type="spellStart"/>
      <w:r w:rsidR="00D00C9B" w:rsidRPr="00815D6B">
        <w:rPr>
          <w:rFonts w:ascii="TimesNewRomanPSMT" w:hAnsi="TimesNewRomanPSMT"/>
          <w:color w:val="FF0000"/>
          <w:lang w:eastAsia="en-US"/>
        </w:rPr>
        <w:t>OperationalRateSet</w:t>
      </w:r>
      <w:proofErr w:type="spellEnd"/>
      <w:r w:rsidR="00D00C9B" w:rsidRPr="00815D6B">
        <w:rPr>
          <w:rFonts w:ascii="TimesNewRomanPSMT" w:hAnsi="TimesNewRomanPSMT"/>
          <w:color w:val="FF0000"/>
          <w:lang w:eastAsia="en-US"/>
        </w:rPr>
        <w:t>. The frames that</w:t>
      </w:r>
      <w:r w:rsidR="00D00C9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>propagate the NAV throughout the BSS include RTS/</w:t>
      </w:r>
      <w:r w:rsidR="00D00C9B" w:rsidRPr="00815D6B">
        <w:rPr>
          <w:rFonts w:ascii="TimesNewRomanPSMT" w:hAnsi="TimesNewRomanPSMT"/>
          <w:color w:val="FF0000"/>
          <w:lang w:eastAsia="en-US"/>
        </w:rPr>
        <w:t xml:space="preserve">DMG </w:t>
      </w:r>
      <w:r w:rsidRPr="00815D6B">
        <w:rPr>
          <w:rFonts w:ascii="TimesNewRomanPSMT" w:hAnsi="TimesNewRomanPSMT"/>
          <w:color w:val="FF0000"/>
          <w:lang w:eastAsia="en-US"/>
        </w:rPr>
        <w:t>CTS/</w:t>
      </w:r>
      <w:proofErr w:type="spellStart"/>
      <w:r w:rsidRPr="00815D6B">
        <w:rPr>
          <w:rFonts w:ascii="TimesNewRomanPSMT" w:hAnsi="TimesNewRomanPSMT"/>
          <w:color w:val="FF0000"/>
          <w:lang w:eastAsia="en-US"/>
        </w:rPr>
        <w:t>Ack</w:t>
      </w:r>
      <w:proofErr w:type="spellEnd"/>
      <w:r w:rsidRPr="00815D6B">
        <w:rPr>
          <w:rFonts w:ascii="TimesNewRomanPSMT" w:hAnsi="TimesNewRomanPSMT"/>
          <w:color w:val="FF0000"/>
          <w:lang w:eastAsia="en-US"/>
        </w:rPr>
        <w:t xml:space="preserve"> frames</w:t>
      </w:r>
      <w:r w:rsidR="00D00C9B" w:rsidRPr="00815D6B">
        <w:rPr>
          <w:rFonts w:ascii="TimesNewRomanPSMT" w:hAnsi="TimesNewRomanPSMT"/>
          <w:color w:val="FF0000"/>
          <w:lang w:eastAsia="en-US"/>
        </w:rPr>
        <w:t>, all Data frames with the More</w:t>
      </w:r>
      <w:r w:rsidR="00D00C9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>Fragments field equal to 1, all Data or Management frames sent in respons</w:t>
      </w:r>
      <w:r w:rsidR="00D00C9B" w:rsidRPr="00815D6B">
        <w:rPr>
          <w:rFonts w:ascii="TimesNewRomanPSMT" w:hAnsi="TimesNewRomanPSMT"/>
          <w:color w:val="FF0000"/>
          <w:lang w:eastAsia="en-US"/>
        </w:rPr>
        <w:t>e to PS-Poll frame that are not</w:t>
      </w:r>
      <w:r w:rsidR="00D00C9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>proceeded in the frame exchange sequence by a Data frame with the M</w:t>
      </w:r>
      <w:r w:rsidR="00D00C9B" w:rsidRPr="00815D6B">
        <w:rPr>
          <w:rFonts w:ascii="TimesNewRomanPSMT" w:hAnsi="TimesNewRomanPSMT"/>
          <w:color w:val="FF0000"/>
          <w:lang w:eastAsia="en-US"/>
        </w:rPr>
        <w:t>ore Fragments field equal to 1,</w:t>
      </w:r>
      <w:r w:rsidR="00D00C9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>CF-End frames, and CF-End +CF-</w:t>
      </w:r>
      <w:proofErr w:type="spellStart"/>
      <w:r w:rsidRPr="00815D6B">
        <w:rPr>
          <w:rFonts w:ascii="TimesNewRomanPSMT" w:hAnsi="TimesNewRomanPSMT"/>
          <w:color w:val="FF0000"/>
          <w:lang w:eastAsia="en-US"/>
        </w:rPr>
        <w:t>Ack</w:t>
      </w:r>
      <w:proofErr w:type="spellEnd"/>
      <w:r w:rsidRPr="00815D6B">
        <w:rPr>
          <w:rFonts w:ascii="TimesNewRomanPSMT" w:hAnsi="TimesNewRomanPSMT"/>
          <w:color w:val="FF0000"/>
          <w:lang w:eastAsia="en-US"/>
        </w:rPr>
        <w:t xml:space="preserve"> frames.</w:t>
      </w:r>
    </w:p>
    <w:p w14:paraId="6D820E94" w14:textId="6C903754" w:rsidR="00195E90" w:rsidRPr="00815D6B" w:rsidRDefault="00195E90" w:rsidP="00195E90">
      <w:pPr>
        <w:pStyle w:val="IEEEStdsParagraph"/>
        <w:rPr>
          <w:rFonts w:ascii="TimesNewRomanPSMT" w:hAnsi="TimesNewRomanPSMT" w:hint="eastAsia"/>
          <w:color w:val="FF0000"/>
          <w:lang w:eastAsia="en-US"/>
        </w:rPr>
      </w:pPr>
      <w:r w:rsidRPr="00815D6B">
        <w:rPr>
          <w:rFonts w:ascii="TimesNewRomanPSMT" w:hAnsi="TimesNewRomanPSMT"/>
          <w:color w:val="FF0000"/>
          <w:lang w:eastAsia="en-US"/>
        </w:rPr>
        <w:t>When RTS/</w:t>
      </w:r>
      <w:r w:rsidR="00D00C9B" w:rsidRPr="00815D6B">
        <w:rPr>
          <w:rFonts w:ascii="TimesNewRomanPSMT" w:hAnsi="TimesNewRomanPSMT"/>
          <w:color w:val="FF0000"/>
          <w:lang w:eastAsia="en-US"/>
        </w:rPr>
        <w:t xml:space="preserve">DMG </w:t>
      </w:r>
      <w:r w:rsidRPr="00815D6B">
        <w:rPr>
          <w:rFonts w:ascii="TimesNewRomanPSMT" w:hAnsi="TimesNewRomanPSMT"/>
          <w:color w:val="FF0000"/>
          <w:lang w:eastAsia="en-US"/>
        </w:rPr>
        <w:t>CTS is used as the protection mechanism, cases exist such as N</w:t>
      </w:r>
      <w:r w:rsidR="00D00C9B" w:rsidRPr="00815D6B">
        <w:rPr>
          <w:rFonts w:ascii="TimesNewRomanPSMT" w:hAnsi="TimesNewRomanPSMT"/>
          <w:color w:val="FF0000"/>
          <w:lang w:eastAsia="en-US"/>
        </w:rPr>
        <w:t>AV resetting (discretionary, as</w:t>
      </w:r>
      <w:r w:rsidR="00D00C9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>indicated in 10.3.2.4 (Setting and resetting the NAV)), where a hidden STA may reset its NAV and this might</w:t>
      </w:r>
      <w:r w:rsidR="00815D6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="000C1C70">
        <w:rPr>
          <w:rFonts w:ascii="TimesNewRomanPSMT" w:hAnsi="TimesNewRomanPSMT" w:hint="eastAsia"/>
          <w:color w:val="FF0000"/>
          <w:lang w:eastAsia="ko-KR"/>
        </w:rPr>
        <w:t>c</w:t>
      </w:r>
      <w:r w:rsidR="00D00C9B" w:rsidRPr="00815D6B">
        <w:rPr>
          <w:rFonts w:ascii="TimesNewRomanPSMT" w:hAnsi="TimesNewRomanPSMT"/>
          <w:color w:val="FF0000"/>
          <w:lang w:eastAsia="en-US"/>
        </w:rPr>
        <w:t>ause</w:t>
      </w:r>
      <w:r w:rsidRPr="00815D6B">
        <w:rPr>
          <w:rFonts w:ascii="TimesNewRomanPSMT" w:hAnsi="TimesNewRomanPSMT"/>
          <w:color w:val="FF0000"/>
          <w:lang w:eastAsia="en-US"/>
        </w:rPr>
        <w:t xml:space="preserve"> a collision. The likelihood of occurrence is low, and it is not considered to represent a signific</w:t>
      </w:r>
      <w:r w:rsidR="00815D6B" w:rsidRPr="00815D6B">
        <w:rPr>
          <w:rFonts w:ascii="TimesNewRomanPSMT" w:hAnsi="TimesNewRomanPSMT"/>
          <w:color w:val="FF0000"/>
          <w:lang w:eastAsia="en-US"/>
        </w:rPr>
        <w:t>ant</w:t>
      </w:r>
      <w:r w:rsidR="00815D6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>impairment to overall system operation. A mechanism to address this pos</w:t>
      </w:r>
      <w:r w:rsidR="00815D6B" w:rsidRPr="00815D6B">
        <w:rPr>
          <w:rFonts w:ascii="TimesNewRomanPSMT" w:hAnsi="TimesNewRomanPSMT"/>
          <w:color w:val="FF0000"/>
          <w:lang w:eastAsia="en-US"/>
        </w:rPr>
        <w:t>sible situation would be to use</w:t>
      </w:r>
      <w:r w:rsidR="00815D6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Pr="00815D6B">
        <w:rPr>
          <w:rFonts w:ascii="TimesNewRomanPSMT" w:hAnsi="TimesNewRomanPSMT"/>
          <w:color w:val="FF0000"/>
          <w:lang w:eastAsia="en-US"/>
        </w:rPr>
        <w:t>alternative protection mechanisms or to revert to alternative modulation methods.</w:t>
      </w:r>
    </w:p>
    <w:p w14:paraId="3E20DD5D" w14:textId="7248560B" w:rsidR="00EC5DE4" w:rsidRPr="00815D6B" w:rsidRDefault="00195E90" w:rsidP="00195E90">
      <w:pPr>
        <w:pStyle w:val="IEEEStdsParagraph"/>
        <w:rPr>
          <w:rFonts w:ascii="TimesNewRomanPSMT" w:hAnsi="TimesNewRomanPSMT" w:hint="eastAsia"/>
          <w:color w:val="FF0000"/>
          <w:lang w:eastAsia="en-US"/>
        </w:rPr>
      </w:pPr>
      <w:r w:rsidRPr="00815D6B">
        <w:rPr>
          <w:rFonts w:ascii="TimesNewRomanPSMT" w:hAnsi="TimesNewRomanPSMT"/>
          <w:color w:val="FF0000"/>
          <w:lang w:eastAsia="en-US"/>
        </w:rPr>
        <w:t>The rules for calculating RTS/</w:t>
      </w:r>
      <w:r w:rsidR="00815D6B" w:rsidRPr="00815D6B">
        <w:rPr>
          <w:rFonts w:ascii="TimesNewRomanPSMT" w:hAnsi="TimesNewRomanPSMT"/>
          <w:color w:val="FF0000"/>
          <w:lang w:eastAsia="en-US"/>
        </w:rPr>
        <w:t xml:space="preserve">DMG </w:t>
      </w:r>
      <w:r w:rsidRPr="00815D6B">
        <w:rPr>
          <w:rFonts w:ascii="TimesNewRomanPSMT" w:hAnsi="TimesNewRomanPSMT"/>
          <w:color w:val="FF0000"/>
          <w:lang w:eastAsia="en-US"/>
        </w:rPr>
        <w:t>CTS NAV fields are unchanged when using RTS/</w:t>
      </w:r>
      <w:r w:rsidR="00815D6B" w:rsidRPr="00815D6B">
        <w:rPr>
          <w:rFonts w:ascii="TimesNewRomanPSMT" w:hAnsi="TimesNewRomanPSMT"/>
          <w:color w:val="FF0000"/>
          <w:lang w:eastAsia="en-US"/>
        </w:rPr>
        <w:t>DMG CTS as a protection</w:t>
      </w:r>
      <w:r w:rsidR="00815D6B" w:rsidRPr="00815D6B">
        <w:rPr>
          <w:rFonts w:ascii="TimesNewRomanPSMT" w:hAnsi="TimesNewRomanPSMT" w:hint="eastAsia"/>
          <w:color w:val="FF0000"/>
          <w:lang w:eastAsia="ko-KR"/>
        </w:rPr>
        <w:t xml:space="preserve"> </w:t>
      </w:r>
      <w:r w:rsidR="00815D6B" w:rsidRPr="00815D6B">
        <w:rPr>
          <w:rFonts w:ascii="TimesNewRomanPSMT" w:hAnsi="TimesNewRomanPSMT"/>
          <w:color w:val="FF0000"/>
          <w:lang w:eastAsia="en-US"/>
        </w:rPr>
        <w:t>mechanism.</w:t>
      </w:r>
    </w:p>
    <w:p w14:paraId="40CC4FDA" w14:textId="454187C4" w:rsidR="00EC5DE4" w:rsidRPr="00815D6B" w:rsidRDefault="00EC5DE4" w:rsidP="00EC5DE4">
      <w:pPr>
        <w:pStyle w:val="IEEEStdsParagraph"/>
        <w:rPr>
          <w:rFonts w:ascii="TimesNewRomanPSMT" w:hAnsi="TimesNewRomanPSMT" w:hint="eastAsia"/>
          <w:color w:val="FF0000"/>
          <w:lang w:eastAsia="en-US"/>
        </w:rPr>
      </w:pPr>
      <w:r w:rsidRPr="00815D6B">
        <w:rPr>
          <w:rFonts w:ascii="TimesNewRomanPSMT" w:hAnsi="TimesNewRomanPSMT"/>
          <w:color w:val="FF0000"/>
          <w:lang w:eastAsia="en-US"/>
        </w:rPr>
        <w:lastRenderedPageBreak/>
        <w:t>Control frames such as RTS/</w:t>
      </w:r>
      <w:r w:rsidR="00815D6B" w:rsidRPr="00815D6B">
        <w:rPr>
          <w:rFonts w:ascii="TimesNewRomanPSMT" w:hAnsi="TimesNewRomanPSMT"/>
          <w:color w:val="FF0000"/>
          <w:lang w:eastAsia="en-US"/>
        </w:rPr>
        <w:t xml:space="preserve">DMG </w:t>
      </w:r>
      <w:r w:rsidRPr="00815D6B">
        <w:rPr>
          <w:rFonts w:ascii="TimesNewRomanPSMT" w:hAnsi="TimesNewRomanPSMT"/>
          <w:color w:val="FF0000"/>
          <w:lang w:eastAsia="en-US"/>
        </w:rPr>
        <w:t xml:space="preserve">CTS or </w:t>
      </w:r>
      <w:r w:rsidR="00815D6B" w:rsidRPr="00815D6B">
        <w:rPr>
          <w:rFonts w:ascii="TimesNewRomanPSMT" w:hAnsi="TimesNewRomanPSMT"/>
          <w:color w:val="FF0000"/>
          <w:lang w:eastAsia="en-US"/>
        </w:rPr>
        <w:t>DMG CTS-to-self prior to the EDMG</w:t>
      </w:r>
      <w:r w:rsidRPr="00815D6B">
        <w:rPr>
          <w:rFonts w:ascii="TimesNewRomanPSMT" w:hAnsi="TimesNewRomanPSMT"/>
          <w:color w:val="FF0000"/>
          <w:lang w:eastAsia="en-US"/>
        </w:rPr>
        <w:t xml:space="preserve"> transmissions:</w:t>
      </w:r>
    </w:p>
    <w:p w14:paraId="57AE1C65" w14:textId="77777777" w:rsidR="00815D6B" w:rsidRPr="00815D6B" w:rsidRDefault="00EC5DE4" w:rsidP="00815D6B">
      <w:pPr>
        <w:pStyle w:val="IEEEStdsParagraph"/>
        <w:rPr>
          <w:rFonts w:ascii="TimesNewRomanPSMT" w:hAnsi="TimesNewRomanPSMT" w:hint="eastAsia"/>
          <w:color w:val="FF0000"/>
          <w:lang w:eastAsia="en-US"/>
        </w:rPr>
      </w:pPr>
      <w:r w:rsidRPr="00815D6B">
        <w:rPr>
          <w:rFonts w:ascii="TimesNewRomanPSMT" w:hAnsi="TimesNewRomanPSMT" w:hint="eastAsia"/>
          <w:color w:val="FF0000"/>
          <w:lang w:eastAsia="en-US"/>
        </w:rPr>
        <w:t>—</w:t>
      </w:r>
      <w:r w:rsidR="00815D6B" w:rsidRPr="00815D6B">
        <w:rPr>
          <w:rFonts w:ascii="TimesNewRomanPSMT" w:hAnsi="TimesNewRomanPSMT"/>
          <w:color w:val="FF0000"/>
          <w:lang w:eastAsia="en-US"/>
        </w:rPr>
        <w:t xml:space="preserve"> 2.16GHz</w:t>
      </w:r>
      <w:r w:rsidRPr="00815D6B">
        <w:rPr>
          <w:rFonts w:ascii="TimesNewRomanPSMT" w:hAnsi="TimesNewRomanPSMT"/>
          <w:color w:val="FF0000"/>
          <w:lang w:eastAsia="en-US"/>
        </w:rPr>
        <w:t xml:space="preserve"> transmissions use the rates defined in </w:t>
      </w:r>
      <w:r w:rsidR="00815D6B" w:rsidRPr="00815D6B">
        <w:rPr>
          <w:rFonts w:ascii="TimesNewRomanPSMT" w:hAnsi="TimesNewRomanPSMT"/>
          <w:color w:val="FF0000"/>
          <w:lang w:eastAsia="en-US"/>
        </w:rPr>
        <w:t xml:space="preserve">Clause 20 (Directional multi-gigabit (DMG) PHY specification) </w:t>
      </w:r>
    </w:p>
    <w:p w14:paraId="5313CE26" w14:textId="27B25988" w:rsidR="00EC5DE4" w:rsidRPr="00815D6B" w:rsidRDefault="00EC5DE4" w:rsidP="00815D6B">
      <w:pPr>
        <w:pStyle w:val="IEEEStdsParagraph"/>
        <w:rPr>
          <w:rFonts w:ascii="TimesNewRomanPSMT" w:hAnsi="TimesNewRomanPSMT" w:hint="eastAsia"/>
          <w:color w:val="FF0000"/>
          <w:lang w:eastAsia="en-US"/>
        </w:rPr>
      </w:pPr>
      <w:r w:rsidRPr="00815D6B">
        <w:rPr>
          <w:rFonts w:ascii="TimesNewRomanPSMT" w:hAnsi="TimesNewRomanPSMT" w:hint="eastAsia"/>
          <w:color w:val="FF0000"/>
          <w:lang w:eastAsia="en-US"/>
        </w:rPr>
        <w:t>—</w:t>
      </w:r>
      <w:r w:rsidRPr="00815D6B">
        <w:rPr>
          <w:rFonts w:ascii="TimesNewRomanPSMT" w:hAnsi="TimesNewRomanPSMT"/>
          <w:color w:val="FF0000"/>
          <w:lang w:eastAsia="en-US"/>
        </w:rPr>
        <w:t xml:space="preserve"> </w:t>
      </w:r>
      <w:r w:rsidR="00815D6B" w:rsidRPr="00815D6B">
        <w:rPr>
          <w:rFonts w:ascii="TimesNewRomanPSMT" w:hAnsi="TimesNewRomanPSMT"/>
          <w:color w:val="FF0000"/>
          <w:lang w:eastAsia="en-US"/>
        </w:rPr>
        <w:t>4.32 GHz, 6.48GHz, 8.64GHz, 2.16+2.16GHz, and 4.32+4.32GHz transmissions</w:t>
      </w:r>
      <w:r w:rsidR="00815D6B" w:rsidRPr="00815D6B">
        <w:rPr>
          <w:color w:val="FF0000"/>
          <w:sz w:val="24"/>
          <w:szCs w:val="24"/>
          <w:lang w:eastAsia="en-US"/>
        </w:rPr>
        <w:t xml:space="preserve"> </w:t>
      </w:r>
      <w:r w:rsidR="006B78BB">
        <w:rPr>
          <w:rFonts w:ascii="TimesNewRomanPSMT" w:hAnsi="TimesNewRomanPSMT"/>
          <w:color w:val="FF0000"/>
          <w:lang w:eastAsia="en-US"/>
        </w:rPr>
        <w:t>use non-EDMG</w:t>
      </w:r>
      <w:r w:rsidRPr="00815D6B">
        <w:rPr>
          <w:rFonts w:ascii="TimesNewRomanPSMT" w:hAnsi="TimesNewRomanPSMT"/>
          <w:color w:val="FF0000"/>
          <w:lang w:eastAsia="en-US"/>
        </w:rPr>
        <w:t xml:space="preserve"> duplicate frames defined in </w:t>
      </w:r>
      <w:r w:rsidR="00815D6B" w:rsidRPr="00815D6B">
        <w:rPr>
          <w:rFonts w:ascii="TimesNewRomanPSMT" w:hAnsi="TimesNewRomanPSMT"/>
          <w:color w:val="FF0000"/>
          <w:lang w:eastAsia="en-US"/>
        </w:rPr>
        <w:t>Clause 29 (Enhanced directional multi-gigabit (EDMG) PHY specification)</w:t>
      </w:r>
    </w:p>
    <w:p w14:paraId="5B2A33D7" w14:textId="77777777" w:rsidR="00782EC3" w:rsidRDefault="00782EC3" w:rsidP="002217BA">
      <w:pPr>
        <w:pStyle w:val="IEEEStdsParagraph"/>
        <w:rPr>
          <w:lang w:eastAsia="ko-KR"/>
        </w:rPr>
      </w:pPr>
    </w:p>
    <w:p w14:paraId="48E33D3E" w14:textId="77777777" w:rsidR="00815D6B" w:rsidRPr="00815D6B" w:rsidRDefault="00815D6B" w:rsidP="002217BA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DA3689" w:rsidRPr="007E0FC3" w14:paraId="6616902E" w14:textId="77777777" w:rsidTr="00DA09A8">
        <w:trPr>
          <w:trHeight w:val="416"/>
        </w:trPr>
        <w:tc>
          <w:tcPr>
            <w:tcW w:w="668" w:type="dxa"/>
            <w:hideMark/>
          </w:tcPr>
          <w:p w14:paraId="03713606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CID</w:t>
            </w:r>
          </w:p>
        </w:tc>
        <w:tc>
          <w:tcPr>
            <w:tcW w:w="948" w:type="dxa"/>
            <w:hideMark/>
          </w:tcPr>
          <w:p w14:paraId="2932400D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07CFEB39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4E7F9B89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107EA898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DA3689" w:rsidRPr="007E0FC3" w14:paraId="3747876E" w14:textId="77777777" w:rsidTr="00DA09A8">
        <w:trPr>
          <w:trHeight w:val="1370"/>
        </w:trPr>
        <w:tc>
          <w:tcPr>
            <w:tcW w:w="668" w:type="dxa"/>
            <w:hideMark/>
          </w:tcPr>
          <w:p w14:paraId="0AA62110" w14:textId="437DC404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67199D">
              <w:t>2185</w:t>
            </w:r>
          </w:p>
        </w:tc>
        <w:tc>
          <w:tcPr>
            <w:tcW w:w="948" w:type="dxa"/>
            <w:hideMark/>
          </w:tcPr>
          <w:p w14:paraId="224F08F4" w14:textId="02B34C16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67199D">
              <w:t>145.18</w:t>
            </w:r>
          </w:p>
        </w:tc>
        <w:tc>
          <w:tcPr>
            <w:tcW w:w="1216" w:type="dxa"/>
            <w:hideMark/>
          </w:tcPr>
          <w:p w14:paraId="4D173D93" w14:textId="7EC29DC3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67199D">
              <w:t>10.36.11.5</w:t>
            </w:r>
          </w:p>
        </w:tc>
        <w:tc>
          <w:tcPr>
            <w:tcW w:w="2320" w:type="dxa"/>
            <w:hideMark/>
          </w:tcPr>
          <w:p w14:paraId="0FA20E71" w14:textId="122D58CD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67199D">
              <w:t>The text describes access to the A-BFT or the DTI.  DTI is not shown in Figure 93. Update the figure or remove DTI from text.</w:t>
            </w:r>
          </w:p>
        </w:tc>
        <w:tc>
          <w:tcPr>
            <w:tcW w:w="3864" w:type="dxa"/>
            <w:hideMark/>
          </w:tcPr>
          <w:p w14:paraId="5710B6F4" w14:textId="56EEEA78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67199D">
              <w:t>Fix as commented.</w:t>
            </w:r>
          </w:p>
        </w:tc>
      </w:tr>
    </w:tbl>
    <w:p w14:paraId="573EB6B0" w14:textId="77777777" w:rsidR="00DC6BE2" w:rsidRDefault="00DC6BE2" w:rsidP="00082C03">
      <w:pPr>
        <w:pStyle w:val="IEEEStdsParagraph"/>
        <w:rPr>
          <w:lang w:eastAsia="ko-KR"/>
        </w:rPr>
      </w:pPr>
    </w:p>
    <w:p w14:paraId="5D889A52" w14:textId="0FA7868C" w:rsidR="00DA3689" w:rsidRDefault="00DA3689" w:rsidP="00DA3689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reject</w:t>
      </w:r>
    </w:p>
    <w:p w14:paraId="5C952E94" w14:textId="77777777" w:rsidR="00DA3689" w:rsidRDefault="00DA3689" w:rsidP="00DA3689">
      <w:pPr>
        <w:pStyle w:val="IEEEStdsParagraph"/>
        <w:rPr>
          <w:b/>
          <w:lang w:eastAsia="ko-KR"/>
        </w:rPr>
      </w:pPr>
    </w:p>
    <w:p w14:paraId="6228C818" w14:textId="77777777" w:rsidR="00DA3689" w:rsidRDefault="00DA3689" w:rsidP="00DA3689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47F3C344" w14:textId="34FE984F" w:rsidR="00DA3689" w:rsidRPr="00377869" w:rsidRDefault="001F2585" w:rsidP="00DA3689">
      <w:pPr>
        <w:pStyle w:val="IEEEStdsParagraph"/>
        <w:rPr>
          <w:lang w:eastAsia="ko-KR"/>
        </w:rPr>
      </w:pPr>
      <w:r>
        <w:rPr>
          <w:lang w:eastAsia="ko-KR"/>
        </w:rPr>
        <w:t xml:space="preserve">According to </w:t>
      </w:r>
      <w:r w:rsidR="00934D84">
        <w:rPr>
          <w:lang w:eastAsia="ko-KR"/>
        </w:rPr>
        <w:t>the figure 93 (Example behavior for “Near-Fa” self-classification), the box with “Access” means the channel access for DTI.</w:t>
      </w:r>
    </w:p>
    <w:p w14:paraId="3EE4A72C" w14:textId="77777777" w:rsidR="00DA3689" w:rsidRDefault="00DA3689" w:rsidP="00082C03">
      <w:pPr>
        <w:pStyle w:val="IEEEStdsParagraph"/>
        <w:rPr>
          <w:lang w:eastAsia="ko-KR"/>
        </w:rPr>
      </w:pPr>
    </w:p>
    <w:p w14:paraId="47FE9EE1" w14:textId="77777777" w:rsidR="005B0474" w:rsidRDefault="005B0474" w:rsidP="00082C03">
      <w:pPr>
        <w:pStyle w:val="IEEEStdsParagraph"/>
        <w:rPr>
          <w:rFonts w:hint="eastAsia"/>
          <w:lang w:eastAsia="ko-KR"/>
        </w:rPr>
      </w:pPr>
    </w:p>
    <w:p w14:paraId="64EE1BEC" w14:textId="77777777" w:rsidR="00DA3689" w:rsidRPr="00DA3689" w:rsidRDefault="00DA3689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3542"/>
        <w:gridCol w:w="2642"/>
      </w:tblGrid>
      <w:tr w:rsidR="00DA3689" w:rsidRPr="007E0FC3" w14:paraId="13C67B0F" w14:textId="77777777" w:rsidTr="00DF4338">
        <w:trPr>
          <w:trHeight w:val="416"/>
        </w:trPr>
        <w:tc>
          <w:tcPr>
            <w:tcW w:w="668" w:type="dxa"/>
            <w:hideMark/>
          </w:tcPr>
          <w:p w14:paraId="382428E9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CID</w:t>
            </w:r>
          </w:p>
        </w:tc>
        <w:tc>
          <w:tcPr>
            <w:tcW w:w="948" w:type="dxa"/>
            <w:hideMark/>
          </w:tcPr>
          <w:p w14:paraId="5E4247D6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2FCACABD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3542" w:type="dxa"/>
            <w:hideMark/>
          </w:tcPr>
          <w:p w14:paraId="11D08104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2642" w:type="dxa"/>
            <w:hideMark/>
          </w:tcPr>
          <w:p w14:paraId="06F22D74" w14:textId="77777777" w:rsidR="00DA3689" w:rsidRPr="007E0FC3" w:rsidRDefault="00DA3689" w:rsidP="00DA09A8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DA3689" w:rsidRPr="007E0FC3" w14:paraId="602E82F7" w14:textId="77777777" w:rsidTr="00DF4338">
        <w:trPr>
          <w:trHeight w:val="1370"/>
        </w:trPr>
        <w:tc>
          <w:tcPr>
            <w:tcW w:w="668" w:type="dxa"/>
            <w:hideMark/>
          </w:tcPr>
          <w:p w14:paraId="406B9F9A" w14:textId="16BADB31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3D29B0">
              <w:t>2223</w:t>
            </w:r>
          </w:p>
        </w:tc>
        <w:tc>
          <w:tcPr>
            <w:tcW w:w="948" w:type="dxa"/>
            <w:hideMark/>
          </w:tcPr>
          <w:p w14:paraId="7BD6B6C6" w14:textId="1B2FF56F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3D29B0">
              <w:t>137.21</w:t>
            </w:r>
          </w:p>
        </w:tc>
        <w:tc>
          <w:tcPr>
            <w:tcW w:w="1216" w:type="dxa"/>
            <w:hideMark/>
          </w:tcPr>
          <w:p w14:paraId="772ED658" w14:textId="5E5DE116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3D29B0">
              <w:t>10.36.11.2.1</w:t>
            </w:r>
          </w:p>
        </w:tc>
        <w:tc>
          <w:tcPr>
            <w:tcW w:w="3542" w:type="dxa"/>
            <w:hideMark/>
          </w:tcPr>
          <w:p w14:paraId="2476CCA9" w14:textId="77777777" w:rsidR="00DF4338" w:rsidRDefault="00DA3689" w:rsidP="00DA3689">
            <w:pPr>
              <w:pStyle w:val="IEEEStdsParagraph"/>
              <w:rPr>
                <w:lang w:eastAsia="ko-KR"/>
              </w:rPr>
            </w:pPr>
            <w:r>
              <w:t xml:space="preserve">"In this case, the PPDU that reduces the occupied bandwidth shall not be a non-EDMG PPDU for which the RXVECTOR of the PPDU indicates the estimated channel bandwidth but no other indication of the occupied channel bandwidth </w:t>
            </w:r>
            <w:r w:rsidR="00DF4338">
              <w:t>of non-EDMG PPDU is indicated."</w:t>
            </w:r>
            <w:r w:rsidR="00DF4338">
              <w:rPr>
                <w:rFonts w:hint="eastAsia"/>
                <w:lang w:eastAsia="ko-KR"/>
              </w:rPr>
              <w:t xml:space="preserve"> </w:t>
            </w:r>
          </w:p>
          <w:p w14:paraId="5AE1D718" w14:textId="7C96452F" w:rsidR="00DA3689" w:rsidRPr="007E0FC3" w:rsidRDefault="00DA3689" w:rsidP="00DA3689">
            <w:pPr>
              <w:pStyle w:val="IEEEStdsParagraph"/>
            </w:pPr>
            <w:r>
              <w:t xml:space="preserve">Doesn't a BW field in a control trailer in a non-EDMG control mode PPDU indicate </w:t>
            </w:r>
            <w:r w:rsidR="00DF4338">
              <w:t>the occupied channel bandwidth?</w:t>
            </w:r>
            <w:r w:rsidR="00DF4338">
              <w:rPr>
                <w:rFonts w:eastAsia="MS Mincho"/>
              </w:rPr>
              <w:t xml:space="preserve"> </w:t>
            </w:r>
            <w:r>
              <w:t>Remove this sentence, otherwise need additional explanation.</w:t>
            </w:r>
          </w:p>
        </w:tc>
        <w:tc>
          <w:tcPr>
            <w:tcW w:w="2642" w:type="dxa"/>
            <w:hideMark/>
          </w:tcPr>
          <w:p w14:paraId="25058791" w14:textId="54722C11" w:rsidR="00DA3689" w:rsidRPr="007E0FC3" w:rsidRDefault="00DA3689" w:rsidP="00DA3689">
            <w:pPr>
              <w:pStyle w:val="IEEEStdsParagraph"/>
              <w:rPr>
                <w:lang w:eastAsia="ko-KR"/>
              </w:rPr>
            </w:pPr>
            <w:r w:rsidRPr="00DA3689">
              <w:t>As in comment.</w:t>
            </w:r>
          </w:p>
        </w:tc>
      </w:tr>
    </w:tbl>
    <w:p w14:paraId="655DD237" w14:textId="77777777" w:rsidR="00DC6BE2" w:rsidRDefault="00DC6BE2" w:rsidP="00082C03">
      <w:pPr>
        <w:pStyle w:val="IEEEStdsParagraph"/>
        <w:rPr>
          <w:lang w:eastAsia="ko-KR"/>
        </w:rPr>
      </w:pPr>
    </w:p>
    <w:p w14:paraId="21F91F57" w14:textId="3D8266C5" w:rsidR="00A33A27" w:rsidRDefault="00A33A27" w:rsidP="00A33A27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lastRenderedPageBreak/>
        <w:t>Proposed resolution:</w:t>
      </w:r>
      <w:r>
        <w:rPr>
          <w:rFonts w:hint="eastAsia"/>
          <w:lang w:eastAsia="ko-KR"/>
        </w:rPr>
        <w:t xml:space="preserve"> </w:t>
      </w:r>
      <w:r w:rsidR="00710546">
        <w:rPr>
          <w:lang w:eastAsia="ko-KR"/>
        </w:rPr>
        <w:t>re</w:t>
      </w:r>
      <w:r w:rsidR="00710546">
        <w:rPr>
          <w:rFonts w:hint="eastAsia"/>
          <w:lang w:eastAsia="ko-KR"/>
        </w:rPr>
        <w:t>ject</w:t>
      </w:r>
    </w:p>
    <w:p w14:paraId="6D3412F6" w14:textId="77777777" w:rsidR="00A33A27" w:rsidRDefault="00A33A27" w:rsidP="00A33A27">
      <w:pPr>
        <w:pStyle w:val="IEEEStdsParagraph"/>
        <w:rPr>
          <w:b/>
          <w:lang w:eastAsia="ko-KR"/>
        </w:rPr>
      </w:pPr>
    </w:p>
    <w:p w14:paraId="01C856B7" w14:textId="77777777" w:rsidR="00A33A27" w:rsidRDefault="00A33A27" w:rsidP="00A33A27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0B9AD20B" w14:textId="74352A3E" w:rsidR="00DA09A8" w:rsidRDefault="00A33A27" w:rsidP="00DA09A8">
      <w:pPr>
        <w:pStyle w:val="IEEEStdsParagrap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comment was already </w:t>
      </w:r>
      <w:r w:rsidR="00DA09A8">
        <w:rPr>
          <w:lang w:eastAsia="ko-KR"/>
        </w:rPr>
        <w:t>revised</w:t>
      </w:r>
      <w:r w:rsidR="00695C24">
        <w:rPr>
          <w:lang w:eastAsia="ko-KR"/>
        </w:rPr>
        <w:t xml:space="preserve"> by removing this sentence</w:t>
      </w:r>
      <w:r w:rsidR="00DA09A8">
        <w:rPr>
          <w:lang w:eastAsia="ko-KR"/>
        </w:rPr>
        <w:t xml:space="preserve"> in D1.3. </w:t>
      </w:r>
    </w:p>
    <w:p w14:paraId="20AAD0A5" w14:textId="77777777" w:rsidR="00DC6BE2" w:rsidRDefault="00DC6BE2" w:rsidP="00082C03">
      <w:pPr>
        <w:pStyle w:val="IEEEStdsParagraph"/>
        <w:rPr>
          <w:lang w:eastAsia="ko-KR"/>
        </w:rPr>
      </w:pPr>
    </w:p>
    <w:p w14:paraId="6D67ECE5" w14:textId="77777777" w:rsidR="00257D41" w:rsidRDefault="00257D41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257D41" w:rsidRPr="007E0FC3" w14:paraId="29DEFBBE" w14:textId="77777777" w:rsidTr="00215569">
        <w:trPr>
          <w:trHeight w:val="416"/>
        </w:trPr>
        <w:tc>
          <w:tcPr>
            <w:tcW w:w="668" w:type="dxa"/>
            <w:hideMark/>
          </w:tcPr>
          <w:p w14:paraId="771927B7" w14:textId="77777777" w:rsidR="00257D41" w:rsidRPr="007E0FC3" w:rsidRDefault="00257D41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CID</w:t>
            </w:r>
          </w:p>
        </w:tc>
        <w:tc>
          <w:tcPr>
            <w:tcW w:w="948" w:type="dxa"/>
            <w:hideMark/>
          </w:tcPr>
          <w:p w14:paraId="1B15A074" w14:textId="77777777" w:rsidR="00257D41" w:rsidRPr="007E0FC3" w:rsidRDefault="00257D41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27B9371E" w14:textId="77777777" w:rsidR="00257D41" w:rsidRPr="007E0FC3" w:rsidRDefault="00257D41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07843D7D" w14:textId="77777777" w:rsidR="00257D41" w:rsidRPr="007E0FC3" w:rsidRDefault="00257D41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773791BD" w14:textId="77777777" w:rsidR="00257D41" w:rsidRPr="007E0FC3" w:rsidRDefault="00257D41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257D41" w:rsidRPr="007E0FC3" w14:paraId="0AD94C56" w14:textId="77777777" w:rsidTr="00215569">
        <w:trPr>
          <w:trHeight w:val="1370"/>
        </w:trPr>
        <w:tc>
          <w:tcPr>
            <w:tcW w:w="668" w:type="dxa"/>
            <w:hideMark/>
          </w:tcPr>
          <w:p w14:paraId="6A6C7A11" w14:textId="062724A5" w:rsidR="00257D41" w:rsidRPr="007E0FC3" w:rsidRDefault="00257D41" w:rsidP="00257D41">
            <w:pPr>
              <w:pStyle w:val="IEEEStdsParagraph"/>
              <w:rPr>
                <w:lang w:eastAsia="ko-KR"/>
              </w:rPr>
            </w:pPr>
            <w:r w:rsidRPr="00E641FB">
              <w:t>2263</w:t>
            </w:r>
          </w:p>
        </w:tc>
        <w:tc>
          <w:tcPr>
            <w:tcW w:w="948" w:type="dxa"/>
            <w:hideMark/>
          </w:tcPr>
          <w:p w14:paraId="5E93DA68" w14:textId="1E26E10B" w:rsidR="00257D41" w:rsidRPr="007E0FC3" w:rsidRDefault="00257D41" w:rsidP="00257D41">
            <w:pPr>
              <w:pStyle w:val="IEEEStdsParagraph"/>
              <w:rPr>
                <w:lang w:eastAsia="ko-KR"/>
              </w:rPr>
            </w:pPr>
            <w:r w:rsidRPr="00E641FB">
              <w:t>113.09</w:t>
            </w:r>
          </w:p>
        </w:tc>
        <w:tc>
          <w:tcPr>
            <w:tcW w:w="1216" w:type="dxa"/>
            <w:hideMark/>
          </w:tcPr>
          <w:p w14:paraId="692EA7C3" w14:textId="51E3DDF8" w:rsidR="00257D41" w:rsidRPr="007E0FC3" w:rsidRDefault="00257D41" w:rsidP="00257D41">
            <w:pPr>
              <w:pStyle w:val="IEEEStdsParagraph"/>
              <w:rPr>
                <w:lang w:eastAsia="ko-KR"/>
              </w:rPr>
            </w:pPr>
            <w:r w:rsidRPr="00E641FB">
              <w:t>10.22</w:t>
            </w:r>
          </w:p>
        </w:tc>
        <w:tc>
          <w:tcPr>
            <w:tcW w:w="2320" w:type="dxa"/>
            <w:hideMark/>
          </w:tcPr>
          <w:p w14:paraId="3DE6D7D4" w14:textId="55AAD2C8" w:rsidR="00257D41" w:rsidRPr="007E0FC3" w:rsidRDefault="00257D41" w:rsidP="00257D41">
            <w:pPr>
              <w:pStyle w:val="IEEEStdsParagraph"/>
              <w:rPr>
                <w:lang w:eastAsia="ko-KR"/>
              </w:rPr>
            </w:pPr>
            <w:r w:rsidRPr="00E641FB">
              <w:t>There are 'VHT MU PPDU' in clauses 10.22.2.3 and 10.22.2.6 which may need to be updated with EDMG MU PPDU</w:t>
            </w:r>
          </w:p>
        </w:tc>
        <w:tc>
          <w:tcPr>
            <w:tcW w:w="3864" w:type="dxa"/>
            <w:hideMark/>
          </w:tcPr>
          <w:p w14:paraId="5BF2C0BF" w14:textId="66EB58CD" w:rsidR="00257D41" w:rsidRPr="007E0FC3" w:rsidRDefault="00257D41" w:rsidP="00257D41">
            <w:pPr>
              <w:pStyle w:val="IEEEStdsParagraph"/>
              <w:rPr>
                <w:lang w:eastAsia="ko-KR"/>
              </w:rPr>
            </w:pPr>
            <w:r w:rsidRPr="00E641FB">
              <w:t>Add EDMG MU PPDU in those clauses</w:t>
            </w:r>
          </w:p>
        </w:tc>
      </w:tr>
    </w:tbl>
    <w:p w14:paraId="46F80E84" w14:textId="77777777" w:rsidR="00257D41" w:rsidRDefault="00257D41" w:rsidP="00082C03">
      <w:pPr>
        <w:pStyle w:val="IEEEStdsParagraph"/>
        <w:rPr>
          <w:lang w:eastAsia="ko-KR"/>
        </w:rPr>
      </w:pPr>
    </w:p>
    <w:p w14:paraId="17E5FD33" w14:textId="77777777" w:rsidR="00257D41" w:rsidRDefault="00257D41" w:rsidP="00257D41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accept</w:t>
      </w:r>
    </w:p>
    <w:p w14:paraId="6D2F577B" w14:textId="77777777" w:rsidR="00257D41" w:rsidRDefault="00257D41" w:rsidP="00257D41">
      <w:pPr>
        <w:pStyle w:val="IEEEStdsParagraph"/>
        <w:rPr>
          <w:b/>
          <w:lang w:eastAsia="ko-KR"/>
        </w:rPr>
      </w:pPr>
    </w:p>
    <w:p w14:paraId="4C3BEE3D" w14:textId="77777777" w:rsidR="00257D41" w:rsidRDefault="00257D41" w:rsidP="00257D41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60290530" w14:textId="49CFA99E" w:rsidR="00257D41" w:rsidRPr="003B114A" w:rsidRDefault="003B114A" w:rsidP="00257D41">
      <w:pPr>
        <w:pStyle w:val="IEEEStdsParagraph"/>
        <w:rPr>
          <w:lang w:eastAsia="ko-KR"/>
        </w:rPr>
      </w:pPr>
      <w:r>
        <w:rPr>
          <w:lang w:eastAsia="ko-KR"/>
        </w:rPr>
        <w:t xml:space="preserve">The sharing an EDCA TXOP is used by an AP that supports DL-MU-MIMO and it is one of the mode of EDCA TXOP defined in REVmd1.0. As a commenter mentioned, The EDMG MU PPDU shall be added </w:t>
      </w:r>
      <w:r w:rsidR="00293F33">
        <w:rPr>
          <w:lang w:eastAsia="ko-KR"/>
        </w:rPr>
        <w:t xml:space="preserve">into those </w:t>
      </w:r>
      <w:proofErr w:type="spellStart"/>
      <w:r w:rsidR="00293F33">
        <w:rPr>
          <w:lang w:eastAsia="ko-KR"/>
        </w:rPr>
        <w:t>subclauses</w:t>
      </w:r>
      <w:proofErr w:type="spellEnd"/>
      <w:r w:rsidR="00293F33">
        <w:rPr>
          <w:lang w:eastAsia="ko-KR"/>
        </w:rPr>
        <w:t xml:space="preserve"> </w:t>
      </w:r>
      <w:r>
        <w:rPr>
          <w:lang w:eastAsia="ko-KR"/>
        </w:rPr>
        <w:t>because DL-MU-MIMO is also supported by EDMG.</w:t>
      </w:r>
    </w:p>
    <w:p w14:paraId="6891C408" w14:textId="77777777" w:rsidR="003B114A" w:rsidRPr="00377869" w:rsidRDefault="003B114A" w:rsidP="00257D41">
      <w:pPr>
        <w:pStyle w:val="IEEEStdsParagraph"/>
        <w:rPr>
          <w:lang w:eastAsia="ko-KR"/>
        </w:rPr>
      </w:pPr>
    </w:p>
    <w:p w14:paraId="1DFB9647" w14:textId="77777777" w:rsidR="00257D41" w:rsidRPr="00293F33" w:rsidRDefault="00257D41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48"/>
        <w:gridCol w:w="1216"/>
        <w:gridCol w:w="2320"/>
        <w:gridCol w:w="3864"/>
      </w:tblGrid>
      <w:tr w:rsidR="00132582" w:rsidRPr="007E0FC3" w14:paraId="47F8B194" w14:textId="77777777" w:rsidTr="00215569">
        <w:trPr>
          <w:trHeight w:val="416"/>
        </w:trPr>
        <w:tc>
          <w:tcPr>
            <w:tcW w:w="668" w:type="dxa"/>
            <w:hideMark/>
          </w:tcPr>
          <w:p w14:paraId="381ABC05" w14:textId="77777777" w:rsidR="00132582" w:rsidRPr="007E0FC3" w:rsidRDefault="00132582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CID</w:t>
            </w:r>
          </w:p>
        </w:tc>
        <w:tc>
          <w:tcPr>
            <w:tcW w:w="948" w:type="dxa"/>
            <w:hideMark/>
          </w:tcPr>
          <w:p w14:paraId="74ABE5BA" w14:textId="77777777" w:rsidR="00132582" w:rsidRPr="007E0FC3" w:rsidRDefault="00132582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216" w:type="dxa"/>
            <w:hideMark/>
          </w:tcPr>
          <w:p w14:paraId="01990F94" w14:textId="77777777" w:rsidR="00132582" w:rsidRPr="007E0FC3" w:rsidRDefault="00132582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2320" w:type="dxa"/>
            <w:hideMark/>
          </w:tcPr>
          <w:p w14:paraId="67F74FBE" w14:textId="77777777" w:rsidR="00132582" w:rsidRPr="007E0FC3" w:rsidRDefault="00132582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3864" w:type="dxa"/>
            <w:hideMark/>
          </w:tcPr>
          <w:p w14:paraId="15BB27F5" w14:textId="77777777" w:rsidR="00132582" w:rsidRPr="007E0FC3" w:rsidRDefault="00132582" w:rsidP="00215569">
            <w:pPr>
              <w:pStyle w:val="IEEEStdsParagraph"/>
              <w:rPr>
                <w:b/>
                <w:bCs/>
                <w:lang w:eastAsia="ko-KR"/>
              </w:rPr>
            </w:pPr>
            <w:r w:rsidRPr="007E0FC3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132582" w:rsidRPr="007E0FC3" w14:paraId="24DA0B2E" w14:textId="77777777" w:rsidTr="00215569">
        <w:trPr>
          <w:trHeight w:val="1370"/>
        </w:trPr>
        <w:tc>
          <w:tcPr>
            <w:tcW w:w="668" w:type="dxa"/>
            <w:hideMark/>
          </w:tcPr>
          <w:p w14:paraId="2AC150DC" w14:textId="7E83942E" w:rsidR="00132582" w:rsidRPr="007E0FC3" w:rsidRDefault="00132582" w:rsidP="00132582">
            <w:pPr>
              <w:pStyle w:val="IEEEStdsParagraph"/>
              <w:rPr>
                <w:lang w:eastAsia="ko-KR"/>
              </w:rPr>
            </w:pPr>
            <w:r w:rsidRPr="00757792">
              <w:t>2290</w:t>
            </w:r>
          </w:p>
        </w:tc>
        <w:tc>
          <w:tcPr>
            <w:tcW w:w="948" w:type="dxa"/>
            <w:hideMark/>
          </w:tcPr>
          <w:p w14:paraId="5547D672" w14:textId="48486809" w:rsidR="00132582" w:rsidRPr="007E0FC3" w:rsidRDefault="00132582" w:rsidP="00132582">
            <w:pPr>
              <w:pStyle w:val="IEEEStdsParagraph"/>
              <w:rPr>
                <w:lang w:eastAsia="ko-KR"/>
              </w:rPr>
            </w:pPr>
            <w:r w:rsidRPr="00757792">
              <w:t>138.25</w:t>
            </w:r>
          </w:p>
        </w:tc>
        <w:tc>
          <w:tcPr>
            <w:tcW w:w="1216" w:type="dxa"/>
            <w:hideMark/>
          </w:tcPr>
          <w:p w14:paraId="3FFABB0A" w14:textId="5A923A24" w:rsidR="00132582" w:rsidRPr="007E0FC3" w:rsidRDefault="00132582" w:rsidP="00132582">
            <w:pPr>
              <w:pStyle w:val="IEEEStdsParagraph"/>
              <w:rPr>
                <w:lang w:eastAsia="ko-KR"/>
              </w:rPr>
            </w:pPr>
            <w:r w:rsidRPr="00757792">
              <w:t>10.36.11.2.1</w:t>
            </w:r>
          </w:p>
        </w:tc>
        <w:tc>
          <w:tcPr>
            <w:tcW w:w="2320" w:type="dxa"/>
            <w:hideMark/>
          </w:tcPr>
          <w:p w14:paraId="10E6507E" w14:textId="005AD9E1" w:rsidR="00132582" w:rsidRPr="007E0FC3" w:rsidRDefault="00132582" w:rsidP="00132582">
            <w:pPr>
              <w:pStyle w:val="IEEEStdsParagraph"/>
              <w:rPr>
                <w:lang w:eastAsia="ko-KR"/>
              </w:rPr>
            </w:pPr>
            <w:r w:rsidRPr="00757792">
              <w:t>Allocation for asymmetric BF and directional reception shall also uses scheduling type 1</w:t>
            </w:r>
          </w:p>
        </w:tc>
        <w:tc>
          <w:tcPr>
            <w:tcW w:w="3864" w:type="dxa"/>
            <w:hideMark/>
          </w:tcPr>
          <w:p w14:paraId="6EAAADCA" w14:textId="1FEFE90F" w:rsidR="00132582" w:rsidRPr="007E0FC3" w:rsidRDefault="00132582" w:rsidP="00132582">
            <w:pPr>
              <w:pStyle w:val="IEEEStdsParagraph"/>
              <w:rPr>
                <w:lang w:eastAsia="ko-KR"/>
              </w:rPr>
            </w:pPr>
            <w:r w:rsidRPr="00757792">
              <w:t xml:space="preserve">add </w:t>
            </w:r>
            <w:proofErr w:type="spellStart"/>
            <w:r w:rsidRPr="00757792">
              <w:t>asymmteric</w:t>
            </w:r>
            <w:proofErr w:type="spellEnd"/>
            <w:r w:rsidRPr="00757792">
              <w:t xml:space="preserve"> beam forming and directional allocation to this sentence</w:t>
            </w:r>
          </w:p>
        </w:tc>
      </w:tr>
    </w:tbl>
    <w:p w14:paraId="57C0ED65" w14:textId="77777777" w:rsidR="00257D41" w:rsidRPr="00132582" w:rsidRDefault="00257D41" w:rsidP="00082C03">
      <w:pPr>
        <w:pStyle w:val="IEEEStdsParagraph"/>
        <w:rPr>
          <w:lang w:eastAsia="ko-KR"/>
        </w:rPr>
      </w:pPr>
    </w:p>
    <w:p w14:paraId="2039CC58" w14:textId="09A15B97" w:rsidR="00132582" w:rsidRDefault="00132582" w:rsidP="00132582">
      <w:pPr>
        <w:pStyle w:val="IEEEStdsParagraph"/>
        <w:rPr>
          <w:lang w:eastAsia="ko-KR"/>
        </w:rPr>
      </w:pPr>
      <w:r w:rsidRPr="00A44E96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reject</w:t>
      </w:r>
    </w:p>
    <w:p w14:paraId="64610C08" w14:textId="77777777" w:rsidR="00132582" w:rsidRDefault="00132582" w:rsidP="00132582">
      <w:pPr>
        <w:pStyle w:val="IEEEStdsParagraph"/>
        <w:rPr>
          <w:b/>
          <w:lang w:eastAsia="ko-KR"/>
        </w:rPr>
      </w:pPr>
    </w:p>
    <w:p w14:paraId="7A17745B" w14:textId="77777777" w:rsidR="00132582" w:rsidRDefault="00132582" w:rsidP="00132582">
      <w:pPr>
        <w:pStyle w:val="IEEEStdsParagraph"/>
        <w:rPr>
          <w:b/>
          <w:lang w:eastAsia="ko-KR"/>
        </w:rPr>
      </w:pPr>
      <w:r>
        <w:rPr>
          <w:rFonts w:hint="eastAsia"/>
          <w:b/>
          <w:lang w:eastAsia="ko-KR"/>
        </w:rPr>
        <w:t>Discussion</w:t>
      </w:r>
    </w:p>
    <w:p w14:paraId="70D7C503" w14:textId="4F533D7B" w:rsidR="00132582" w:rsidRPr="003B114A" w:rsidRDefault="00132582" w:rsidP="00132582">
      <w:pPr>
        <w:pStyle w:val="IEEEStdsParagraph"/>
        <w:rPr>
          <w:lang w:eastAsia="ko-KR"/>
        </w:rPr>
      </w:pPr>
      <w:r>
        <w:rPr>
          <w:lang w:eastAsia="ko-KR"/>
        </w:rPr>
        <w:t>This p</w:t>
      </w:r>
      <w:r w:rsidR="00F8143E">
        <w:rPr>
          <w:lang w:eastAsia="ko-KR"/>
        </w:rPr>
        <w:t>aragraph</w:t>
      </w:r>
      <w:r>
        <w:rPr>
          <w:lang w:eastAsia="ko-KR"/>
        </w:rPr>
        <w:t xml:space="preserve"> </w:t>
      </w:r>
      <w:r w:rsidR="00490EE6">
        <w:rPr>
          <w:lang w:eastAsia="ko-KR"/>
        </w:rPr>
        <w:t xml:space="preserve">is about channel access over multiple channels and describes that </w:t>
      </w:r>
      <w:r>
        <w:rPr>
          <w:lang w:eastAsia="ko-KR"/>
        </w:rPr>
        <w:t xml:space="preserve">the Scheduling Type subfield </w:t>
      </w:r>
      <w:r w:rsidR="00490EE6">
        <w:rPr>
          <w:lang w:eastAsia="ko-KR"/>
        </w:rPr>
        <w:t>shall be</w:t>
      </w:r>
      <w:r>
        <w:rPr>
          <w:lang w:eastAsia="ko-KR"/>
        </w:rPr>
        <w:t xml:space="preserve"> set to 1 when an allocation does not include the primary channel.</w:t>
      </w:r>
      <w:r w:rsidR="00F8143E">
        <w:rPr>
          <w:lang w:eastAsia="ko-KR"/>
        </w:rPr>
        <w:t xml:space="preserve"> Therefore, a</w:t>
      </w:r>
      <w:r w:rsidR="00490EE6">
        <w:rPr>
          <w:lang w:eastAsia="ko-KR"/>
        </w:rPr>
        <w:t xml:space="preserve">n </w:t>
      </w:r>
      <w:r w:rsidR="00490EE6">
        <w:t>a</w:t>
      </w:r>
      <w:r w:rsidR="00490EE6" w:rsidRPr="00757792">
        <w:t>llocation for asymmetric BF and directional reception</w:t>
      </w:r>
      <w:r w:rsidR="00F8143E">
        <w:t xml:space="preserve"> do not need to be </w:t>
      </w:r>
      <w:r w:rsidR="00934D84">
        <w:t>added</w:t>
      </w:r>
      <w:r w:rsidR="00F8143E">
        <w:t xml:space="preserve"> in this paragraph</w:t>
      </w:r>
      <w:r w:rsidR="00490EE6">
        <w:rPr>
          <w:lang w:eastAsia="ko-KR"/>
        </w:rPr>
        <w:t>.</w:t>
      </w:r>
    </w:p>
    <w:p w14:paraId="1F602019" w14:textId="77777777" w:rsidR="00257D41" w:rsidRDefault="00257D41" w:rsidP="00082C03">
      <w:pPr>
        <w:pStyle w:val="IEEEStdsParagraph"/>
        <w:rPr>
          <w:lang w:eastAsia="ko-KR"/>
        </w:rPr>
      </w:pPr>
    </w:p>
    <w:p w14:paraId="2BE91B74" w14:textId="77777777" w:rsidR="00DF4338" w:rsidRDefault="00DF4338" w:rsidP="00082C03">
      <w:pPr>
        <w:pStyle w:val="IEEEStdsParagraph"/>
        <w:rPr>
          <w:lang w:eastAsia="ko-KR"/>
        </w:rPr>
      </w:pPr>
    </w:p>
    <w:p w14:paraId="28CF02E4" w14:textId="77777777" w:rsidR="00DF4338" w:rsidRDefault="00DF4338" w:rsidP="00082C03">
      <w:pPr>
        <w:pStyle w:val="IEEEStdsParagraph"/>
        <w:rPr>
          <w:lang w:eastAsia="ko-KR"/>
        </w:rPr>
      </w:pPr>
    </w:p>
    <w:p w14:paraId="57D20148" w14:textId="7DB8B206" w:rsidR="0062374D" w:rsidRPr="00B00C8B" w:rsidRDefault="0062374D" w:rsidP="0062374D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>
        <w:rPr>
          <w:rFonts w:asciiTheme="majorBidi" w:hAnsiTheme="majorBidi" w:cstheme="majorBidi"/>
          <w:szCs w:val="22"/>
        </w:rPr>
        <w:t xml:space="preserve">ccept the resolutions </w:t>
      </w:r>
      <w:r w:rsidR="00714968">
        <w:rPr>
          <w:rFonts w:asciiTheme="majorBidi" w:hAnsiTheme="majorBidi" w:cstheme="majorBidi"/>
          <w:szCs w:val="22"/>
        </w:rPr>
        <w:t>of CIDs</w:t>
      </w:r>
      <w:r w:rsidR="001F2585">
        <w:rPr>
          <w:rFonts w:asciiTheme="majorBidi" w:hAnsiTheme="majorBidi" w:cstheme="majorBidi"/>
          <w:szCs w:val="22"/>
        </w:rPr>
        <w:t xml:space="preserve"> 1224, 1226, 1227, 1370, 1480, 1635, 1652, 1868, 1950, 2185, 2223, 2263, and 2290</w:t>
      </w:r>
      <w:r>
        <w:rPr>
          <w:rFonts w:asciiTheme="majorBidi" w:hAnsiTheme="majorBidi" w:cstheme="majorBidi"/>
          <w:szCs w:val="22"/>
        </w:rPr>
        <w:t>?</w:t>
      </w:r>
    </w:p>
    <w:p w14:paraId="22FCD05B" w14:textId="77777777" w:rsidR="0062374D" w:rsidRPr="00714968" w:rsidRDefault="0062374D" w:rsidP="00DC084E">
      <w:pPr>
        <w:pStyle w:val="IEEEStdsParagraph"/>
        <w:rPr>
          <w:b/>
          <w:lang w:eastAsia="ko-KR"/>
        </w:rPr>
      </w:pPr>
    </w:p>
    <w:sectPr w:rsidR="0062374D" w:rsidRPr="00714968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9CC46" w14:textId="77777777" w:rsidR="006A5DB1" w:rsidRDefault="006A5DB1" w:rsidP="00EC65A6">
      <w:r>
        <w:separator/>
      </w:r>
    </w:p>
  </w:endnote>
  <w:endnote w:type="continuationSeparator" w:id="0">
    <w:p w14:paraId="7A033625" w14:textId="77777777" w:rsidR="006A5DB1" w:rsidRDefault="006A5DB1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161B" w14:textId="4F9D9F31" w:rsidR="00DA09A8" w:rsidRDefault="00DA09A8">
    <w:pPr>
      <w:pStyle w:val="a4"/>
      <w:rPr>
        <w:lang w:eastAsia="ko-KR"/>
      </w:rPr>
    </w:pPr>
    <w:proofErr w:type="spellStart"/>
    <w:r>
      <w:rPr>
        <w:rFonts w:hint="eastAsia"/>
        <w:lang w:eastAsia="ko-KR"/>
      </w:rPr>
      <w:t>TGay</w:t>
    </w:r>
    <w:proofErr w:type="spellEnd"/>
    <w:r>
      <w:rPr>
        <w:rFonts w:hint="eastAsia"/>
        <w:lang w:eastAsia="ko-KR"/>
      </w:rPr>
      <w:t xml:space="preserve"> Draft</w:t>
    </w:r>
    <w:r>
      <w:ptab w:relativeTo="margin" w:alignment="center" w:leader="none"/>
    </w:r>
    <w:r>
      <w:ptab w:relativeTo="margin" w:alignment="right" w:leader="none"/>
    </w:r>
    <w:proofErr w:type="spellStart"/>
    <w:r>
      <w:rPr>
        <w:rFonts w:hint="eastAsia"/>
        <w:lang w:eastAsia="ko-KR"/>
      </w:rPr>
      <w:t>SungJin</w:t>
    </w:r>
    <w:proofErr w:type="spellEnd"/>
    <w:r>
      <w:rPr>
        <w:rFonts w:hint="eastAsia"/>
        <w:lang w:eastAsia="ko-KR"/>
      </w:rPr>
      <w:t xml:space="preserve"> Park, LG Electronics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909C" w14:textId="77777777" w:rsidR="006A5DB1" w:rsidRDefault="006A5DB1" w:rsidP="00EC65A6">
      <w:r>
        <w:separator/>
      </w:r>
    </w:p>
  </w:footnote>
  <w:footnote w:type="continuationSeparator" w:id="0">
    <w:p w14:paraId="7DFCA5C1" w14:textId="77777777" w:rsidR="006A5DB1" w:rsidRDefault="006A5DB1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50B6E" w14:textId="2C48CA49" w:rsidR="00DA09A8" w:rsidRDefault="00DA09A8">
    <w:pPr>
      <w:pStyle w:val="a3"/>
      <w:rPr>
        <w:lang w:eastAsia="ko-KR"/>
      </w:rPr>
    </w:pPr>
    <w:r>
      <w:rPr>
        <w:lang w:eastAsia="ko-KR"/>
      </w:rPr>
      <w:t>July</w:t>
    </w:r>
    <w:r>
      <w:rPr>
        <w:rFonts w:hint="eastAsia"/>
        <w:lang w:eastAsia="ko-KR"/>
      </w:rPr>
      <w:t xml:space="preserve"> 2018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eastAsia="ko-KR"/>
      </w:rPr>
      <w:t>doc.: IEEE 802.11-18/</w:t>
    </w:r>
    <w:r w:rsidRPr="00B00394">
      <w:t xml:space="preserve"> </w:t>
    </w:r>
    <w:r w:rsidR="00D65021" w:rsidRPr="00D65021">
      <w:rPr>
        <w:lang w:eastAsia="ko-KR"/>
      </w:rPr>
      <w:t>1141</w:t>
    </w:r>
    <w:r>
      <w:rPr>
        <w:rFonts w:hint="eastAsia"/>
        <w:lang w:eastAsia="ko-KR"/>
      </w:rPr>
      <w:t>r</w:t>
    </w:r>
    <w:r w:rsidR="00D65021">
      <w:rPr>
        <w:lang w:eastAsia="ko-KR"/>
      </w:rPr>
      <w:t>0</w:t>
    </w:r>
  </w:p>
  <w:p w14:paraId="7E12ECA2" w14:textId="77777777" w:rsidR="00DA09A8" w:rsidRDefault="00DA09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9D"/>
    <w:multiLevelType w:val="multilevel"/>
    <w:tmpl w:val="BC42AE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7538F2"/>
    <w:multiLevelType w:val="multilevel"/>
    <w:tmpl w:val="37E491DA"/>
    <w:lvl w:ilvl="0">
      <w:start w:val="5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02A0"/>
    <w:multiLevelType w:val="hybridMultilevel"/>
    <w:tmpl w:val="6BDEA5E8"/>
    <w:lvl w:ilvl="0" w:tplc="8ECCD420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36355599"/>
    <w:multiLevelType w:val="hybridMultilevel"/>
    <w:tmpl w:val="7E26E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FBBA923C"/>
    <w:lvl w:ilvl="0">
      <w:start w:val="13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0CD7E51"/>
    <w:multiLevelType w:val="multilevel"/>
    <w:tmpl w:val="914EBF0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94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70B6"/>
    <w:multiLevelType w:val="multilevel"/>
    <w:tmpl w:val="8B6C358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AB00D9"/>
    <w:multiLevelType w:val="multilevel"/>
    <w:tmpl w:val="87C070E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DC7019B"/>
    <w:multiLevelType w:val="hybridMultilevel"/>
    <w:tmpl w:val="662283D2"/>
    <w:lvl w:ilvl="0" w:tplc="EC3C3994">
      <w:start w:val="1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A6"/>
    <w:rsid w:val="00003EFD"/>
    <w:rsid w:val="000042FB"/>
    <w:rsid w:val="00006B0A"/>
    <w:rsid w:val="00016BE6"/>
    <w:rsid w:val="00020600"/>
    <w:rsid w:val="00023627"/>
    <w:rsid w:val="000304F0"/>
    <w:rsid w:val="000503BC"/>
    <w:rsid w:val="00057236"/>
    <w:rsid w:val="00057C52"/>
    <w:rsid w:val="000671DD"/>
    <w:rsid w:val="0007033D"/>
    <w:rsid w:val="00071F7E"/>
    <w:rsid w:val="000764FC"/>
    <w:rsid w:val="00082C03"/>
    <w:rsid w:val="00085B75"/>
    <w:rsid w:val="000C1C70"/>
    <w:rsid w:val="000D10BD"/>
    <w:rsid w:val="000D4493"/>
    <w:rsid w:val="000D465D"/>
    <w:rsid w:val="000E1966"/>
    <w:rsid w:val="000E3A6F"/>
    <w:rsid w:val="000F574E"/>
    <w:rsid w:val="000F5A42"/>
    <w:rsid w:val="00122604"/>
    <w:rsid w:val="001231F0"/>
    <w:rsid w:val="00131DB3"/>
    <w:rsid w:val="00132582"/>
    <w:rsid w:val="00132EE0"/>
    <w:rsid w:val="00136D04"/>
    <w:rsid w:val="00140DE3"/>
    <w:rsid w:val="00154F69"/>
    <w:rsid w:val="00167F47"/>
    <w:rsid w:val="00170844"/>
    <w:rsid w:val="00184F93"/>
    <w:rsid w:val="001851A7"/>
    <w:rsid w:val="001918B9"/>
    <w:rsid w:val="00192EDF"/>
    <w:rsid w:val="00193319"/>
    <w:rsid w:val="00195E90"/>
    <w:rsid w:val="00197BB7"/>
    <w:rsid w:val="001B040F"/>
    <w:rsid w:val="001B7062"/>
    <w:rsid w:val="001E2D9F"/>
    <w:rsid w:val="001E3B2F"/>
    <w:rsid w:val="001E4819"/>
    <w:rsid w:val="001E6DAB"/>
    <w:rsid w:val="001F2585"/>
    <w:rsid w:val="00211032"/>
    <w:rsid w:val="002217BA"/>
    <w:rsid w:val="002218E1"/>
    <w:rsid w:val="00236293"/>
    <w:rsid w:val="00241411"/>
    <w:rsid w:val="00245D80"/>
    <w:rsid w:val="00257D41"/>
    <w:rsid w:val="002646D9"/>
    <w:rsid w:val="00285BB8"/>
    <w:rsid w:val="00293F33"/>
    <w:rsid w:val="00296AB6"/>
    <w:rsid w:val="00297A1C"/>
    <w:rsid w:val="002A661F"/>
    <w:rsid w:val="002B1B28"/>
    <w:rsid w:val="002B2161"/>
    <w:rsid w:val="002B7FC5"/>
    <w:rsid w:val="002C20D9"/>
    <w:rsid w:val="002C5FF9"/>
    <w:rsid w:val="002D752E"/>
    <w:rsid w:val="00310178"/>
    <w:rsid w:val="003235FC"/>
    <w:rsid w:val="00342006"/>
    <w:rsid w:val="00355297"/>
    <w:rsid w:val="0037452E"/>
    <w:rsid w:val="0037610A"/>
    <w:rsid w:val="00377869"/>
    <w:rsid w:val="0038774D"/>
    <w:rsid w:val="00394D11"/>
    <w:rsid w:val="003A37D3"/>
    <w:rsid w:val="003B114A"/>
    <w:rsid w:val="003D20A2"/>
    <w:rsid w:val="003D5144"/>
    <w:rsid w:val="003E2AAD"/>
    <w:rsid w:val="003E46F8"/>
    <w:rsid w:val="003F1871"/>
    <w:rsid w:val="003F42D2"/>
    <w:rsid w:val="003F5220"/>
    <w:rsid w:val="00405595"/>
    <w:rsid w:val="00411B83"/>
    <w:rsid w:val="0042445C"/>
    <w:rsid w:val="00443D39"/>
    <w:rsid w:val="0045491A"/>
    <w:rsid w:val="004563B5"/>
    <w:rsid w:val="00457A66"/>
    <w:rsid w:val="004658AB"/>
    <w:rsid w:val="00474FD3"/>
    <w:rsid w:val="00486DFB"/>
    <w:rsid w:val="004908EE"/>
    <w:rsid w:val="00490EE6"/>
    <w:rsid w:val="004A43C6"/>
    <w:rsid w:val="004C08CF"/>
    <w:rsid w:val="004D6C2F"/>
    <w:rsid w:val="004E4AAC"/>
    <w:rsid w:val="004F3112"/>
    <w:rsid w:val="00501BBA"/>
    <w:rsid w:val="005117D4"/>
    <w:rsid w:val="00517B60"/>
    <w:rsid w:val="005251FE"/>
    <w:rsid w:val="00532F98"/>
    <w:rsid w:val="0053382F"/>
    <w:rsid w:val="00540BCB"/>
    <w:rsid w:val="0054143F"/>
    <w:rsid w:val="005463D9"/>
    <w:rsid w:val="00552BBB"/>
    <w:rsid w:val="0055388B"/>
    <w:rsid w:val="00566BC9"/>
    <w:rsid w:val="00585D4A"/>
    <w:rsid w:val="005A5DAE"/>
    <w:rsid w:val="005B0474"/>
    <w:rsid w:val="005C4617"/>
    <w:rsid w:val="005D3769"/>
    <w:rsid w:val="005D6CD1"/>
    <w:rsid w:val="005F12FB"/>
    <w:rsid w:val="006017EF"/>
    <w:rsid w:val="006060BD"/>
    <w:rsid w:val="00621FED"/>
    <w:rsid w:val="0062374D"/>
    <w:rsid w:val="0062640B"/>
    <w:rsid w:val="00631E09"/>
    <w:rsid w:val="00632527"/>
    <w:rsid w:val="00643295"/>
    <w:rsid w:val="00655929"/>
    <w:rsid w:val="00661A36"/>
    <w:rsid w:val="00670560"/>
    <w:rsid w:val="00683D72"/>
    <w:rsid w:val="00684194"/>
    <w:rsid w:val="00684807"/>
    <w:rsid w:val="006944EA"/>
    <w:rsid w:val="00694CC6"/>
    <w:rsid w:val="00695C24"/>
    <w:rsid w:val="00696F80"/>
    <w:rsid w:val="006A5DB1"/>
    <w:rsid w:val="006B0D28"/>
    <w:rsid w:val="006B78BB"/>
    <w:rsid w:val="006C57D1"/>
    <w:rsid w:val="006C7E01"/>
    <w:rsid w:val="006D19B0"/>
    <w:rsid w:val="006D28B1"/>
    <w:rsid w:val="006E132B"/>
    <w:rsid w:val="006F03C6"/>
    <w:rsid w:val="006F2064"/>
    <w:rsid w:val="00710546"/>
    <w:rsid w:val="00714968"/>
    <w:rsid w:val="00726794"/>
    <w:rsid w:val="007276C2"/>
    <w:rsid w:val="00756D16"/>
    <w:rsid w:val="00763F68"/>
    <w:rsid w:val="00764FA9"/>
    <w:rsid w:val="00765028"/>
    <w:rsid w:val="007705AB"/>
    <w:rsid w:val="00774CE7"/>
    <w:rsid w:val="00776BFB"/>
    <w:rsid w:val="00782EC3"/>
    <w:rsid w:val="0078519E"/>
    <w:rsid w:val="00794B8A"/>
    <w:rsid w:val="007A1810"/>
    <w:rsid w:val="007B3F75"/>
    <w:rsid w:val="007C1472"/>
    <w:rsid w:val="007C179F"/>
    <w:rsid w:val="007C2EE0"/>
    <w:rsid w:val="007E0FC3"/>
    <w:rsid w:val="007E1F74"/>
    <w:rsid w:val="007E6572"/>
    <w:rsid w:val="007F3606"/>
    <w:rsid w:val="00815D6B"/>
    <w:rsid w:val="00832F43"/>
    <w:rsid w:val="00835815"/>
    <w:rsid w:val="00843B58"/>
    <w:rsid w:val="008572F7"/>
    <w:rsid w:val="0088363F"/>
    <w:rsid w:val="008857D9"/>
    <w:rsid w:val="00894DC9"/>
    <w:rsid w:val="00897670"/>
    <w:rsid w:val="008B1763"/>
    <w:rsid w:val="008D3E02"/>
    <w:rsid w:val="008D50BA"/>
    <w:rsid w:val="008E2C9C"/>
    <w:rsid w:val="008F6AE2"/>
    <w:rsid w:val="00903CA5"/>
    <w:rsid w:val="009068D3"/>
    <w:rsid w:val="00926E7E"/>
    <w:rsid w:val="009303A5"/>
    <w:rsid w:val="00934D84"/>
    <w:rsid w:val="0094267E"/>
    <w:rsid w:val="00951AD2"/>
    <w:rsid w:val="00954EF2"/>
    <w:rsid w:val="009810D9"/>
    <w:rsid w:val="0099264C"/>
    <w:rsid w:val="00992B2D"/>
    <w:rsid w:val="009944F0"/>
    <w:rsid w:val="00996718"/>
    <w:rsid w:val="009B7739"/>
    <w:rsid w:val="009C0A9D"/>
    <w:rsid w:val="009C3E7E"/>
    <w:rsid w:val="009C703A"/>
    <w:rsid w:val="009D676E"/>
    <w:rsid w:val="009F6974"/>
    <w:rsid w:val="00A02387"/>
    <w:rsid w:val="00A028B3"/>
    <w:rsid w:val="00A02E0E"/>
    <w:rsid w:val="00A057F9"/>
    <w:rsid w:val="00A150F6"/>
    <w:rsid w:val="00A33A27"/>
    <w:rsid w:val="00A44E96"/>
    <w:rsid w:val="00A55189"/>
    <w:rsid w:val="00A55641"/>
    <w:rsid w:val="00A630FD"/>
    <w:rsid w:val="00A7026D"/>
    <w:rsid w:val="00A81F06"/>
    <w:rsid w:val="00A97BAB"/>
    <w:rsid w:val="00AC3DFC"/>
    <w:rsid w:val="00AC60BA"/>
    <w:rsid w:val="00B00394"/>
    <w:rsid w:val="00B1569E"/>
    <w:rsid w:val="00B15DD5"/>
    <w:rsid w:val="00B436B3"/>
    <w:rsid w:val="00B45BA7"/>
    <w:rsid w:val="00B4644C"/>
    <w:rsid w:val="00B47E38"/>
    <w:rsid w:val="00B52B56"/>
    <w:rsid w:val="00B623EF"/>
    <w:rsid w:val="00B741B9"/>
    <w:rsid w:val="00B82E95"/>
    <w:rsid w:val="00B85A83"/>
    <w:rsid w:val="00B94841"/>
    <w:rsid w:val="00BB4E76"/>
    <w:rsid w:val="00C0153A"/>
    <w:rsid w:val="00C07B39"/>
    <w:rsid w:val="00C27F48"/>
    <w:rsid w:val="00C32E03"/>
    <w:rsid w:val="00C33D17"/>
    <w:rsid w:val="00C3635B"/>
    <w:rsid w:val="00C42B1B"/>
    <w:rsid w:val="00C45423"/>
    <w:rsid w:val="00C467F7"/>
    <w:rsid w:val="00C468D7"/>
    <w:rsid w:val="00C46E75"/>
    <w:rsid w:val="00C526AE"/>
    <w:rsid w:val="00C76C31"/>
    <w:rsid w:val="00C843C6"/>
    <w:rsid w:val="00CA28BE"/>
    <w:rsid w:val="00CC32D6"/>
    <w:rsid w:val="00CC6AB9"/>
    <w:rsid w:val="00CD4F9A"/>
    <w:rsid w:val="00CF7931"/>
    <w:rsid w:val="00D00C9B"/>
    <w:rsid w:val="00D04619"/>
    <w:rsid w:val="00D22FC1"/>
    <w:rsid w:val="00D35948"/>
    <w:rsid w:val="00D36A1B"/>
    <w:rsid w:val="00D36DC5"/>
    <w:rsid w:val="00D429B3"/>
    <w:rsid w:val="00D63103"/>
    <w:rsid w:val="00D65021"/>
    <w:rsid w:val="00D66E39"/>
    <w:rsid w:val="00D67FE0"/>
    <w:rsid w:val="00D71C72"/>
    <w:rsid w:val="00D93D00"/>
    <w:rsid w:val="00D9450D"/>
    <w:rsid w:val="00D94FB5"/>
    <w:rsid w:val="00DA09A8"/>
    <w:rsid w:val="00DA3689"/>
    <w:rsid w:val="00DA74B2"/>
    <w:rsid w:val="00DB0260"/>
    <w:rsid w:val="00DC084E"/>
    <w:rsid w:val="00DC6BE2"/>
    <w:rsid w:val="00DD2DEA"/>
    <w:rsid w:val="00DD6286"/>
    <w:rsid w:val="00DE710F"/>
    <w:rsid w:val="00DF4338"/>
    <w:rsid w:val="00E00A2E"/>
    <w:rsid w:val="00E03F54"/>
    <w:rsid w:val="00E06FDA"/>
    <w:rsid w:val="00E11668"/>
    <w:rsid w:val="00E14632"/>
    <w:rsid w:val="00E20D54"/>
    <w:rsid w:val="00E220AE"/>
    <w:rsid w:val="00E26BCC"/>
    <w:rsid w:val="00E337AF"/>
    <w:rsid w:val="00E35B4C"/>
    <w:rsid w:val="00E71158"/>
    <w:rsid w:val="00E71827"/>
    <w:rsid w:val="00E7411B"/>
    <w:rsid w:val="00E75675"/>
    <w:rsid w:val="00E82B10"/>
    <w:rsid w:val="00E851DC"/>
    <w:rsid w:val="00E9009A"/>
    <w:rsid w:val="00E9263E"/>
    <w:rsid w:val="00EA3C35"/>
    <w:rsid w:val="00EC1784"/>
    <w:rsid w:val="00EC35A3"/>
    <w:rsid w:val="00EC5DE4"/>
    <w:rsid w:val="00EC65A6"/>
    <w:rsid w:val="00ED49B0"/>
    <w:rsid w:val="00ED5FBB"/>
    <w:rsid w:val="00F1519A"/>
    <w:rsid w:val="00F16F16"/>
    <w:rsid w:val="00F278B9"/>
    <w:rsid w:val="00F27CEC"/>
    <w:rsid w:val="00F34F32"/>
    <w:rsid w:val="00F36C27"/>
    <w:rsid w:val="00F46253"/>
    <w:rsid w:val="00F53731"/>
    <w:rsid w:val="00F624DC"/>
    <w:rsid w:val="00F6482D"/>
    <w:rsid w:val="00F73CB8"/>
    <w:rsid w:val="00F75452"/>
    <w:rsid w:val="00F8143E"/>
    <w:rsid w:val="00F972CD"/>
    <w:rsid w:val="00FA404B"/>
    <w:rsid w:val="00FB08D2"/>
    <w:rsid w:val="00FB6D12"/>
    <w:rsid w:val="00FC3D77"/>
    <w:rsid w:val="00FD5A2B"/>
    <w:rsid w:val="00FE7596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0F2D6"/>
  <w15:docId w15:val="{CB00A1AC-691B-4514-9E23-FD527A3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IEEEStdsParagraph"/>
    <w:link w:val="1Char"/>
    <w:uiPriority w:val="9"/>
    <w:qFormat/>
    <w:rsid w:val="00E06FDA"/>
    <w:pPr>
      <w:keepNext/>
      <w:keepLines/>
      <w:pageBreakBefore/>
      <w:numPr>
        <w:numId w:val="5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2">
    <w:name w:val="heading 2"/>
    <w:basedOn w:val="1"/>
    <w:next w:val="IEEEStdsParagraph"/>
    <w:link w:val="2Char"/>
    <w:qFormat/>
    <w:rsid w:val="00E06FDA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E06FDA"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Char"/>
    <w:qFormat/>
    <w:rsid w:val="00E06FDA"/>
    <w:pPr>
      <w:numPr>
        <w:ilvl w:val="3"/>
      </w:numPr>
      <w:outlineLvl w:val="3"/>
    </w:pPr>
  </w:style>
  <w:style w:type="paragraph" w:styleId="5">
    <w:name w:val="heading 5"/>
    <w:basedOn w:val="4"/>
    <w:next w:val="IEEEStdsParagraph"/>
    <w:link w:val="5Char"/>
    <w:qFormat/>
    <w:rsid w:val="00E06FDA"/>
    <w:pPr>
      <w:numPr>
        <w:ilvl w:val="4"/>
      </w:numPr>
      <w:outlineLvl w:val="4"/>
    </w:pPr>
  </w:style>
  <w:style w:type="paragraph" w:styleId="6">
    <w:name w:val="heading 6"/>
    <w:basedOn w:val="5"/>
    <w:next w:val="IEEEStdsParagraph"/>
    <w:link w:val="6Char"/>
    <w:qFormat/>
    <w:rsid w:val="00E06FDA"/>
    <w:pPr>
      <w:numPr>
        <w:ilvl w:val="5"/>
      </w:numPr>
      <w:outlineLvl w:val="5"/>
    </w:pPr>
  </w:style>
  <w:style w:type="paragraph" w:styleId="7">
    <w:name w:val="heading 7"/>
    <w:basedOn w:val="6"/>
    <w:next w:val="IEEEStdsParagraph"/>
    <w:link w:val="7Char"/>
    <w:qFormat/>
    <w:rsid w:val="00E06FDA"/>
    <w:pPr>
      <w:numPr>
        <w:ilvl w:val="6"/>
      </w:numPr>
      <w:outlineLvl w:val="6"/>
    </w:pPr>
  </w:style>
  <w:style w:type="paragraph" w:styleId="8">
    <w:name w:val="heading 8"/>
    <w:basedOn w:val="7"/>
    <w:next w:val="IEEEStdsParagraph"/>
    <w:link w:val="8Char"/>
    <w:qFormat/>
    <w:rsid w:val="00E06FDA"/>
    <w:pPr>
      <w:numPr>
        <w:ilvl w:val="7"/>
      </w:numPr>
      <w:outlineLvl w:val="7"/>
    </w:pPr>
  </w:style>
  <w:style w:type="paragraph" w:styleId="9">
    <w:name w:val="heading 9"/>
    <w:basedOn w:val="8"/>
    <w:next w:val="IEEEStdsParagraph"/>
    <w:link w:val="9Char"/>
    <w:qFormat/>
    <w:rsid w:val="00E06FD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a3">
    <w:name w:val="header"/>
    <w:basedOn w:val="a"/>
    <w:link w:val="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a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a5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D0461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04619"/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D04619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4619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0461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1Char">
    <w:name w:val="제목 1 Char"/>
    <w:basedOn w:val="a0"/>
    <w:link w:val="1"/>
    <w:uiPriority w:val="9"/>
    <w:rsid w:val="00E06FDA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2Char">
    <w:name w:val="제목 2 Char"/>
    <w:basedOn w:val="a0"/>
    <w:link w:val="2"/>
    <w:rsid w:val="00E06FDA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3Char">
    <w:name w:val="제목 3 Char"/>
    <w:basedOn w:val="a0"/>
    <w:link w:val="3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4Char">
    <w:name w:val="제목 4 Char"/>
    <w:basedOn w:val="a0"/>
    <w:link w:val="4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5Char">
    <w:name w:val="제목 5 Char"/>
    <w:basedOn w:val="a0"/>
    <w:link w:val="5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6Char">
    <w:name w:val="제목 6 Char"/>
    <w:basedOn w:val="a0"/>
    <w:link w:val="6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7Char">
    <w:name w:val="제목 7 Char"/>
    <w:basedOn w:val="a0"/>
    <w:link w:val="7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8Char">
    <w:name w:val="제목 8 Char"/>
    <w:basedOn w:val="a0"/>
    <w:link w:val="8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9Char">
    <w:name w:val="제목 9 Char"/>
    <w:basedOn w:val="a0"/>
    <w:link w:val="9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paragraph" w:styleId="aa">
    <w:name w:val="caption"/>
    <w:basedOn w:val="a"/>
    <w:next w:val="a"/>
    <w:uiPriority w:val="35"/>
    <w:unhideWhenUsed/>
    <w:qFormat/>
    <w:rsid w:val="00951AD2"/>
    <w:rPr>
      <w:b/>
      <w:bCs/>
      <w:sz w:val="20"/>
      <w:szCs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951AD2"/>
    <w:pPr>
      <w:keepNext/>
      <w:keepLines/>
      <w:numPr>
        <w:numId w:val="8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fontstyle01">
    <w:name w:val="fontstyle01"/>
    <w:basedOn w:val="a0"/>
    <w:rsid w:val="000F5A42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b">
    <w:name w:val="Table Grid"/>
    <w:basedOn w:val="a1"/>
    <w:uiPriority w:val="59"/>
    <w:rsid w:val="008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ColumnHead">
    <w:name w:val="IEEEStds Table Column Head"/>
    <w:basedOn w:val="IEEEStdsParagraph"/>
    <w:rsid w:val="00D429B3"/>
    <w:pPr>
      <w:keepNext/>
      <w:keepLines/>
      <w:spacing w:after="0"/>
      <w:jc w:val="center"/>
    </w:pPr>
    <w:rPr>
      <w:rFonts w:eastAsia="MS Mincho"/>
      <w:b/>
      <w:sz w:val="18"/>
    </w:rPr>
  </w:style>
  <w:style w:type="paragraph" w:customStyle="1" w:styleId="IEEEStdsTableData-Left">
    <w:name w:val="IEEEStds Table Data - Left"/>
    <w:basedOn w:val="IEEEStdsParagraph"/>
    <w:rsid w:val="00D429B3"/>
    <w:pPr>
      <w:keepNext/>
      <w:keepLines/>
      <w:spacing w:after="0"/>
      <w:jc w:val="left"/>
    </w:pPr>
    <w:rPr>
      <w:rFonts w:eastAsia="MS Mincho"/>
      <w:sz w:val="18"/>
    </w:rPr>
  </w:style>
  <w:style w:type="paragraph" w:styleId="ac">
    <w:name w:val="List Paragraph"/>
    <w:basedOn w:val="a"/>
    <w:uiPriority w:val="34"/>
    <w:qFormat/>
    <w:rsid w:val="00020600"/>
    <w:pPr>
      <w:ind w:left="720"/>
      <w:contextualSpacing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73BD-45BA-4F66-9C4A-6B49117D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1649</Words>
  <Characters>9400</Characters>
  <Application>Microsoft Office Word</Application>
  <DocSecurity>0</DocSecurity>
  <Lines>78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박성진/선임연구원/차세대표준(연)ICS팀(allean.park@lge.com)</cp:lastModifiedBy>
  <cp:revision>7</cp:revision>
  <dcterms:created xsi:type="dcterms:W3CDTF">2018-07-09T23:25:00Z</dcterms:created>
  <dcterms:modified xsi:type="dcterms:W3CDTF">2018-07-10T16:06:00Z</dcterms:modified>
</cp:coreProperties>
</file>