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8DCD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24"/>
        <w:gridCol w:w="1417"/>
        <w:gridCol w:w="2635"/>
      </w:tblGrid>
      <w:tr w:rsidR="00CA09B2" w14:paraId="443EBCAC" w14:textId="77777777" w:rsidTr="00FF10B3">
        <w:trPr>
          <w:trHeight w:val="485"/>
          <w:jc w:val="center"/>
        </w:trPr>
        <w:tc>
          <w:tcPr>
            <w:tcW w:w="9576" w:type="dxa"/>
            <w:gridSpan w:val="5"/>
            <w:vAlign w:val="center"/>
          </w:tcPr>
          <w:p w14:paraId="7EBD6E55" w14:textId="77777777" w:rsidR="00CA09B2" w:rsidRDefault="00BC4003">
            <w:pPr>
              <w:pStyle w:val="T2"/>
            </w:pPr>
            <w:r>
              <w:t>P</w:t>
            </w:r>
            <w:r>
              <w:rPr>
                <w:rFonts w:asciiTheme="minorHAnsi" w:hAnsiTheme="minorHAnsi"/>
                <w:sz w:val="24"/>
                <w:szCs w:val="22"/>
              </w:rPr>
              <w:t>roposal for a workshop between IEEE 802.11 WG and 3GPP related to the co-existence of 802.11</w:t>
            </w:r>
            <w:r w:rsidR="00847DB5">
              <w:rPr>
                <w:rFonts w:asciiTheme="minorHAnsi" w:hAnsiTheme="minorHAnsi"/>
                <w:sz w:val="24"/>
                <w:szCs w:val="22"/>
              </w:rPr>
              <w:t>ax</w:t>
            </w:r>
            <w:r>
              <w:rPr>
                <w:rFonts w:asciiTheme="minorHAnsi" w:hAnsiTheme="minorHAnsi"/>
                <w:sz w:val="24"/>
                <w:szCs w:val="22"/>
              </w:rPr>
              <w:t xml:space="preserve"> and NR-U in the 6</w:t>
            </w:r>
            <w:r w:rsidR="00847DB5">
              <w:rPr>
                <w:rFonts w:asciiTheme="minorHAnsi" w:hAnsiTheme="minorHAnsi"/>
                <w:sz w:val="24"/>
                <w:szCs w:val="22"/>
              </w:rPr>
              <w:t xml:space="preserve"> </w:t>
            </w:r>
            <w:r>
              <w:rPr>
                <w:rFonts w:asciiTheme="minorHAnsi" w:hAnsiTheme="minorHAnsi"/>
                <w:sz w:val="24"/>
                <w:szCs w:val="22"/>
              </w:rPr>
              <w:t>GHz unlicenced spectrum</w:t>
            </w:r>
          </w:p>
        </w:tc>
      </w:tr>
      <w:tr w:rsidR="00CA09B2" w14:paraId="5E287B3C" w14:textId="77777777" w:rsidTr="00FF10B3">
        <w:trPr>
          <w:trHeight w:val="359"/>
          <w:jc w:val="center"/>
        </w:trPr>
        <w:tc>
          <w:tcPr>
            <w:tcW w:w="9576" w:type="dxa"/>
            <w:gridSpan w:val="5"/>
            <w:vAlign w:val="center"/>
          </w:tcPr>
          <w:p w14:paraId="35D8EDD3" w14:textId="40BB80DF" w:rsidR="00CA09B2" w:rsidRDefault="00CA09B2">
            <w:pPr>
              <w:pStyle w:val="T2"/>
              <w:ind w:left="0"/>
              <w:rPr>
                <w:sz w:val="20"/>
              </w:rPr>
            </w:pPr>
            <w:r>
              <w:rPr>
                <w:sz w:val="20"/>
              </w:rPr>
              <w:t>Date:</w:t>
            </w:r>
            <w:r>
              <w:rPr>
                <w:b w:val="0"/>
                <w:sz w:val="20"/>
              </w:rPr>
              <w:t xml:space="preserve"> </w:t>
            </w:r>
            <w:r w:rsidR="00F518E2">
              <w:rPr>
                <w:b w:val="0"/>
                <w:sz w:val="20"/>
              </w:rPr>
              <w:t>2018</w:t>
            </w:r>
            <w:r w:rsidR="00FF10B3">
              <w:rPr>
                <w:b w:val="0"/>
                <w:sz w:val="20"/>
              </w:rPr>
              <w:t>-07</w:t>
            </w:r>
            <w:r w:rsidR="008204BC">
              <w:rPr>
                <w:b w:val="0"/>
                <w:sz w:val="20"/>
              </w:rPr>
              <w:t>-0</w:t>
            </w:r>
            <w:r w:rsidR="00FF10B3">
              <w:rPr>
                <w:b w:val="0"/>
                <w:sz w:val="20"/>
              </w:rPr>
              <w:t>3</w:t>
            </w:r>
          </w:p>
        </w:tc>
      </w:tr>
      <w:tr w:rsidR="00CA09B2" w14:paraId="4A69F547" w14:textId="77777777" w:rsidTr="00FF10B3">
        <w:trPr>
          <w:cantSplit/>
          <w:jc w:val="center"/>
        </w:trPr>
        <w:tc>
          <w:tcPr>
            <w:tcW w:w="9576" w:type="dxa"/>
            <w:gridSpan w:val="5"/>
            <w:vAlign w:val="center"/>
          </w:tcPr>
          <w:p w14:paraId="520CA6DB" w14:textId="77777777" w:rsidR="00CA09B2" w:rsidRDefault="00CA09B2">
            <w:pPr>
              <w:pStyle w:val="T2"/>
              <w:spacing w:after="0"/>
              <w:ind w:left="0" w:right="0"/>
              <w:jc w:val="left"/>
              <w:rPr>
                <w:sz w:val="20"/>
              </w:rPr>
            </w:pPr>
            <w:r>
              <w:rPr>
                <w:sz w:val="20"/>
              </w:rPr>
              <w:t>Author(s):</w:t>
            </w:r>
          </w:p>
        </w:tc>
      </w:tr>
      <w:tr w:rsidR="00CA09B2" w14:paraId="7357FAB5" w14:textId="77777777" w:rsidTr="00FF10B3">
        <w:trPr>
          <w:jc w:val="center"/>
        </w:trPr>
        <w:tc>
          <w:tcPr>
            <w:tcW w:w="1336" w:type="dxa"/>
            <w:vAlign w:val="center"/>
          </w:tcPr>
          <w:p w14:paraId="5DF376D7" w14:textId="77777777" w:rsidR="00CA09B2" w:rsidRDefault="00CA09B2">
            <w:pPr>
              <w:pStyle w:val="T2"/>
              <w:spacing w:after="0"/>
              <w:ind w:left="0" w:right="0"/>
              <w:jc w:val="left"/>
              <w:rPr>
                <w:sz w:val="20"/>
              </w:rPr>
            </w:pPr>
            <w:r>
              <w:rPr>
                <w:sz w:val="20"/>
              </w:rPr>
              <w:t>Name</w:t>
            </w:r>
          </w:p>
        </w:tc>
        <w:tc>
          <w:tcPr>
            <w:tcW w:w="2064" w:type="dxa"/>
            <w:vAlign w:val="center"/>
          </w:tcPr>
          <w:p w14:paraId="6022EBF9" w14:textId="77777777" w:rsidR="00CA09B2" w:rsidRDefault="0062440B">
            <w:pPr>
              <w:pStyle w:val="T2"/>
              <w:spacing w:after="0"/>
              <w:ind w:left="0" w:right="0"/>
              <w:jc w:val="left"/>
              <w:rPr>
                <w:sz w:val="20"/>
              </w:rPr>
            </w:pPr>
            <w:r>
              <w:rPr>
                <w:sz w:val="20"/>
              </w:rPr>
              <w:t>Affiliation</w:t>
            </w:r>
          </w:p>
        </w:tc>
        <w:tc>
          <w:tcPr>
            <w:tcW w:w="2124" w:type="dxa"/>
            <w:vAlign w:val="center"/>
          </w:tcPr>
          <w:p w14:paraId="36C38F71" w14:textId="77777777" w:rsidR="00CA09B2" w:rsidRDefault="00CA09B2">
            <w:pPr>
              <w:pStyle w:val="T2"/>
              <w:spacing w:after="0"/>
              <w:ind w:left="0" w:right="0"/>
              <w:jc w:val="left"/>
              <w:rPr>
                <w:sz w:val="20"/>
              </w:rPr>
            </w:pPr>
            <w:r>
              <w:rPr>
                <w:sz w:val="20"/>
              </w:rPr>
              <w:t>Address</w:t>
            </w:r>
          </w:p>
        </w:tc>
        <w:tc>
          <w:tcPr>
            <w:tcW w:w="1417" w:type="dxa"/>
            <w:vAlign w:val="center"/>
          </w:tcPr>
          <w:p w14:paraId="0762AFAE" w14:textId="77777777" w:rsidR="00CA09B2" w:rsidRDefault="00CA09B2">
            <w:pPr>
              <w:pStyle w:val="T2"/>
              <w:spacing w:after="0"/>
              <w:ind w:left="0" w:right="0"/>
              <w:jc w:val="left"/>
              <w:rPr>
                <w:sz w:val="20"/>
              </w:rPr>
            </w:pPr>
            <w:r>
              <w:rPr>
                <w:sz w:val="20"/>
              </w:rPr>
              <w:t>Phone</w:t>
            </w:r>
          </w:p>
        </w:tc>
        <w:tc>
          <w:tcPr>
            <w:tcW w:w="2635" w:type="dxa"/>
            <w:vAlign w:val="center"/>
          </w:tcPr>
          <w:p w14:paraId="6FFA6094" w14:textId="77777777" w:rsidR="00CA09B2" w:rsidRDefault="00CA09B2">
            <w:pPr>
              <w:pStyle w:val="T2"/>
              <w:spacing w:after="0"/>
              <w:ind w:left="0" w:right="0"/>
              <w:jc w:val="left"/>
              <w:rPr>
                <w:sz w:val="20"/>
              </w:rPr>
            </w:pPr>
            <w:r>
              <w:rPr>
                <w:sz w:val="20"/>
              </w:rPr>
              <w:t>email</w:t>
            </w:r>
          </w:p>
        </w:tc>
      </w:tr>
      <w:tr w:rsidR="00A36291" w14:paraId="40C32EBC" w14:textId="77777777" w:rsidTr="00FF10B3">
        <w:trPr>
          <w:jc w:val="center"/>
        </w:trPr>
        <w:tc>
          <w:tcPr>
            <w:tcW w:w="1336" w:type="dxa"/>
            <w:vAlign w:val="center"/>
          </w:tcPr>
          <w:p w14:paraId="1139F628" w14:textId="46C4563C" w:rsidR="00A36291" w:rsidRPr="00FF10B3" w:rsidRDefault="00A36291" w:rsidP="00A36291">
            <w:pPr>
              <w:pStyle w:val="T2"/>
              <w:spacing w:after="0"/>
              <w:ind w:left="0" w:right="0"/>
              <w:rPr>
                <w:b w:val="0"/>
                <w:sz w:val="20"/>
              </w:rPr>
            </w:pPr>
            <w:r>
              <w:rPr>
                <w:b w:val="0"/>
                <w:sz w:val="20"/>
              </w:rPr>
              <w:t>Balkan Kecicioglu</w:t>
            </w:r>
          </w:p>
        </w:tc>
        <w:tc>
          <w:tcPr>
            <w:tcW w:w="2064" w:type="dxa"/>
            <w:vAlign w:val="center"/>
          </w:tcPr>
          <w:p w14:paraId="77A50E81" w14:textId="3C6B23BF" w:rsidR="00A36291" w:rsidRPr="00FF10B3" w:rsidRDefault="00A36291" w:rsidP="00A36291">
            <w:pPr>
              <w:pStyle w:val="T2"/>
              <w:spacing w:after="0"/>
              <w:ind w:left="0" w:right="0"/>
              <w:rPr>
                <w:b w:val="0"/>
                <w:sz w:val="20"/>
              </w:rPr>
            </w:pPr>
            <w:r>
              <w:rPr>
                <w:b w:val="0"/>
                <w:sz w:val="20"/>
              </w:rPr>
              <w:t>CableLabs</w:t>
            </w:r>
          </w:p>
        </w:tc>
        <w:tc>
          <w:tcPr>
            <w:tcW w:w="2124" w:type="dxa"/>
            <w:vAlign w:val="center"/>
          </w:tcPr>
          <w:p w14:paraId="168BF410" w14:textId="77777777" w:rsidR="00A36291" w:rsidRDefault="00A36291" w:rsidP="00A36291">
            <w:pPr>
              <w:pStyle w:val="T2"/>
              <w:spacing w:after="0"/>
              <w:ind w:left="0" w:right="0"/>
              <w:rPr>
                <w:b w:val="0"/>
                <w:sz w:val="20"/>
              </w:rPr>
            </w:pPr>
            <w:r>
              <w:rPr>
                <w:b w:val="0"/>
                <w:sz w:val="20"/>
              </w:rPr>
              <w:t xml:space="preserve">858 Coal Creek Circle, Louisville, Colorado </w:t>
            </w:r>
          </w:p>
          <w:p w14:paraId="122A70FD" w14:textId="121EB7E6" w:rsidR="00A36291" w:rsidRPr="00FF10B3" w:rsidRDefault="00A36291" w:rsidP="00A36291">
            <w:pPr>
              <w:pStyle w:val="T2"/>
              <w:spacing w:after="0"/>
              <w:ind w:left="0" w:right="0"/>
              <w:rPr>
                <w:b w:val="0"/>
                <w:sz w:val="20"/>
              </w:rPr>
            </w:pPr>
            <w:r>
              <w:rPr>
                <w:b w:val="0"/>
                <w:sz w:val="20"/>
              </w:rPr>
              <w:t>USA 80027</w:t>
            </w:r>
          </w:p>
        </w:tc>
        <w:tc>
          <w:tcPr>
            <w:tcW w:w="1417" w:type="dxa"/>
            <w:vAlign w:val="center"/>
          </w:tcPr>
          <w:p w14:paraId="013D52C9" w14:textId="3F819ADE" w:rsidR="00A36291" w:rsidRPr="00FF10B3" w:rsidRDefault="00A36291" w:rsidP="00A36291">
            <w:pPr>
              <w:pStyle w:val="T2"/>
              <w:spacing w:after="0"/>
              <w:ind w:left="0" w:right="0"/>
              <w:rPr>
                <w:b w:val="0"/>
                <w:sz w:val="20"/>
              </w:rPr>
            </w:pPr>
            <w:r>
              <w:rPr>
                <w:b w:val="0"/>
                <w:sz w:val="20"/>
              </w:rPr>
              <w:t>+1 (303) 6613849</w:t>
            </w:r>
          </w:p>
        </w:tc>
        <w:tc>
          <w:tcPr>
            <w:tcW w:w="2635" w:type="dxa"/>
            <w:vAlign w:val="center"/>
          </w:tcPr>
          <w:p w14:paraId="289D9754" w14:textId="75472E33" w:rsidR="00A36291" w:rsidRPr="00FF10B3" w:rsidRDefault="00A36291" w:rsidP="00A36291">
            <w:pPr>
              <w:pStyle w:val="T2"/>
              <w:spacing w:after="0"/>
              <w:ind w:left="0" w:right="0"/>
              <w:rPr>
                <w:b w:val="0"/>
                <w:sz w:val="20"/>
              </w:rPr>
            </w:pPr>
            <w:r>
              <w:rPr>
                <w:b w:val="0"/>
                <w:sz w:val="16"/>
              </w:rPr>
              <w:t>b.kecicioglu@cablelabs.com</w:t>
            </w:r>
          </w:p>
        </w:tc>
      </w:tr>
      <w:tr w:rsidR="00A36291" w14:paraId="13704B96" w14:textId="77777777" w:rsidTr="00FF10B3">
        <w:trPr>
          <w:jc w:val="center"/>
        </w:trPr>
        <w:tc>
          <w:tcPr>
            <w:tcW w:w="1336" w:type="dxa"/>
            <w:vAlign w:val="center"/>
          </w:tcPr>
          <w:p w14:paraId="1AE4B0A3" w14:textId="2A990B8C" w:rsidR="00A36291" w:rsidRDefault="00A36291" w:rsidP="00A36291">
            <w:pPr>
              <w:pStyle w:val="T2"/>
              <w:spacing w:after="0"/>
              <w:ind w:left="0" w:right="0"/>
              <w:rPr>
                <w:b w:val="0"/>
                <w:sz w:val="20"/>
              </w:rPr>
            </w:pPr>
            <w:r>
              <w:rPr>
                <w:b w:val="0"/>
                <w:sz w:val="20"/>
              </w:rPr>
              <w:t>Lili Hervieu</w:t>
            </w:r>
          </w:p>
        </w:tc>
        <w:tc>
          <w:tcPr>
            <w:tcW w:w="2064" w:type="dxa"/>
            <w:vAlign w:val="center"/>
          </w:tcPr>
          <w:p w14:paraId="52592033" w14:textId="4C5CB940" w:rsidR="00A36291" w:rsidRDefault="00A36291" w:rsidP="00A36291">
            <w:pPr>
              <w:pStyle w:val="T2"/>
              <w:spacing w:after="0"/>
              <w:ind w:left="0" w:right="0"/>
              <w:rPr>
                <w:b w:val="0"/>
                <w:sz w:val="20"/>
              </w:rPr>
            </w:pPr>
            <w:r>
              <w:rPr>
                <w:b w:val="0"/>
                <w:sz w:val="20"/>
              </w:rPr>
              <w:t>CableLabs</w:t>
            </w:r>
          </w:p>
        </w:tc>
        <w:tc>
          <w:tcPr>
            <w:tcW w:w="2124" w:type="dxa"/>
            <w:vAlign w:val="center"/>
          </w:tcPr>
          <w:p w14:paraId="1C3B995B" w14:textId="77777777" w:rsidR="00A36291" w:rsidRDefault="00A36291" w:rsidP="00A36291">
            <w:pPr>
              <w:pStyle w:val="T2"/>
              <w:spacing w:after="0"/>
              <w:ind w:left="0" w:right="0"/>
              <w:rPr>
                <w:b w:val="0"/>
                <w:sz w:val="20"/>
              </w:rPr>
            </w:pPr>
            <w:r>
              <w:rPr>
                <w:b w:val="0"/>
                <w:sz w:val="20"/>
              </w:rPr>
              <w:t xml:space="preserve">858 Coal Creek Circle, Louisville, Colorado </w:t>
            </w:r>
          </w:p>
          <w:p w14:paraId="40352D34" w14:textId="3576E804" w:rsidR="00A36291" w:rsidRDefault="00A36291" w:rsidP="00A36291">
            <w:pPr>
              <w:pStyle w:val="T2"/>
              <w:spacing w:after="0"/>
              <w:ind w:left="0" w:right="0"/>
              <w:rPr>
                <w:b w:val="0"/>
                <w:sz w:val="20"/>
              </w:rPr>
            </w:pPr>
            <w:r>
              <w:rPr>
                <w:b w:val="0"/>
                <w:sz w:val="20"/>
              </w:rPr>
              <w:t>USA 80027</w:t>
            </w:r>
          </w:p>
        </w:tc>
        <w:tc>
          <w:tcPr>
            <w:tcW w:w="1417" w:type="dxa"/>
            <w:vAlign w:val="center"/>
          </w:tcPr>
          <w:p w14:paraId="5313F437" w14:textId="2DAF9E85" w:rsidR="00A36291" w:rsidRDefault="00A36291" w:rsidP="00A36291">
            <w:pPr>
              <w:pStyle w:val="T2"/>
              <w:spacing w:after="0"/>
              <w:ind w:left="0" w:right="0"/>
              <w:rPr>
                <w:b w:val="0"/>
                <w:sz w:val="20"/>
              </w:rPr>
            </w:pPr>
            <w:r>
              <w:rPr>
                <w:b w:val="0"/>
                <w:sz w:val="20"/>
              </w:rPr>
              <w:t xml:space="preserve">+1 </w:t>
            </w:r>
            <w:r w:rsidRPr="00855144">
              <w:rPr>
                <w:b w:val="0"/>
                <w:sz w:val="20"/>
              </w:rPr>
              <w:t>(303) 6613745</w:t>
            </w:r>
          </w:p>
        </w:tc>
        <w:tc>
          <w:tcPr>
            <w:tcW w:w="2635" w:type="dxa"/>
            <w:vAlign w:val="center"/>
          </w:tcPr>
          <w:p w14:paraId="3F8CB108" w14:textId="45612F94" w:rsidR="00A36291" w:rsidRDefault="00A36291" w:rsidP="00A36291">
            <w:pPr>
              <w:pStyle w:val="T2"/>
              <w:spacing w:after="0"/>
              <w:ind w:left="0" w:right="0"/>
              <w:rPr>
                <w:b w:val="0"/>
                <w:sz w:val="16"/>
              </w:rPr>
            </w:pPr>
            <w:r w:rsidRPr="00855144">
              <w:rPr>
                <w:b w:val="0"/>
                <w:sz w:val="16"/>
              </w:rPr>
              <w:t>L.Hervieu@cablelabs.com</w:t>
            </w:r>
          </w:p>
        </w:tc>
      </w:tr>
    </w:tbl>
    <w:p w14:paraId="56107E80" w14:textId="77777777" w:rsidR="00CA09B2" w:rsidRDefault="005E0413">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19A2A7F4" wp14:editId="7F5394D6">
                <wp:simplePos x="0" y="0"/>
                <wp:positionH relativeFrom="column">
                  <wp:posOffset>-66675</wp:posOffset>
                </wp:positionH>
                <wp:positionV relativeFrom="paragraph">
                  <wp:posOffset>204470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BF303" w14:textId="77777777" w:rsidR="00BC3451" w:rsidRDefault="00BC3451">
                            <w:pPr>
                              <w:pStyle w:val="T1"/>
                              <w:spacing w:after="120"/>
                            </w:pPr>
                            <w:r>
                              <w:t>Abstract</w:t>
                            </w:r>
                          </w:p>
                          <w:p w14:paraId="7F783E78" w14:textId="0A7E7FB8" w:rsidR="00BC3451" w:rsidRDefault="00BC3451" w:rsidP="00CA2CB2">
                            <w:pPr>
                              <w:jc w:val="both"/>
                              <w:rPr>
                                <w:lang w:val="en-AU"/>
                              </w:rPr>
                            </w:pPr>
                            <w:r>
                              <w:t xml:space="preserve">The successfull deployment of NR-U and 802.11 technologies in the sub-7 GHz unlicensed spectrum relies on an efficient and fair access to the spectrum. 802.11 technologies are treated as incumbent in the 5 GHz band by standard bodies (i.e. 3GPP) and regulatory entities (i.e. ETSI BRAN), ensuring a ‘fair coexistence’ between 802.11 and newly developed (LTE-LAA) or future technologies (NR-U).  However, the 6 GHz band is often considered as a greenfield band, where according to this understanding, </w:t>
                            </w:r>
                            <w:r>
                              <w:rPr>
                                <w:lang w:val="en-AU"/>
                              </w:rPr>
                              <w:t xml:space="preserve">802.11ax should expect </w:t>
                            </w:r>
                            <w:r w:rsidRPr="0015482E">
                              <w:rPr>
                                <w:lang w:val="en-AU"/>
                              </w:rPr>
                              <w:t>no “incumbency” based protection</w:t>
                            </w:r>
                            <w:r>
                              <w:rPr>
                                <w:lang w:val="en-AU"/>
                              </w:rPr>
                              <w:t xml:space="preserve">. </w:t>
                            </w:r>
                            <w:r w:rsidRPr="00324EF2">
                              <w:rPr>
                                <w:szCs w:val="22"/>
                              </w:rPr>
                              <w:t xml:space="preserve">This document gives an overview of recent proposals for channel access mechanisms </w:t>
                            </w:r>
                            <w:r>
                              <w:rPr>
                                <w:szCs w:val="22"/>
                              </w:rPr>
                              <w:t xml:space="preserve">in the new 3GPP Study Item (SI) for 5G New Radio in Unlicensed Bands (5G NR-U) and highlights </w:t>
                            </w:r>
                            <w:r>
                              <w:rPr>
                                <w:lang w:val="en-AU"/>
                              </w:rPr>
                              <w:t>the need for a close collaboration between the 3GPP and the IEEE 802.11 to agree</w:t>
                            </w:r>
                            <w:r w:rsidRPr="00113164">
                              <w:rPr>
                                <w:lang w:val="en-AU"/>
                              </w:rPr>
                              <w:t xml:space="preserve"> on </w:t>
                            </w:r>
                            <w:r>
                              <w:rPr>
                                <w:lang w:val="en-AU"/>
                              </w:rPr>
                              <w:t xml:space="preserve">a </w:t>
                            </w:r>
                            <w:r w:rsidRPr="00113164">
                              <w:rPr>
                                <w:lang w:val="en-AU"/>
                              </w:rPr>
                              <w:t xml:space="preserve">fair </w:t>
                            </w:r>
                            <w:r>
                              <w:rPr>
                                <w:lang w:val="en-AU"/>
                              </w:rPr>
                              <w:t xml:space="preserve">and efficient </w:t>
                            </w:r>
                            <w:r w:rsidRPr="00113164">
                              <w:rPr>
                                <w:lang w:val="en-AU"/>
                              </w:rPr>
                              <w:t xml:space="preserve">access </w:t>
                            </w:r>
                            <w:r>
                              <w:rPr>
                                <w:lang w:val="en-AU"/>
                              </w:rPr>
                              <w:t xml:space="preserve">on the </w:t>
                            </w:r>
                            <w:r w:rsidRPr="00113164">
                              <w:rPr>
                                <w:lang w:val="en-AU"/>
                              </w:rPr>
                              <w:t>the 6</w:t>
                            </w:r>
                            <w:r>
                              <w:rPr>
                                <w:lang w:val="en-AU"/>
                              </w:rPr>
                              <w:t xml:space="preserve"> </w:t>
                            </w:r>
                            <w:r w:rsidRPr="00113164">
                              <w:rPr>
                                <w:lang w:val="en-AU"/>
                              </w:rPr>
                              <w:t>GHz</w:t>
                            </w:r>
                            <w:r>
                              <w:rPr>
                                <w:lang w:val="en-AU"/>
                              </w:rPr>
                              <w:t xml:space="preserve"> spectrum. The conduct of a joined workshop is proposed with a tentative agenda and schedule provided below.</w:t>
                            </w:r>
                          </w:p>
                          <w:p w14:paraId="43018099" w14:textId="77777777" w:rsidR="00BC3451" w:rsidRDefault="00BC3451" w:rsidP="00CA2CB2">
                            <w:pPr>
                              <w:jc w:val="both"/>
                              <w:rPr>
                                <w:lang w:val="en-AU"/>
                              </w:rPr>
                            </w:pPr>
                          </w:p>
                          <w:p w14:paraId="1C96AEE8" w14:textId="194C11DF" w:rsidR="00BC3451" w:rsidRDefault="00BC3451" w:rsidP="008204BC">
                            <w:pPr>
                              <w:spacing w:before="100" w:beforeAutospacing="1" w:after="100" w:afterAutospacing="1"/>
                              <w:rPr>
                                <w:szCs w:val="22"/>
                              </w:rPr>
                            </w:pPr>
                          </w:p>
                          <w:p w14:paraId="43AEBA06" w14:textId="77777777" w:rsidR="00BC3451" w:rsidRPr="00473073" w:rsidRDefault="00BC3451" w:rsidP="008204BC">
                            <w:pPr>
                              <w:spacing w:before="100" w:beforeAutospacing="1" w:after="100" w:afterAutospacing="1"/>
                              <w:rPr>
                                <w:b/>
                                <w:szCs w:val="22"/>
                              </w:rPr>
                            </w:pPr>
                          </w:p>
                          <w:p w14:paraId="5BC0B493" w14:textId="77777777" w:rsidR="00BC3451" w:rsidRPr="009D3B92" w:rsidRDefault="00BC3451">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A2A7F4"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" o:allowincell="f" stroked="f">
                <v:textbox>
                  <w:txbxContent>
                    <w:p w14:paraId="61ABF303" w14:textId="77777777" w:rsidR="00BC3451" w:rsidRDefault="00BC3451">
                      <w:pPr>
                        <w:pStyle w:val="T1"/>
                        <w:spacing w:after="120"/>
                      </w:pPr>
                      <w:r>
                        <w:t>Abstract</w:t>
                      </w:r>
                    </w:p>
                    <w:p w14:paraId="7F783E78" w14:textId="0A7E7FB8" w:rsidR="00BC3451" w:rsidRDefault="00BC3451" w:rsidP="00CA2CB2">
                      <w:pPr>
                        <w:jc w:val="both"/>
                        <w:rPr>
                          <w:lang w:val="en-AU"/>
                        </w:rPr>
                      </w:pPr>
                      <w:r>
                        <w:t xml:space="preserve">The </w:t>
                      </w:r>
                      <w:proofErr w:type="spellStart"/>
                      <w:r>
                        <w:t>successfull</w:t>
                      </w:r>
                      <w:proofErr w:type="spellEnd"/>
                      <w:r>
                        <w:t xml:space="preserve"> deployment of NR-U and 802.11 technologies in the sub-7 GHz unlicensed spectrum relies on an efficient and fair access to the spectrum. 802.11 technologies are treated as incumbent in the 5 GHz band by standard bodies (i.e. 3GPP) and regulatory entities (i.e. ETSI BRAN), ensuring a ‘fair coexistence’ between 802.11 and newly developed (LTE-LAA) or future technologies (NR-U).  However, the 6 GHz band is often considered as a greenfield band, where according to this understanding, </w:t>
                      </w:r>
                      <w:r>
                        <w:rPr>
                          <w:lang w:val="en-AU"/>
                        </w:rPr>
                        <w:t xml:space="preserve">802.11ax should expect </w:t>
                      </w:r>
                      <w:r w:rsidRPr="0015482E">
                        <w:rPr>
                          <w:lang w:val="en-AU"/>
                        </w:rPr>
                        <w:t>no “incumbency” based protection</w:t>
                      </w:r>
                      <w:r>
                        <w:rPr>
                          <w:lang w:val="en-AU"/>
                        </w:rPr>
                        <w:t xml:space="preserve">. </w:t>
                      </w:r>
                      <w:r w:rsidRPr="00324EF2">
                        <w:rPr>
                          <w:szCs w:val="22"/>
                        </w:rPr>
                        <w:t xml:space="preserve">This document gives an overview of recent proposals for channel access mechanisms </w:t>
                      </w:r>
                      <w:r>
                        <w:rPr>
                          <w:szCs w:val="22"/>
                        </w:rPr>
                        <w:t xml:space="preserve">in the new 3GPP Study Item (SI) for 5G New Radio in Unlicensed Bands (5G NR-U) and highlights </w:t>
                      </w:r>
                      <w:r>
                        <w:rPr>
                          <w:lang w:val="en-AU"/>
                        </w:rPr>
                        <w:t>the need for a close collaboration between the 3GPP and the IEEE 802.11 to agree</w:t>
                      </w:r>
                      <w:r w:rsidRPr="00113164">
                        <w:rPr>
                          <w:lang w:val="en-AU"/>
                        </w:rPr>
                        <w:t xml:space="preserve"> on </w:t>
                      </w:r>
                      <w:r>
                        <w:rPr>
                          <w:lang w:val="en-AU"/>
                        </w:rPr>
                        <w:t xml:space="preserve">a </w:t>
                      </w:r>
                      <w:r w:rsidRPr="00113164">
                        <w:rPr>
                          <w:lang w:val="en-AU"/>
                        </w:rPr>
                        <w:t xml:space="preserve">fair </w:t>
                      </w:r>
                      <w:r>
                        <w:rPr>
                          <w:lang w:val="en-AU"/>
                        </w:rPr>
                        <w:t xml:space="preserve">and efficient </w:t>
                      </w:r>
                      <w:r w:rsidRPr="00113164">
                        <w:rPr>
                          <w:lang w:val="en-AU"/>
                        </w:rPr>
                        <w:t xml:space="preserve">access </w:t>
                      </w:r>
                      <w:r>
                        <w:rPr>
                          <w:lang w:val="en-AU"/>
                        </w:rPr>
                        <w:t xml:space="preserve">on the </w:t>
                      </w:r>
                      <w:proofErr w:type="spellStart"/>
                      <w:r w:rsidRPr="00113164">
                        <w:rPr>
                          <w:lang w:val="en-AU"/>
                        </w:rPr>
                        <w:t>the</w:t>
                      </w:r>
                      <w:proofErr w:type="spellEnd"/>
                      <w:r w:rsidRPr="00113164">
                        <w:rPr>
                          <w:lang w:val="en-AU"/>
                        </w:rPr>
                        <w:t xml:space="preserve"> 6</w:t>
                      </w:r>
                      <w:r>
                        <w:rPr>
                          <w:lang w:val="en-AU"/>
                        </w:rPr>
                        <w:t xml:space="preserve"> </w:t>
                      </w:r>
                      <w:r w:rsidRPr="00113164">
                        <w:rPr>
                          <w:lang w:val="en-AU"/>
                        </w:rPr>
                        <w:t>GHz</w:t>
                      </w:r>
                      <w:r>
                        <w:rPr>
                          <w:lang w:val="en-AU"/>
                        </w:rPr>
                        <w:t xml:space="preserve"> spectrum. The conduct of a joined workshop is proposed with a tentative agenda and schedule provided below.</w:t>
                      </w:r>
                    </w:p>
                    <w:p w14:paraId="43018099" w14:textId="77777777" w:rsidR="00BC3451" w:rsidRDefault="00BC3451" w:rsidP="00CA2CB2">
                      <w:pPr>
                        <w:jc w:val="both"/>
                        <w:rPr>
                          <w:lang w:val="en-AU"/>
                        </w:rPr>
                      </w:pPr>
                    </w:p>
                    <w:p w14:paraId="1C96AEE8" w14:textId="194C11DF" w:rsidR="00BC3451" w:rsidRDefault="00BC3451" w:rsidP="008204BC">
                      <w:pPr>
                        <w:spacing w:before="100" w:beforeAutospacing="1" w:after="100" w:afterAutospacing="1"/>
                        <w:rPr>
                          <w:szCs w:val="22"/>
                        </w:rPr>
                      </w:pPr>
                    </w:p>
                    <w:p w14:paraId="43AEBA06" w14:textId="77777777" w:rsidR="00BC3451" w:rsidRPr="00473073" w:rsidRDefault="00BC3451" w:rsidP="008204BC">
                      <w:pPr>
                        <w:spacing w:before="100" w:beforeAutospacing="1" w:after="100" w:afterAutospacing="1"/>
                        <w:rPr>
                          <w:b/>
                          <w:szCs w:val="22"/>
                        </w:rPr>
                      </w:pPr>
                    </w:p>
                    <w:p w14:paraId="5BC0B493" w14:textId="77777777" w:rsidR="00BC3451" w:rsidRPr="009D3B92" w:rsidRDefault="00BC3451">
                      <w:pPr>
                        <w:jc w:val="both"/>
                        <w:rPr>
                          <w:szCs w:val="22"/>
                        </w:rPr>
                      </w:pPr>
                    </w:p>
                  </w:txbxContent>
                </v:textbox>
              </v:shape>
            </w:pict>
          </mc:Fallback>
        </mc:AlternateContent>
      </w:r>
    </w:p>
    <w:p w14:paraId="51D1D981" w14:textId="77777777" w:rsidR="008204BC" w:rsidRDefault="00CA09B2" w:rsidP="003C304B">
      <w:pPr>
        <w:pStyle w:val="Heading1"/>
      </w:pPr>
      <w:r>
        <w:br w:type="page"/>
      </w:r>
      <w:r w:rsidR="008204BC">
        <w:lastRenderedPageBreak/>
        <w:t>Background</w:t>
      </w:r>
    </w:p>
    <w:p w14:paraId="3B1E6991" w14:textId="77777777" w:rsidR="00A36291" w:rsidRDefault="00A36291" w:rsidP="003C304B">
      <w:pPr>
        <w:jc w:val="both"/>
      </w:pPr>
    </w:p>
    <w:p w14:paraId="70C2694F" w14:textId="713525FB" w:rsidR="001755F4" w:rsidRPr="0099677A" w:rsidRDefault="001755F4" w:rsidP="004F5BEF">
      <w:pPr>
        <w:jc w:val="both"/>
        <w:rPr>
          <w:bCs/>
        </w:rPr>
      </w:pPr>
      <w:r>
        <w:t xml:space="preserve">3GPP RAN plenary approved a new SI for operation of the 5G NR in the unlicensed band in September 2017. The study has officially started in the following RAN1 meeting in November 2017. The objectives of the SI </w:t>
      </w:r>
      <w:r w:rsidR="00A36291">
        <w:t xml:space="preserve">are to </w:t>
      </w:r>
      <w:r w:rsidR="00A36291">
        <w:rPr>
          <w:bCs/>
        </w:rPr>
        <w:t>s</w:t>
      </w:r>
      <w:r w:rsidRPr="0099677A">
        <w:rPr>
          <w:bCs/>
        </w:rPr>
        <w:t>tudy NR-based operation in unlicensed spectrum (RAN1, RAN2, RAN4) including</w:t>
      </w:r>
      <w:r w:rsidR="000933DA">
        <w:rPr>
          <w:bCs/>
        </w:rPr>
        <w:t>:</w:t>
      </w:r>
      <w:r w:rsidRPr="0099677A">
        <w:rPr>
          <w:bCs/>
        </w:rPr>
        <w:t xml:space="preserve"> </w:t>
      </w:r>
    </w:p>
    <w:p w14:paraId="6D4EFD19" w14:textId="77777777" w:rsidR="001755F4" w:rsidRPr="0099677A" w:rsidRDefault="001755F4" w:rsidP="004F5BEF">
      <w:pPr>
        <w:numPr>
          <w:ilvl w:val="0"/>
          <w:numId w:val="11"/>
        </w:numPr>
        <w:overflowPunct w:val="0"/>
        <w:autoSpaceDE w:val="0"/>
        <w:autoSpaceDN w:val="0"/>
        <w:adjustRightInd w:val="0"/>
        <w:textAlignment w:val="baseline"/>
        <w:rPr>
          <w:bCs/>
        </w:rPr>
      </w:pPr>
      <w:r w:rsidRPr="0099677A">
        <w:rPr>
          <w:bCs/>
        </w:rPr>
        <w:t>Physical channels inheriting the choices of duplex mode, waveform, carrier bandwidth, subcarrier spacing, frame structure, and physical layer design made as part of the NR study and avoiding unnecessary divergence with decisions made in the NR WI</w:t>
      </w:r>
    </w:p>
    <w:p w14:paraId="0A509C99" w14:textId="77777777" w:rsidR="001755F4" w:rsidRPr="0099677A" w:rsidRDefault="001755F4" w:rsidP="004F5BEF">
      <w:pPr>
        <w:numPr>
          <w:ilvl w:val="1"/>
          <w:numId w:val="11"/>
        </w:numPr>
        <w:overflowPunct w:val="0"/>
        <w:autoSpaceDE w:val="0"/>
        <w:autoSpaceDN w:val="0"/>
        <w:adjustRightInd w:val="0"/>
        <w:textAlignment w:val="baseline"/>
        <w:rPr>
          <w:bCs/>
        </w:rPr>
      </w:pPr>
      <w:r w:rsidRPr="00A939BB">
        <w:rPr>
          <w:bCs/>
          <w:u w:val="single"/>
        </w:rPr>
        <w:t>Consider unlicensed bands both below and above 6GHz</w:t>
      </w:r>
      <w:r w:rsidRPr="0099677A">
        <w:rPr>
          <w:bCs/>
        </w:rPr>
        <w:t>, up to 52.6GHz</w:t>
      </w:r>
    </w:p>
    <w:p w14:paraId="51945E71" w14:textId="77777777" w:rsidR="001755F4" w:rsidRPr="0099677A" w:rsidRDefault="001755F4" w:rsidP="004F5BEF">
      <w:pPr>
        <w:numPr>
          <w:ilvl w:val="1"/>
          <w:numId w:val="11"/>
        </w:numPr>
        <w:overflowPunct w:val="0"/>
        <w:autoSpaceDE w:val="0"/>
        <w:autoSpaceDN w:val="0"/>
        <w:adjustRightInd w:val="0"/>
        <w:textAlignment w:val="baseline"/>
        <w:rPr>
          <w:bCs/>
        </w:rPr>
      </w:pPr>
      <w:r w:rsidRPr="0099677A">
        <w:rPr>
          <w:bCs/>
        </w:rPr>
        <w:t xml:space="preserve">Consider unlicensed bands above 52.6GHz to the extent that waveform design principles remain unchanged with respect to below 52.6GHz bands </w:t>
      </w:r>
    </w:p>
    <w:p w14:paraId="43F7EC1E" w14:textId="77777777" w:rsidR="001755F4" w:rsidRPr="0099677A" w:rsidRDefault="001755F4" w:rsidP="004F5BEF">
      <w:pPr>
        <w:numPr>
          <w:ilvl w:val="1"/>
          <w:numId w:val="11"/>
        </w:numPr>
        <w:overflowPunct w:val="0"/>
        <w:autoSpaceDE w:val="0"/>
        <w:autoSpaceDN w:val="0"/>
        <w:adjustRightInd w:val="0"/>
        <w:textAlignment w:val="baseline"/>
        <w:rPr>
          <w:bCs/>
        </w:rPr>
      </w:pPr>
      <w:r w:rsidRPr="0099677A">
        <w:rPr>
          <w:bCs/>
          <w:lang w:eastAsia="zh-CN"/>
        </w:rPr>
        <w:t>Consider similar forward compatibility principles made in the NR WI</w:t>
      </w:r>
      <w:r w:rsidRPr="0099677A">
        <w:rPr>
          <w:bCs/>
        </w:rPr>
        <w:t xml:space="preserve"> </w:t>
      </w:r>
    </w:p>
    <w:p w14:paraId="192A174A" w14:textId="77777777" w:rsidR="001755F4" w:rsidRPr="0099677A" w:rsidRDefault="001755F4" w:rsidP="004F5BEF">
      <w:pPr>
        <w:numPr>
          <w:ilvl w:val="0"/>
          <w:numId w:val="11"/>
        </w:numPr>
        <w:overflowPunct w:val="0"/>
        <w:autoSpaceDE w:val="0"/>
        <w:autoSpaceDN w:val="0"/>
        <w:adjustRightInd w:val="0"/>
        <w:textAlignment w:val="baseline"/>
        <w:rPr>
          <w:bCs/>
        </w:rPr>
      </w:pPr>
      <w:r w:rsidRPr="0099677A">
        <w:rPr>
          <w:bCs/>
        </w:rPr>
        <w:t>Initial access, channel access. Scheduling/HARQ, and mobility including connected/inactive/idle mode operation and radio-link monitoring/failure</w:t>
      </w:r>
    </w:p>
    <w:p w14:paraId="7ECC23EE" w14:textId="77777777" w:rsidR="001755F4" w:rsidRDefault="001755F4" w:rsidP="004F5BEF">
      <w:pPr>
        <w:numPr>
          <w:ilvl w:val="0"/>
          <w:numId w:val="11"/>
        </w:numPr>
        <w:overflowPunct w:val="0"/>
        <w:autoSpaceDE w:val="0"/>
        <w:autoSpaceDN w:val="0"/>
        <w:adjustRightInd w:val="0"/>
        <w:textAlignment w:val="baseline"/>
        <w:rPr>
          <w:bCs/>
        </w:rPr>
      </w:pPr>
      <w:r w:rsidRPr="0099677A">
        <w:rPr>
          <w:bCs/>
        </w:rPr>
        <w:t xml:space="preserve">Coexistence methods within NR-based and between NR-based operation in unlicensed and LTE-based LAA and with other incumbent RATs in accordance with regulatory requirements in e.g., 5GHz, 37GHz, 60GHz bands </w:t>
      </w:r>
    </w:p>
    <w:p w14:paraId="788B6E8C" w14:textId="77777777" w:rsidR="001755F4" w:rsidRPr="007A3091" w:rsidRDefault="001755F4" w:rsidP="004F5BEF">
      <w:pPr>
        <w:numPr>
          <w:ilvl w:val="1"/>
          <w:numId w:val="11"/>
        </w:numPr>
        <w:overflowPunct w:val="0"/>
        <w:autoSpaceDE w:val="0"/>
        <w:autoSpaceDN w:val="0"/>
        <w:adjustRightInd w:val="0"/>
        <w:textAlignment w:val="baseline"/>
        <w:rPr>
          <w:bCs/>
          <w:lang w:eastAsia="zh-CN"/>
        </w:rPr>
      </w:pPr>
      <w:r w:rsidRPr="00A939BB">
        <w:rPr>
          <w:bCs/>
          <w:u w:val="single"/>
          <w:lang w:eastAsia="zh-CN"/>
        </w:rPr>
        <w:t>Coexistence methods already defined for 5GHz band in LTE-based LAA context should be assumed as the baseline for 5GHz operation. Enhancements in 5GHz over these methods should not be precluded.</w:t>
      </w:r>
      <w:r w:rsidRPr="007A3091">
        <w:rPr>
          <w:bCs/>
          <w:lang w:eastAsia="zh-CN"/>
        </w:rPr>
        <w:t xml:space="preserve"> NR-based operation in unlicensed spectrum should not impact deployed Wi-Fi services (data, video and voice services) more than an additional Wi-Fi network on the same carrier   </w:t>
      </w:r>
    </w:p>
    <w:p w14:paraId="181CF243" w14:textId="77777777" w:rsidR="001755F4" w:rsidRDefault="001755F4" w:rsidP="004F5BEF">
      <w:pPr>
        <w:jc w:val="both"/>
      </w:pPr>
    </w:p>
    <w:p w14:paraId="2986C27E" w14:textId="21A62B58" w:rsidR="001755F4" w:rsidRDefault="001755F4" w:rsidP="004F5BEF">
      <w:pPr>
        <w:jc w:val="both"/>
      </w:pPr>
      <w:r>
        <w:t xml:space="preserve">As can be seen, both 5 GHz </w:t>
      </w:r>
      <w:r w:rsidR="000933DA">
        <w:t>and</w:t>
      </w:r>
      <w:r>
        <w:t xml:space="preserve"> 6 GHz are frequency bands of interest. These </w:t>
      </w:r>
      <w:r w:rsidR="000933DA">
        <w:t xml:space="preserve">frequency </w:t>
      </w:r>
      <w:r>
        <w:t xml:space="preserve">bands are initial focus of the SI. The deployment scenarios of NR-U include license assisted access (LAA) with the licensed anchor carrier in LTE or in 5G NR in addition to stand-alone (SA) unlicensed operation. 5G NR-U can be considered as </w:t>
      </w:r>
      <w:r w:rsidR="000933DA">
        <w:t xml:space="preserve">a </w:t>
      </w:r>
      <w:r>
        <w:t xml:space="preserve">natural evolution of LTE LAA technology. It is the intention of the 3GPP to leverage the learnings from the LTE LAA specification for the </w:t>
      </w:r>
      <w:r w:rsidR="000933DA">
        <w:t xml:space="preserve">development of the </w:t>
      </w:r>
      <w:r>
        <w:t>NR-U</w:t>
      </w:r>
      <w:r w:rsidR="00DD5BD2">
        <w:t xml:space="preserve"> </w:t>
      </w:r>
      <w:r w:rsidR="000933DA">
        <w:t>technology</w:t>
      </w:r>
      <w:r>
        <w:t>. It is</w:t>
      </w:r>
      <w:r w:rsidR="000274BB">
        <w:t xml:space="preserve"> also</w:t>
      </w:r>
      <w:r>
        <w:t xml:space="preserve"> possible to enhance the channel access of NR-U compared to LTE LAA and improve its coexistence behaviour by taking advantage of the flexilibity in the new NR frame structure</w:t>
      </w:r>
      <w:r w:rsidR="000933DA">
        <w:t xml:space="preserve"> and adopting enhanced c</w:t>
      </w:r>
      <w:r w:rsidR="00A37AA3">
        <w:t>arrier</w:t>
      </w:r>
      <w:r w:rsidR="000933DA">
        <w:t xml:space="preserve"> sensing (CS) mechanisms such as preamble detection (PD) based access</w:t>
      </w:r>
      <w:r>
        <w:t>. On the other hand, there are currently proposals in NR-U SI which are known to cause detrimental impact on Wi</w:t>
      </w:r>
      <w:r w:rsidR="00A36291">
        <w:t>-</w:t>
      </w:r>
      <w:r>
        <w:t xml:space="preserve">Fi. </w:t>
      </w:r>
    </w:p>
    <w:p w14:paraId="31E0208F" w14:textId="77777777" w:rsidR="001755F4" w:rsidRDefault="001755F4" w:rsidP="004F5BEF">
      <w:pPr>
        <w:jc w:val="both"/>
      </w:pPr>
    </w:p>
    <w:p w14:paraId="7E4DDE0B" w14:textId="5F548C70" w:rsidR="001755F4" w:rsidRDefault="001755F4" w:rsidP="004F5BEF">
      <w:pPr>
        <w:jc w:val="both"/>
      </w:pPr>
      <w:r>
        <w:t xml:space="preserve">During the specification of LTE LAA, a few companies including CableLabs have participated in 3GPP meetings to </w:t>
      </w:r>
      <w:r w:rsidR="00A37AA3">
        <w:t xml:space="preserve">minimize the impact of LTE LAA on WiFi and to </w:t>
      </w:r>
      <w:r>
        <w:t xml:space="preserve">ensure a good coexistence behaviour. The </w:t>
      </w:r>
      <w:r w:rsidR="00A45B30">
        <w:t xml:space="preserve">development of the </w:t>
      </w:r>
      <w:r>
        <w:t>ETSI BRAN Harmonized Standard (HS) and the fact that 802.11ac was already deployed in the 5 GHz band were instrumental for this effort. As of today, there is no regulation in 6 GHz yet in any region defining the channel access rules for this band, while both 3GPP and IEEE consider</w:t>
      </w:r>
      <w:r w:rsidR="00F821E1">
        <w:t xml:space="preserve"> </w:t>
      </w:r>
      <w:r>
        <w:t xml:space="preserve">the 6 GHz band as a potentially unlicensed band. From the perspective of the majority of 3GPP companies, the coexistence criteria may not be considered for the </w:t>
      </w:r>
      <w:r w:rsidR="00B90420">
        <w:t xml:space="preserve">channel access </w:t>
      </w:r>
      <w:r>
        <w:t>design to operate on this band</w:t>
      </w:r>
      <w:r w:rsidR="00B90420">
        <w:t xml:space="preserve"> since it is a greenfield band</w:t>
      </w:r>
      <w:r>
        <w:t xml:space="preserve">. If IEEE does not engage with 3GPP to indicate the intention to extend 802.11ax into the 6 GHz band, then the 3GPP may assume no incumbent technology and it will be very difficult to include clauses related to coexistence with 802.11ax. </w:t>
      </w:r>
    </w:p>
    <w:p w14:paraId="0C4C52DF" w14:textId="77777777" w:rsidR="001755F4" w:rsidRDefault="001755F4" w:rsidP="004F5BEF">
      <w:pPr>
        <w:jc w:val="both"/>
      </w:pPr>
    </w:p>
    <w:p w14:paraId="216E1BBA" w14:textId="4D507028" w:rsidR="00EB2CE7" w:rsidRDefault="001755F4" w:rsidP="001755F4">
      <w:pPr>
        <w:jc w:val="both"/>
      </w:pPr>
      <w:r>
        <w:t>In the following section, we look at possible scenarios for the channel access in the 6 GHz band</w:t>
      </w:r>
      <w:r w:rsidR="00A37AA3">
        <w:t xml:space="preserve"> only from the perspective of CS</w:t>
      </w:r>
      <w:r>
        <w:t>.</w:t>
      </w:r>
      <w:r w:rsidR="00A37AA3">
        <w:t xml:space="preserve"> Note that the c</w:t>
      </w:r>
      <w:r w:rsidR="00EB2CE7">
        <w:t>hannel access behaviour</w:t>
      </w:r>
      <w:r w:rsidR="00A37AA3">
        <w:t xml:space="preserve"> is a function of </w:t>
      </w:r>
      <w:r w:rsidR="00EB2CE7">
        <w:t>different mechanisms impacting coexistence. However, we focus on the CS on this document for its importance on the coexistence.</w:t>
      </w:r>
    </w:p>
    <w:p w14:paraId="31A6427E" w14:textId="77777777" w:rsidR="00EB2CE7" w:rsidRDefault="00EB2CE7" w:rsidP="001755F4">
      <w:pPr>
        <w:jc w:val="both"/>
      </w:pPr>
    </w:p>
    <w:p w14:paraId="5D6D2727" w14:textId="182A8112" w:rsidR="001755F4" w:rsidRDefault="00EB2CE7" w:rsidP="001755F4">
      <w:pPr>
        <w:jc w:val="both"/>
      </w:pPr>
      <w:r>
        <w:t xml:space="preserve"> </w:t>
      </w:r>
      <w:r w:rsidR="001755F4">
        <w:t xml:space="preserve">  </w:t>
      </w:r>
    </w:p>
    <w:p w14:paraId="64CCD35F" w14:textId="2D0E690F" w:rsidR="001755F4" w:rsidRPr="008204BC" w:rsidRDefault="001755F4" w:rsidP="003C304B">
      <w:pPr>
        <w:pStyle w:val="Heading1"/>
      </w:pPr>
      <w:r>
        <w:lastRenderedPageBreak/>
        <w:t>Carrier Sensing in NR-U</w:t>
      </w:r>
      <w:r w:rsidR="00A17800">
        <w:t xml:space="preserve"> Design</w:t>
      </w:r>
    </w:p>
    <w:p w14:paraId="20D5DC26" w14:textId="77777777" w:rsidR="001755F4" w:rsidRDefault="001755F4" w:rsidP="003C304B">
      <w:pPr>
        <w:pStyle w:val="NormalWeb"/>
        <w:shd w:val="clear" w:color="auto" w:fill="FFFFFF"/>
        <w:spacing w:before="0" w:beforeAutospacing="0" w:after="0" w:afterAutospacing="0"/>
        <w:textAlignment w:val="baseline"/>
        <w:rPr>
          <w:color w:val="444444"/>
          <w:sz w:val="22"/>
          <w:szCs w:val="22"/>
        </w:rPr>
      </w:pPr>
    </w:p>
    <w:p w14:paraId="3DFF4545" w14:textId="64ABBFD8" w:rsidR="004F5BEF" w:rsidRDefault="001755F4" w:rsidP="003C304B">
      <w:pPr>
        <w:rPr>
          <w:lang w:val="en-AU"/>
        </w:rPr>
      </w:pPr>
      <w:r>
        <w:rPr>
          <w:lang w:val="en-AU"/>
        </w:rPr>
        <w:t>The 3GPP will strive to reuse channel access design defined in the LTE LAA in the new NR-U SI as much as possible especially for the 5 GHz band. One of the enhancements considered for the NR-U is to implement PD based CS instead of energy detection (ED) based CS. The PD based CS will improve sensitivity level of the NR-U nodes and allow better detection of</w:t>
      </w:r>
      <w:r w:rsidR="004216C9">
        <w:rPr>
          <w:lang w:val="en-AU"/>
        </w:rPr>
        <w:t xml:space="preserve"> the</w:t>
      </w:r>
      <w:r>
        <w:rPr>
          <w:lang w:val="en-AU"/>
        </w:rPr>
        <w:t xml:space="preserve"> blind nodes. Preamble can also </w:t>
      </w:r>
      <w:r w:rsidR="004216C9">
        <w:rPr>
          <w:lang w:val="en-AU"/>
        </w:rPr>
        <w:t>carry</w:t>
      </w:r>
      <w:r>
        <w:rPr>
          <w:lang w:val="en-AU"/>
        </w:rPr>
        <w:t xml:space="preserve"> useful information to improve efficiency of the network</w:t>
      </w:r>
      <w:r w:rsidR="006256A5">
        <w:rPr>
          <w:lang w:val="en-AU"/>
        </w:rPr>
        <w:t xml:space="preserve"> to enable mechanisms similar to RTS/CTS transmission or spatial reuse operation</w:t>
      </w:r>
      <w:r>
        <w:rPr>
          <w:lang w:val="en-AU"/>
        </w:rPr>
        <w:t>. The following scenarios can be considered for the new channel access design:</w:t>
      </w:r>
    </w:p>
    <w:p w14:paraId="20D38617" w14:textId="77777777" w:rsidR="004F5BEF" w:rsidRDefault="004F5BEF" w:rsidP="004F5BEF">
      <w:pPr>
        <w:rPr>
          <w:lang w:val="en-AU"/>
        </w:rPr>
      </w:pPr>
    </w:p>
    <w:p w14:paraId="7DA3AB99" w14:textId="77777777" w:rsidR="001755F4" w:rsidRDefault="001755F4" w:rsidP="004F5BEF">
      <w:pPr>
        <w:rPr>
          <w:lang w:val="en-AU"/>
        </w:rPr>
      </w:pPr>
    </w:p>
    <w:p w14:paraId="0AFB01B3" w14:textId="01D78D2D" w:rsidR="001755F4" w:rsidRPr="00171639" w:rsidRDefault="001755F4" w:rsidP="004F5BEF">
      <w:pPr>
        <w:pStyle w:val="ListParagraph"/>
        <w:numPr>
          <w:ilvl w:val="1"/>
          <w:numId w:val="11"/>
        </w:numPr>
        <w:ind w:left="360"/>
        <w:jc w:val="both"/>
        <w:rPr>
          <w:lang w:val="en-AU"/>
        </w:rPr>
      </w:pPr>
      <w:r w:rsidRPr="00171639">
        <w:rPr>
          <w:b/>
          <w:lang w:val="en-AU"/>
        </w:rPr>
        <w:t>PD based CS with universal preamble design:</w:t>
      </w:r>
      <w:r w:rsidRPr="00171639">
        <w:rPr>
          <w:lang w:val="en-AU"/>
        </w:rPr>
        <w:t xml:space="preserve"> The new design that includes portions that can be detected by WiFi devices in addition to NR-U specific control information. The new preamble design in NR-U could be designed to be detected by WiFi devices. This can enable lower sensing thresholds between NR-U and WiFi and reduce collisions between the</w:t>
      </w:r>
      <w:r w:rsidR="004216C9">
        <w:rPr>
          <w:lang w:val="en-AU"/>
        </w:rPr>
        <w:t>se technologies</w:t>
      </w:r>
      <w:r w:rsidRPr="00171639">
        <w:rPr>
          <w:lang w:val="en-AU"/>
        </w:rPr>
        <w:t>.</w:t>
      </w:r>
      <w:r>
        <w:rPr>
          <w:lang w:val="en-AU"/>
        </w:rPr>
        <w:t xml:space="preserve"> </w:t>
      </w:r>
    </w:p>
    <w:p w14:paraId="5A7CDFE8" w14:textId="77777777" w:rsidR="001755F4" w:rsidRDefault="001755F4" w:rsidP="004F5BEF">
      <w:pPr>
        <w:pStyle w:val="ListParagraph"/>
        <w:jc w:val="both"/>
        <w:rPr>
          <w:lang w:val="en-AU"/>
        </w:rPr>
      </w:pPr>
    </w:p>
    <w:p w14:paraId="03A6A3BF" w14:textId="05F33439" w:rsidR="001755F4" w:rsidRPr="00D377CD" w:rsidRDefault="001755F4" w:rsidP="004F5BEF">
      <w:pPr>
        <w:pStyle w:val="ListParagraph"/>
        <w:numPr>
          <w:ilvl w:val="1"/>
          <w:numId w:val="11"/>
        </w:numPr>
        <w:ind w:left="360"/>
        <w:jc w:val="both"/>
        <w:rPr>
          <w:b/>
          <w:lang w:val="en-AU"/>
        </w:rPr>
      </w:pPr>
      <w:r w:rsidRPr="00171639">
        <w:rPr>
          <w:b/>
          <w:lang w:val="en-AU"/>
        </w:rPr>
        <w:t>PD based CS</w:t>
      </w:r>
      <w:r>
        <w:rPr>
          <w:b/>
          <w:lang w:val="en-AU"/>
        </w:rPr>
        <w:t xml:space="preserve"> with NR-U only preamble</w:t>
      </w:r>
      <w:r w:rsidRPr="00171639">
        <w:rPr>
          <w:b/>
          <w:lang w:val="en-AU"/>
        </w:rPr>
        <w:t>:</w:t>
      </w:r>
      <w:r>
        <w:rPr>
          <w:b/>
          <w:lang w:val="en-AU"/>
        </w:rPr>
        <w:t xml:space="preserve"> </w:t>
      </w:r>
      <w:r>
        <w:rPr>
          <w:lang w:val="en-AU"/>
        </w:rPr>
        <w:t>The new preamble design includes only NR-U specific information that cannot be detected by WiFi. This will lower sensing threshold between NR-U nodes</w:t>
      </w:r>
      <w:r w:rsidR="003957F5">
        <w:rPr>
          <w:lang w:val="en-AU"/>
        </w:rPr>
        <w:t xml:space="preserve"> while keeping ED based detection against WiFi nodes.</w:t>
      </w:r>
      <w:r>
        <w:rPr>
          <w:lang w:val="en-AU"/>
        </w:rPr>
        <w:t xml:space="preserve"> In this case, it can be argued that NR-U does not have to back-off to WiFi nodes up to -62 dBm since it is using PD based detection. </w:t>
      </w:r>
    </w:p>
    <w:p w14:paraId="2AE48F69" w14:textId="77777777" w:rsidR="001755F4" w:rsidRPr="00D377CD" w:rsidRDefault="001755F4" w:rsidP="004F5BEF">
      <w:pPr>
        <w:pStyle w:val="ListParagraph"/>
        <w:ind w:left="0"/>
        <w:rPr>
          <w:b/>
          <w:lang w:val="en-AU"/>
        </w:rPr>
      </w:pPr>
    </w:p>
    <w:p w14:paraId="1D5E6B64" w14:textId="0BEC8EE5" w:rsidR="001755F4" w:rsidRPr="00171639" w:rsidRDefault="001755F4" w:rsidP="004F5BEF">
      <w:pPr>
        <w:pStyle w:val="ListParagraph"/>
        <w:numPr>
          <w:ilvl w:val="1"/>
          <w:numId w:val="11"/>
        </w:numPr>
        <w:ind w:left="360"/>
        <w:jc w:val="both"/>
        <w:rPr>
          <w:b/>
          <w:lang w:val="en-AU"/>
        </w:rPr>
      </w:pPr>
      <w:r>
        <w:rPr>
          <w:b/>
          <w:lang w:val="en-AU"/>
        </w:rPr>
        <w:t xml:space="preserve">ED based </w:t>
      </w:r>
      <w:r w:rsidR="003957F5">
        <w:rPr>
          <w:b/>
          <w:lang w:val="en-AU"/>
        </w:rPr>
        <w:t>detection</w:t>
      </w:r>
      <w:r>
        <w:rPr>
          <w:b/>
          <w:lang w:val="en-AU"/>
        </w:rPr>
        <w:t xml:space="preserve">: </w:t>
      </w:r>
      <w:r>
        <w:rPr>
          <w:lang w:val="en-AU"/>
        </w:rPr>
        <w:t xml:space="preserve">No changes from LTE LAA CS design, i.e. the NR-U nodes back off to all nodes at -72 dBm. </w:t>
      </w:r>
    </w:p>
    <w:p w14:paraId="4A4A904D" w14:textId="77777777" w:rsidR="001755F4" w:rsidRDefault="001755F4" w:rsidP="00DC750C">
      <w:pPr>
        <w:jc w:val="both"/>
        <w:rPr>
          <w:lang w:val="en-AU"/>
        </w:rPr>
      </w:pPr>
    </w:p>
    <w:p w14:paraId="0653A464" w14:textId="182FDC4E" w:rsidR="00C93BBD" w:rsidRDefault="001755F4" w:rsidP="004F5BEF">
      <w:pPr>
        <w:rPr>
          <w:lang w:val="en-AU"/>
        </w:rPr>
      </w:pPr>
      <w:r>
        <w:rPr>
          <w:lang w:val="en-AU"/>
        </w:rPr>
        <w:t xml:space="preserve">CS method for the LBT design is a fundamental element of coexistence. There is a possibility that the new method can degrade the coexistence behaviour with WiFi. </w:t>
      </w:r>
      <w:bookmarkStart w:id="0" w:name="_Hlk518377126"/>
      <w:r>
        <w:rPr>
          <w:lang w:val="en-AU"/>
        </w:rPr>
        <w:t>Therefore, it is very important that 3GPP takes 802.11ax into consideration while designing the channel access mechanisms including the CS method for the 6 GHz band. This highlight</w:t>
      </w:r>
      <w:r w:rsidR="003957F5">
        <w:rPr>
          <w:lang w:val="en-AU"/>
        </w:rPr>
        <w:t xml:space="preserve">s </w:t>
      </w:r>
      <w:r>
        <w:rPr>
          <w:lang w:val="en-AU"/>
        </w:rPr>
        <w:t>the need for a close collaboration between the 3GPP and the IEEE 802.11 to agree</w:t>
      </w:r>
      <w:r w:rsidRPr="00113164">
        <w:rPr>
          <w:lang w:val="en-AU"/>
        </w:rPr>
        <w:t xml:space="preserve"> on </w:t>
      </w:r>
      <w:r>
        <w:rPr>
          <w:lang w:val="en-AU"/>
        </w:rPr>
        <w:t xml:space="preserve">a </w:t>
      </w:r>
      <w:r w:rsidRPr="00113164">
        <w:rPr>
          <w:lang w:val="en-AU"/>
        </w:rPr>
        <w:t xml:space="preserve">fair </w:t>
      </w:r>
      <w:r>
        <w:rPr>
          <w:lang w:val="en-AU"/>
        </w:rPr>
        <w:t xml:space="preserve">and efficient </w:t>
      </w:r>
      <w:r w:rsidRPr="00113164">
        <w:rPr>
          <w:lang w:val="en-AU"/>
        </w:rPr>
        <w:t xml:space="preserve">access </w:t>
      </w:r>
      <w:r w:rsidR="00F84921">
        <w:rPr>
          <w:lang w:val="en-AU"/>
        </w:rPr>
        <w:t>on</w:t>
      </w:r>
      <w:r>
        <w:rPr>
          <w:lang w:val="en-AU"/>
        </w:rPr>
        <w:t xml:space="preserve"> </w:t>
      </w:r>
      <w:r w:rsidRPr="00113164">
        <w:rPr>
          <w:lang w:val="en-AU"/>
        </w:rPr>
        <w:t>the 6</w:t>
      </w:r>
      <w:r>
        <w:rPr>
          <w:lang w:val="en-AU"/>
        </w:rPr>
        <w:t xml:space="preserve"> </w:t>
      </w:r>
      <w:r w:rsidRPr="00113164">
        <w:rPr>
          <w:lang w:val="en-AU"/>
        </w:rPr>
        <w:t>GHz</w:t>
      </w:r>
      <w:r>
        <w:rPr>
          <w:lang w:val="en-AU"/>
        </w:rPr>
        <w:t xml:space="preserve"> spectrum.</w:t>
      </w:r>
      <w:r w:rsidR="00A26B1F">
        <w:rPr>
          <w:lang w:val="en-AU"/>
        </w:rPr>
        <w:t xml:space="preserve"> </w:t>
      </w:r>
      <w:r>
        <w:rPr>
          <w:lang w:val="en-AU"/>
        </w:rPr>
        <w:t xml:space="preserve">The conduct of a joined workshop is proposed </w:t>
      </w:r>
      <w:r w:rsidR="00A26B1F">
        <w:rPr>
          <w:lang w:val="en-AU"/>
        </w:rPr>
        <w:t xml:space="preserve">in the following </w:t>
      </w:r>
      <w:r>
        <w:rPr>
          <w:lang w:val="en-AU"/>
        </w:rPr>
        <w:t>with a tentative agenda and schedule.</w:t>
      </w:r>
    </w:p>
    <w:bookmarkEnd w:id="0"/>
    <w:p w14:paraId="51D65629" w14:textId="0ACE674E" w:rsidR="00C93BBD" w:rsidRPr="008204BC" w:rsidRDefault="003C304B" w:rsidP="00DC750C">
      <w:pPr>
        <w:pStyle w:val="Heading1"/>
      </w:pPr>
      <w:r>
        <w:t xml:space="preserve">Workshop </w:t>
      </w:r>
      <w:r w:rsidR="00C93BBD">
        <w:t>Objectives</w:t>
      </w:r>
    </w:p>
    <w:p w14:paraId="26B447D3" w14:textId="77777777" w:rsidR="00C93BBD" w:rsidRDefault="00C93BBD" w:rsidP="004F5BEF">
      <w:pPr>
        <w:pStyle w:val="NormalWeb"/>
        <w:shd w:val="clear" w:color="auto" w:fill="FFFFFF"/>
        <w:spacing w:before="0" w:beforeAutospacing="0" w:after="0" w:afterAutospacing="0"/>
        <w:textAlignment w:val="baseline"/>
        <w:rPr>
          <w:color w:val="444444"/>
          <w:sz w:val="22"/>
          <w:szCs w:val="22"/>
        </w:rPr>
      </w:pPr>
    </w:p>
    <w:p w14:paraId="6D3436D3" w14:textId="77777777" w:rsidR="00C93BBD" w:rsidRDefault="00C93BBD" w:rsidP="004F5BEF">
      <w:pPr>
        <w:pStyle w:val="NormalWeb"/>
        <w:shd w:val="clear" w:color="auto" w:fill="FFFFFF"/>
        <w:spacing w:before="0" w:beforeAutospacing="0" w:after="0" w:afterAutospacing="0"/>
        <w:textAlignment w:val="baseline"/>
        <w:rPr>
          <w:sz w:val="22"/>
          <w:szCs w:val="22"/>
        </w:rPr>
      </w:pPr>
      <w:r w:rsidRPr="00BC4003">
        <w:rPr>
          <w:sz w:val="22"/>
          <w:szCs w:val="22"/>
        </w:rPr>
        <w:t>The objectives of the workshop are as follows</w:t>
      </w:r>
      <w:r>
        <w:rPr>
          <w:sz w:val="22"/>
          <w:szCs w:val="22"/>
        </w:rPr>
        <w:t>:</w:t>
      </w:r>
    </w:p>
    <w:p w14:paraId="0728404E" w14:textId="77777777" w:rsidR="00C93BBD" w:rsidRPr="00BC4003" w:rsidRDefault="00C93BBD" w:rsidP="004F5BEF">
      <w:pPr>
        <w:pStyle w:val="NormalWeb"/>
        <w:shd w:val="clear" w:color="auto" w:fill="FFFFFF"/>
        <w:spacing w:before="0" w:beforeAutospacing="0" w:after="0" w:afterAutospacing="0"/>
        <w:textAlignment w:val="baseline"/>
        <w:rPr>
          <w:sz w:val="22"/>
          <w:szCs w:val="22"/>
        </w:rPr>
      </w:pPr>
    </w:p>
    <w:p w14:paraId="2E37A95C" w14:textId="3E5A9CA7" w:rsidR="00C93BBD" w:rsidRPr="00BC4003" w:rsidRDefault="00C93BBD" w:rsidP="004F5BEF">
      <w:pPr>
        <w:pStyle w:val="ListParagraph"/>
        <w:numPr>
          <w:ilvl w:val="0"/>
          <w:numId w:val="2"/>
        </w:numPr>
        <w:rPr>
          <w:lang w:val="en-US"/>
        </w:rPr>
      </w:pPr>
      <w:r>
        <w:t>To r</w:t>
      </w:r>
      <w:r w:rsidRPr="00BC4003">
        <w:t xml:space="preserve">aise the awareness of both </w:t>
      </w:r>
      <w:r w:rsidR="009111E4">
        <w:t xml:space="preserve">the </w:t>
      </w:r>
      <w:r w:rsidRPr="00BC4003">
        <w:t>3GPP</w:t>
      </w:r>
      <w:r>
        <w:t xml:space="preserve"> and </w:t>
      </w:r>
      <w:r w:rsidR="009111E4">
        <w:t xml:space="preserve">the </w:t>
      </w:r>
      <w:r w:rsidRPr="00BC4003">
        <w:t xml:space="preserve">IEEE </w:t>
      </w:r>
      <w:r w:rsidR="009D7D8D">
        <w:t xml:space="preserve">802.11 </w:t>
      </w:r>
      <w:r w:rsidRPr="00BC4003">
        <w:t xml:space="preserve">that </w:t>
      </w:r>
      <w:r w:rsidR="009111E4">
        <w:t xml:space="preserve">the </w:t>
      </w:r>
      <w:r w:rsidRPr="00BC4003">
        <w:t xml:space="preserve">6 GHz </w:t>
      </w:r>
      <w:r w:rsidR="009111E4">
        <w:t xml:space="preserve">band </w:t>
      </w:r>
      <w:r w:rsidRPr="00BC4003">
        <w:t>is not a greenfield</w:t>
      </w:r>
      <w:r w:rsidR="009524CB">
        <w:t xml:space="preserve"> reserved for a </w:t>
      </w:r>
      <w:r w:rsidR="00CF00C8">
        <w:t>certain technology.</w:t>
      </w:r>
    </w:p>
    <w:p w14:paraId="2868EAAA" w14:textId="65C0ECB4" w:rsidR="00C93BBD" w:rsidRPr="00BC4003" w:rsidRDefault="00C93BBD" w:rsidP="004F5BEF">
      <w:pPr>
        <w:pStyle w:val="ListParagraph"/>
        <w:numPr>
          <w:ilvl w:val="0"/>
          <w:numId w:val="2"/>
        </w:numPr>
      </w:pPr>
      <w:r>
        <w:t xml:space="preserve">To </w:t>
      </w:r>
      <w:r w:rsidR="009111E4">
        <w:t xml:space="preserve">define </w:t>
      </w:r>
      <w:r w:rsidRPr="00BC4003">
        <w:t>the coexistence method</w:t>
      </w:r>
      <w:r w:rsidR="009111E4">
        <w:t>ology</w:t>
      </w:r>
      <w:r w:rsidRPr="00BC4003">
        <w:t xml:space="preserve"> </w:t>
      </w:r>
      <w:r w:rsidR="009111E4">
        <w:t xml:space="preserve">to be </w:t>
      </w:r>
      <w:r w:rsidRPr="00BC4003">
        <w:t xml:space="preserve">used for </w:t>
      </w:r>
      <w:r w:rsidR="009111E4">
        <w:t xml:space="preserve">the </w:t>
      </w:r>
      <w:r w:rsidRPr="00BC4003">
        <w:t>6</w:t>
      </w:r>
      <w:r>
        <w:t xml:space="preserve"> </w:t>
      </w:r>
      <w:r w:rsidRPr="00BC4003">
        <w:t xml:space="preserve">GHz </w:t>
      </w:r>
      <w:r w:rsidR="009111E4">
        <w:t xml:space="preserve">band </w:t>
      </w:r>
      <w:r w:rsidRPr="00BC4003">
        <w:t xml:space="preserve">by </w:t>
      </w:r>
      <w:r w:rsidR="00280480">
        <w:t xml:space="preserve">the </w:t>
      </w:r>
      <w:r w:rsidRPr="00BC4003">
        <w:t>3GPP</w:t>
      </w:r>
      <w:r w:rsidR="00280480">
        <w:t xml:space="preserve"> </w:t>
      </w:r>
      <w:r>
        <w:t xml:space="preserve">and </w:t>
      </w:r>
      <w:r w:rsidR="00280480">
        <w:t xml:space="preserve">the </w:t>
      </w:r>
      <w:r>
        <w:t>IEEE</w:t>
      </w:r>
      <w:r w:rsidR="00280480">
        <w:t>.</w:t>
      </w:r>
      <w:r>
        <w:t xml:space="preserve"> </w:t>
      </w:r>
    </w:p>
    <w:p w14:paraId="5BFF5718" w14:textId="723A0597" w:rsidR="00C93BBD" w:rsidRPr="00BC4003" w:rsidRDefault="00C93BBD" w:rsidP="004F5BEF">
      <w:pPr>
        <w:pStyle w:val="ListParagraph"/>
        <w:numPr>
          <w:ilvl w:val="0"/>
          <w:numId w:val="2"/>
        </w:numPr>
      </w:pPr>
      <w:r>
        <w:t xml:space="preserve">To evaluate </w:t>
      </w:r>
      <w:r w:rsidRPr="00BC4003">
        <w:t>the possible impact</w:t>
      </w:r>
      <w:r>
        <w:t>s</w:t>
      </w:r>
      <w:r w:rsidRPr="00BC4003">
        <w:t xml:space="preserve"> of no action</w:t>
      </w:r>
      <w:r w:rsidR="0044276E">
        <w:t>.</w:t>
      </w:r>
    </w:p>
    <w:p w14:paraId="6DBD1DAA" w14:textId="100E6DA1" w:rsidR="00C93BBD" w:rsidRPr="00BC4003" w:rsidRDefault="00C93BBD" w:rsidP="004F5BEF">
      <w:pPr>
        <w:pStyle w:val="ListParagraph"/>
        <w:numPr>
          <w:ilvl w:val="0"/>
          <w:numId w:val="2"/>
        </w:numPr>
      </w:pPr>
      <w:r>
        <w:t>To review c</w:t>
      </w:r>
      <w:r w:rsidRPr="00BC4003">
        <w:t>oexistence mechanism proposal</w:t>
      </w:r>
      <w:r w:rsidR="00C074D9">
        <w:t>s</w:t>
      </w:r>
      <w:r w:rsidRPr="00BC4003">
        <w:t xml:space="preserve"> </w:t>
      </w:r>
      <w:r w:rsidR="0044276E">
        <w:t>for the 6 GHz band.</w:t>
      </w:r>
    </w:p>
    <w:p w14:paraId="0B27FCD2" w14:textId="5269B612" w:rsidR="00C93BBD" w:rsidRPr="00BC4003" w:rsidRDefault="00C93BBD" w:rsidP="004F5BEF">
      <w:pPr>
        <w:pStyle w:val="ListParagraph"/>
        <w:numPr>
          <w:ilvl w:val="0"/>
          <w:numId w:val="2"/>
        </w:numPr>
      </w:pPr>
      <w:r>
        <w:t>To a</w:t>
      </w:r>
      <w:r w:rsidRPr="00BC4003">
        <w:t xml:space="preserve">gree on a fast communication channel between </w:t>
      </w:r>
      <w:r w:rsidR="00EF000B">
        <w:t xml:space="preserve">the </w:t>
      </w:r>
      <w:r w:rsidRPr="00BC4003">
        <w:t xml:space="preserve">3GPP </w:t>
      </w:r>
      <w:r w:rsidR="004C450E">
        <w:t>and</w:t>
      </w:r>
      <w:r w:rsidRPr="00BC4003">
        <w:t xml:space="preserve"> </w:t>
      </w:r>
      <w:r w:rsidR="00EF000B">
        <w:t xml:space="preserve">the </w:t>
      </w:r>
      <w:r w:rsidRPr="00BC4003">
        <w:t>IEEE</w:t>
      </w:r>
      <w:r w:rsidR="009D7D8D">
        <w:t xml:space="preserve"> 802.11</w:t>
      </w:r>
      <w:r w:rsidR="009C1D15">
        <w:t>.</w:t>
      </w:r>
    </w:p>
    <w:p w14:paraId="181AB3B9" w14:textId="77777777" w:rsidR="00C93BBD" w:rsidRDefault="00C93BBD" w:rsidP="004F5BEF">
      <w:pPr>
        <w:jc w:val="both"/>
        <w:rPr>
          <w:lang w:val="en-AU"/>
        </w:rPr>
      </w:pPr>
    </w:p>
    <w:p w14:paraId="536D72DC" w14:textId="77777777" w:rsidR="00C93BBD" w:rsidRDefault="00C93BBD" w:rsidP="004F5BEF">
      <w:pPr>
        <w:pStyle w:val="Heading1"/>
        <w:rPr>
          <w:lang w:val="en-AU"/>
        </w:rPr>
      </w:pPr>
      <w:r>
        <w:rPr>
          <w:lang w:val="en-AU"/>
        </w:rPr>
        <w:t xml:space="preserve">Possible </w:t>
      </w:r>
      <w:r w:rsidR="002357E6">
        <w:rPr>
          <w:lang w:val="en-AU"/>
        </w:rPr>
        <w:t>D</w:t>
      </w:r>
      <w:r>
        <w:rPr>
          <w:lang w:val="en-AU"/>
        </w:rPr>
        <w:t>ate/</w:t>
      </w:r>
      <w:r w:rsidR="002357E6">
        <w:rPr>
          <w:lang w:val="en-AU"/>
        </w:rPr>
        <w:t>L</w:t>
      </w:r>
      <w:r>
        <w:rPr>
          <w:lang w:val="en-AU"/>
        </w:rPr>
        <w:t>ocation</w:t>
      </w:r>
    </w:p>
    <w:p w14:paraId="28DC33AC" w14:textId="77777777" w:rsidR="00C93BBD" w:rsidRDefault="00C93BBD" w:rsidP="004F5BEF">
      <w:pPr>
        <w:jc w:val="both"/>
        <w:rPr>
          <w:lang w:val="en-AU"/>
        </w:rPr>
      </w:pPr>
    </w:p>
    <w:p w14:paraId="22B7077B" w14:textId="77777777" w:rsidR="006542CD" w:rsidRDefault="006542CD" w:rsidP="004F5BEF">
      <w:pPr>
        <w:jc w:val="both"/>
        <w:rPr>
          <w:lang w:val="en-AU"/>
        </w:rPr>
      </w:pPr>
    </w:p>
    <w:p w14:paraId="62A6C3C9" w14:textId="1C5D16A4" w:rsidR="006542CD" w:rsidRDefault="000A58F9" w:rsidP="004F5BEF">
      <w:pPr>
        <w:jc w:val="both"/>
        <w:rPr>
          <w:lang w:val="en-AU"/>
        </w:rPr>
      </w:pPr>
      <w:r>
        <w:rPr>
          <w:lang w:val="en-AU"/>
        </w:rPr>
        <w:t>The timeline for 3GPP RAN plenary and IEE</w:t>
      </w:r>
      <w:r w:rsidR="0059026F">
        <w:rPr>
          <w:lang w:val="en-AU"/>
        </w:rPr>
        <w:t>E</w:t>
      </w:r>
      <w:r>
        <w:rPr>
          <w:lang w:val="en-AU"/>
        </w:rPr>
        <w:t xml:space="preserve"> 802.11 sessions are provided below. The workshop could be either collocated with the 3GPP RAN sessi</w:t>
      </w:r>
      <w:r w:rsidR="007B5193">
        <w:rPr>
          <w:lang w:val="en-AU"/>
        </w:rPr>
        <w:t xml:space="preserve">on </w:t>
      </w:r>
      <w:r>
        <w:rPr>
          <w:lang w:val="en-AU"/>
        </w:rPr>
        <w:t xml:space="preserve">or the </w:t>
      </w:r>
      <w:r w:rsidR="0059026F">
        <w:rPr>
          <w:lang w:val="en-AU"/>
        </w:rPr>
        <w:t xml:space="preserve">IEEE </w:t>
      </w:r>
      <w:r>
        <w:rPr>
          <w:lang w:val="en-AU"/>
        </w:rPr>
        <w:t xml:space="preserve">802.11 session. Alternatively, a dedicated worshop could be conducted </w:t>
      </w:r>
      <w:r w:rsidR="00C074D9">
        <w:rPr>
          <w:lang w:val="en-AU"/>
        </w:rPr>
        <w:t>outside these</w:t>
      </w:r>
      <w:r>
        <w:rPr>
          <w:lang w:val="en-AU"/>
        </w:rPr>
        <w:t xml:space="preserve"> dates</w:t>
      </w:r>
      <w:r w:rsidR="00C074D9">
        <w:rPr>
          <w:lang w:val="en-AU"/>
        </w:rPr>
        <w:t xml:space="preserve"> with a location</w:t>
      </w:r>
      <w:r w:rsidR="00882FA3">
        <w:rPr>
          <w:lang w:val="en-AU"/>
        </w:rPr>
        <w:t xml:space="preserve"> and date</w:t>
      </w:r>
      <w:r w:rsidR="00C074D9">
        <w:rPr>
          <w:lang w:val="en-AU"/>
        </w:rPr>
        <w:t xml:space="preserve"> yet to be defined.</w:t>
      </w:r>
      <w:r w:rsidR="00B12797">
        <w:rPr>
          <w:lang w:val="en-AU"/>
        </w:rPr>
        <w:t xml:space="preserve"> </w:t>
      </w:r>
      <w:r w:rsidR="007B5193">
        <w:rPr>
          <w:lang w:val="en-AU"/>
        </w:rPr>
        <w:t xml:space="preserve">Although it is not shown on the diagram below, it would be beneficial to avoid meeting dates of 3GPP RAN1 work group (WG) since delegates from the RAN1 WG would be interested to attend the proposed workshop. Since </w:t>
      </w:r>
      <w:r w:rsidR="007B5193">
        <w:rPr>
          <w:lang w:val="en-AU"/>
        </w:rPr>
        <w:lastRenderedPageBreak/>
        <w:t xml:space="preserve">there is a 3GPP RAN1 meeting overlapping with IEEE 802.11 meeting in Novermber, 2018. IEEE 802.11 meetings in January, 2019 or in March, 2019 </w:t>
      </w:r>
      <w:r w:rsidR="005D715E">
        <w:rPr>
          <w:lang w:val="en-AU"/>
        </w:rPr>
        <w:t>are potentially suitable dates.</w:t>
      </w:r>
      <w:r w:rsidR="007B5193">
        <w:rPr>
          <w:lang w:val="en-AU"/>
        </w:rPr>
        <w:t xml:space="preserve"> </w:t>
      </w:r>
    </w:p>
    <w:p w14:paraId="32B1E883" w14:textId="77777777" w:rsidR="002357E6" w:rsidRDefault="002357E6" w:rsidP="004F5BEF">
      <w:pPr>
        <w:jc w:val="both"/>
        <w:rPr>
          <w:lang w:val="en-AU"/>
        </w:rPr>
      </w:pPr>
    </w:p>
    <w:p w14:paraId="6E31B20B" w14:textId="77777777" w:rsidR="002357E6" w:rsidRDefault="002357E6" w:rsidP="004F5BEF">
      <w:pPr>
        <w:jc w:val="both"/>
        <w:rPr>
          <w:lang w:val="en-AU"/>
        </w:rPr>
      </w:pPr>
    </w:p>
    <w:p w14:paraId="038842A4" w14:textId="77777777" w:rsidR="00C93BBD" w:rsidRDefault="00667227" w:rsidP="004F5BEF">
      <w:pPr>
        <w:jc w:val="both"/>
        <w:rPr>
          <w:lang w:val="en-AU"/>
        </w:rPr>
      </w:pPr>
      <w:r>
        <w:rPr>
          <w:noProof/>
          <w:lang w:val="en-AU" w:eastAsia="en-AU"/>
        </w:rPr>
        <w:drawing>
          <wp:inline distT="0" distB="0" distL="0" distR="0" wp14:anchorId="1EEBF716" wp14:editId="5D72BBD1">
            <wp:extent cx="6021820" cy="1022514"/>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9140" cy="1028851"/>
                    </a:xfrm>
                    <a:prstGeom prst="rect">
                      <a:avLst/>
                    </a:prstGeom>
                    <a:noFill/>
                  </pic:spPr>
                </pic:pic>
              </a:graphicData>
            </a:graphic>
          </wp:inline>
        </w:drawing>
      </w:r>
    </w:p>
    <w:p w14:paraId="1D713DC2" w14:textId="77777777" w:rsidR="008204BC" w:rsidRDefault="008204BC" w:rsidP="004F5BEF">
      <w:pPr>
        <w:rPr>
          <w:b/>
          <w:u w:val="single"/>
        </w:rPr>
      </w:pPr>
    </w:p>
    <w:p w14:paraId="1C5B0D73" w14:textId="77777777" w:rsidR="00CA09B2" w:rsidRDefault="00CA09B2" w:rsidP="004F5BEF">
      <w:pPr>
        <w:rPr>
          <w:b/>
          <w:sz w:val="24"/>
        </w:rPr>
      </w:pPr>
    </w:p>
    <w:p w14:paraId="3D7FFF0F" w14:textId="77777777" w:rsidR="001755F4" w:rsidRPr="00700F26" w:rsidRDefault="001755F4" w:rsidP="004F5BEF">
      <w:pPr>
        <w:pStyle w:val="Heading1"/>
      </w:pPr>
      <w:r w:rsidRPr="00700F26">
        <w:t xml:space="preserve">Conclusion </w:t>
      </w:r>
    </w:p>
    <w:p w14:paraId="7268AFFF" w14:textId="77777777" w:rsidR="001755F4" w:rsidRDefault="001755F4" w:rsidP="004F5BEF">
      <w:pPr>
        <w:jc w:val="both"/>
        <w:rPr>
          <w:lang w:val="en-AU"/>
        </w:rPr>
      </w:pPr>
    </w:p>
    <w:p w14:paraId="3534C9C4" w14:textId="38259780" w:rsidR="001755F4" w:rsidRDefault="001755F4" w:rsidP="004F5BEF">
      <w:pPr>
        <w:jc w:val="both"/>
        <w:rPr>
          <w:lang w:val="en-AU"/>
        </w:rPr>
      </w:pPr>
      <w:r>
        <w:rPr>
          <w:lang w:val="en-AU"/>
        </w:rPr>
        <w:t>We propose that IEEE organizes a joint workshop with 3GPP to discuss the implications of the new design choices for NR-U channel access in the 6 GHz band</w:t>
      </w:r>
      <w:r w:rsidR="004F5BEF">
        <w:rPr>
          <w:lang w:val="en-AU"/>
        </w:rPr>
        <w:t xml:space="preserve"> to ensure </w:t>
      </w:r>
      <w:r w:rsidR="004F5BEF">
        <w:t>an efficient and fair access to the spectrum with 802.11 technologies</w:t>
      </w:r>
      <w:r>
        <w:rPr>
          <w:lang w:val="en-AU"/>
        </w:rPr>
        <w:t xml:space="preserve">. </w:t>
      </w:r>
    </w:p>
    <w:p w14:paraId="452D2F0E" w14:textId="77777777" w:rsidR="001755F4" w:rsidRDefault="001755F4" w:rsidP="004F5BEF">
      <w:pPr>
        <w:jc w:val="both"/>
        <w:rPr>
          <w:lang w:val="en-AU"/>
        </w:rPr>
      </w:pPr>
    </w:p>
    <w:p w14:paraId="6C1FC3AD" w14:textId="77777777" w:rsidR="00CA09B2" w:rsidRDefault="00CA09B2" w:rsidP="004F5BEF"/>
    <w:sectPr w:rsidR="00CA09B2" w:rsidSect="004F5BE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2EF53" w14:textId="77777777" w:rsidR="006926BC" w:rsidRDefault="006926BC">
      <w:r>
        <w:separator/>
      </w:r>
    </w:p>
  </w:endnote>
  <w:endnote w:type="continuationSeparator" w:id="0">
    <w:p w14:paraId="14493F9C" w14:textId="77777777" w:rsidR="006926BC" w:rsidRDefault="0069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EC89" w14:textId="77777777" w:rsidR="00C75CE7" w:rsidRDefault="00C75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3DC6" w14:textId="77D5CFBA" w:rsidR="00BC3451" w:rsidRDefault="006926BC">
    <w:pPr>
      <w:pStyle w:val="Footer"/>
      <w:tabs>
        <w:tab w:val="clear" w:pos="6480"/>
        <w:tab w:val="center" w:pos="4680"/>
        <w:tab w:val="right" w:pos="9360"/>
      </w:tabs>
    </w:pPr>
    <w:r>
      <w:fldChar w:fldCharType="begin"/>
    </w:r>
    <w:r>
      <w:instrText xml:space="preserve"> SUBJECT  \* MERGEFORMAT </w:instrText>
    </w:r>
    <w:r>
      <w:fldChar w:fldCharType="separate"/>
    </w:r>
    <w:r w:rsidR="00BC3451">
      <w:t>Submission</w:t>
    </w:r>
    <w:r>
      <w:fldChar w:fldCharType="end"/>
    </w:r>
    <w:r w:rsidR="00BC3451">
      <w:tab/>
      <w:t xml:space="preserve">page </w:t>
    </w:r>
    <w:r w:rsidR="00BC3451">
      <w:fldChar w:fldCharType="begin"/>
    </w:r>
    <w:r w:rsidR="00BC3451">
      <w:instrText xml:space="preserve">page </w:instrText>
    </w:r>
    <w:r w:rsidR="00BC3451">
      <w:fldChar w:fldCharType="separate"/>
    </w:r>
    <w:r w:rsidR="00C75CE7">
      <w:rPr>
        <w:noProof/>
      </w:rPr>
      <w:t>2</w:t>
    </w:r>
    <w:r w:rsidR="00BC3451">
      <w:fldChar w:fldCharType="end"/>
    </w:r>
    <w:r w:rsidR="00BC3451">
      <w:tab/>
    </w:r>
    <w:r w:rsidR="00BC3451">
      <w:rPr>
        <w:szCs w:val="24"/>
      </w:rPr>
      <w:fldChar w:fldCharType="begin"/>
    </w:r>
    <w:r w:rsidR="00BC3451">
      <w:rPr>
        <w:szCs w:val="24"/>
      </w:rPr>
      <w:instrText xml:space="preserve"> COMMENTS  \* MERGEFORMAT </w:instrText>
    </w:r>
    <w:r w:rsidR="00BC3451">
      <w:rPr>
        <w:szCs w:val="24"/>
      </w:rPr>
      <w:fldChar w:fldCharType="separate"/>
    </w:r>
    <w:r w:rsidR="00BC3451" w:rsidRPr="00FF10B3">
      <w:rPr>
        <w:szCs w:val="24"/>
      </w:rPr>
      <w:t>Lili</w:t>
    </w:r>
    <w:r w:rsidR="00BC3451" w:rsidRPr="00FF10B3">
      <w:rPr>
        <w:sz w:val="16"/>
      </w:rPr>
      <w:t xml:space="preserve"> </w:t>
    </w:r>
    <w:r w:rsidR="00BC3451" w:rsidRPr="00FF10B3">
      <w:rPr>
        <w:szCs w:val="24"/>
      </w:rPr>
      <w:t>Hervieu</w:t>
    </w:r>
    <w:r w:rsidR="00BC3451">
      <w:t>, CableLabs</w:t>
    </w:r>
    <w:r w:rsidR="00BC3451">
      <w:fldChar w:fldCharType="end"/>
    </w:r>
  </w:p>
  <w:p w14:paraId="7522B6C8" w14:textId="77777777" w:rsidR="00BC3451" w:rsidRDefault="00BC345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44BC" w14:textId="77777777" w:rsidR="00C75CE7" w:rsidRDefault="00C75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A9492" w14:textId="77777777" w:rsidR="006926BC" w:rsidRDefault="006926BC">
      <w:r>
        <w:separator/>
      </w:r>
    </w:p>
  </w:footnote>
  <w:footnote w:type="continuationSeparator" w:id="0">
    <w:p w14:paraId="0AEF0198" w14:textId="77777777" w:rsidR="006926BC" w:rsidRDefault="0069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62181" w14:textId="77777777" w:rsidR="00C75CE7" w:rsidRDefault="00C75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6BB7" w14:textId="196B9C00" w:rsidR="00BC3451" w:rsidRDefault="006926BC">
    <w:pPr>
      <w:pStyle w:val="Header"/>
      <w:tabs>
        <w:tab w:val="clear" w:pos="6480"/>
        <w:tab w:val="center" w:pos="4680"/>
        <w:tab w:val="right" w:pos="9360"/>
      </w:tabs>
    </w:pPr>
    <w:r>
      <w:fldChar w:fldCharType="begin"/>
    </w:r>
    <w:r>
      <w:instrText xml:space="preserve"> KEYWORDS  \* MERGEFORMAT </w:instrText>
    </w:r>
    <w:r>
      <w:fldChar w:fldCharType="separate"/>
    </w:r>
    <w:r w:rsidR="00BC3451">
      <w:t xml:space="preserve">Jul 2018 </w:t>
    </w:r>
    <w:r>
      <w:fldChar w:fldCharType="end"/>
    </w:r>
    <w:r w:rsidR="00BC3451">
      <w:tab/>
    </w:r>
    <w:r w:rsidR="00BC3451">
      <w:tab/>
    </w:r>
    <w:r>
      <w:fldChar w:fldCharType="begin"/>
    </w:r>
    <w:r>
      <w:instrText xml:space="preserve"> TITLE  \* MERGEFORMAT </w:instrText>
    </w:r>
    <w:r>
      <w:fldChar w:fldCharType="separate"/>
    </w:r>
    <w:r w:rsidR="00BC3451">
      <w:t>doc.: IEEE 802.11-18/1139r</w:t>
    </w:r>
    <w:r w:rsidR="00C75CE7">
      <w:t>1</w:t>
    </w:r>
    <w:r>
      <w:fldChar w:fldCharType="end"/>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5ADE5" w14:textId="77777777" w:rsidR="00C75CE7" w:rsidRDefault="00C75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881"/>
    <w:multiLevelType w:val="hybridMultilevel"/>
    <w:tmpl w:val="98568950"/>
    <w:lvl w:ilvl="0" w:tplc="E5E640A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965B99"/>
    <w:multiLevelType w:val="hybridMultilevel"/>
    <w:tmpl w:val="2542CF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D03E77"/>
    <w:multiLevelType w:val="hybridMultilevel"/>
    <w:tmpl w:val="1C80AABC"/>
    <w:lvl w:ilvl="0" w:tplc="598A5CC2">
      <w:start w:val="1"/>
      <w:numFmt w:val="bullet"/>
      <w:lvlText w:val="•"/>
      <w:lvlJc w:val="left"/>
      <w:pPr>
        <w:tabs>
          <w:tab w:val="num" w:pos="720"/>
        </w:tabs>
        <w:ind w:left="720" w:hanging="360"/>
      </w:pPr>
      <w:rPr>
        <w:rFonts w:ascii="Times New Roman" w:hAnsi="Times New Roman" w:hint="default"/>
      </w:rPr>
    </w:lvl>
    <w:lvl w:ilvl="1" w:tplc="EBB2B68A">
      <w:start w:val="1"/>
      <w:numFmt w:val="bullet"/>
      <w:lvlText w:val="•"/>
      <w:lvlJc w:val="left"/>
      <w:pPr>
        <w:tabs>
          <w:tab w:val="num" w:pos="1440"/>
        </w:tabs>
        <w:ind w:left="1440" w:hanging="360"/>
      </w:pPr>
      <w:rPr>
        <w:rFonts w:ascii="Times New Roman" w:hAnsi="Times New Roman" w:hint="default"/>
      </w:rPr>
    </w:lvl>
    <w:lvl w:ilvl="2" w:tplc="4C3029B4" w:tentative="1">
      <w:start w:val="1"/>
      <w:numFmt w:val="bullet"/>
      <w:lvlText w:val="•"/>
      <w:lvlJc w:val="left"/>
      <w:pPr>
        <w:tabs>
          <w:tab w:val="num" w:pos="2160"/>
        </w:tabs>
        <w:ind w:left="2160" w:hanging="360"/>
      </w:pPr>
      <w:rPr>
        <w:rFonts w:ascii="Times New Roman" w:hAnsi="Times New Roman" w:hint="default"/>
      </w:rPr>
    </w:lvl>
    <w:lvl w:ilvl="3" w:tplc="5FE0750C" w:tentative="1">
      <w:start w:val="1"/>
      <w:numFmt w:val="bullet"/>
      <w:lvlText w:val="•"/>
      <w:lvlJc w:val="left"/>
      <w:pPr>
        <w:tabs>
          <w:tab w:val="num" w:pos="2880"/>
        </w:tabs>
        <w:ind w:left="2880" w:hanging="360"/>
      </w:pPr>
      <w:rPr>
        <w:rFonts w:ascii="Times New Roman" w:hAnsi="Times New Roman" w:hint="default"/>
      </w:rPr>
    </w:lvl>
    <w:lvl w:ilvl="4" w:tplc="BF048E94" w:tentative="1">
      <w:start w:val="1"/>
      <w:numFmt w:val="bullet"/>
      <w:lvlText w:val="•"/>
      <w:lvlJc w:val="left"/>
      <w:pPr>
        <w:tabs>
          <w:tab w:val="num" w:pos="3600"/>
        </w:tabs>
        <w:ind w:left="3600" w:hanging="360"/>
      </w:pPr>
      <w:rPr>
        <w:rFonts w:ascii="Times New Roman" w:hAnsi="Times New Roman" w:hint="default"/>
      </w:rPr>
    </w:lvl>
    <w:lvl w:ilvl="5" w:tplc="5C18636E" w:tentative="1">
      <w:start w:val="1"/>
      <w:numFmt w:val="bullet"/>
      <w:lvlText w:val="•"/>
      <w:lvlJc w:val="left"/>
      <w:pPr>
        <w:tabs>
          <w:tab w:val="num" w:pos="4320"/>
        </w:tabs>
        <w:ind w:left="4320" w:hanging="360"/>
      </w:pPr>
      <w:rPr>
        <w:rFonts w:ascii="Times New Roman" w:hAnsi="Times New Roman" w:hint="default"/>
      </w:rPr>
    </w:lvl>
    <w:lvl w:ilvl="6" w:tplc="D032AE6C" w:tentative="1">
      <w:start w:val="1"/>
      <w:numFmt w:val="bullet"/>
      <w:lvlText w:val="•"/>
      <w:lvlJc w:val="left"/>
      <w:pPr>
        <w:tabs>
          <w:tab w:val="num" w:pos="5040"/>
        </w:tabs>
        <w:ind w:left="5040" w:hanging="360"/>
      </w:pPr>
      <w:rPr>
        <w:rFonts w:ascii="Times New Roman" w:hAnsi="Times New Roman" w:hint="default"/>
      </w:rPr>
    </w:lvl>
    <w:lvl w:ilvl="7" w:tplc="F87A21E8" w:tentative="1">
      <w:start w:val="1"/>
      <w:numFmt w:val="bullet"/>
      <w:lvlText w:val="•"/>
      <w:lvlJc w:val="left"/>
      <w:pPr>
        <w:tabs>
          <w:tab w:val="num" w:pos="5760"/>
        </w:tabs>
        <w:ind w:left="5760" w:hanging="360"/>
      </w:pPr>
      <w:rPr>
        <w:rFonts w:ascii="Times New Roman" w:hAnsi="Times New Roman" w:hint="default"/>
      </w:rPr>
    </w:lvl>
    <w:lvl w:ilvl="8" w:tplc="16C03BF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3467BE"/>
    <w:multiLevelType w:val="hybridMultilevel"/>
    <w:tmpl w:val="752C9BB6"/>
    <w:lvl w:ilvl="0" w:tplc="0C76774A">
      <w:start w:val="1"/>
      <w:numFmt w:val="bullet"/>
      <w:lvlText w:val="•"/>
      <w:lvlJc w:val="left"/>
      <w:pPr>
        <w:tabs>
          <w:tab w:val="num" w:pos="720"/>
        </w:tabs>
        <w:ind w:left="720" w:hanging="360"/>
      </w:pPr>
      <w:rPr>
        <w:rFonts w:ascii="Times New Roman" w:hAnsi="Times New Roman" w:hint="default"/>
      </w:rPr>
    </w:lvl>
    <w:lvl w:ilvl="1" w:tplc="C97E7688">
      <w:start w:val="1"/>
      <w:numFmt w:val="bullet"/>
      <w:lvlText w:val="•"/>
      <w:lvlJc w:val="left"/>
      <w:pPr>
        <w:tabs>
          <w:tab w:val="num" w:pos="1440"/>
        </w:tabs>
        <w:ind w:left="1440" w:hanging="360"/>
      </w:pPr>
      <w:rPr>
        <w:rFonts w:ascii="Times New Roman" w:hAnsi="Times New Roman" w:hint="default"/>
      </w:rPr>
    </w:lvl>
    <w:lvl w:ilvl="2" w:tplc="CBD2F578">
      <w:start w:val="90"/>
      <w:numFmt w:val="bullet"/>
      <w:lvlText w:val="–"/>
      <w:lvlJc w:val="left"/>
      <w:pPr>
        <w:tabs>
          <w:tab w:val="num" w:pos="2160"/>
        </w:tabs>
        <w:ind w:left="2160" w:hanging="360"/>
      </w:pPr>
      <w:rPr>
        <w:rFonts w:ascii="Arial" w:hAnsi="Arial" w:hint="default"/>
      </w:rPr>
    </w:lvl>
    <w:lvl w:ilvl="3" w:tplc="A62EB5CC" w:tentative="1">
      <w:start w:val="1"/>
      <w:numFmt w:val="bullet"/>
      <w:lvlText w:val="•"/>
      <w:lvlJc w:val="left"/>
      <w:pPr>
        <w:tabs>
          <w:tab w:val="num" w:pos="2880"/>
        </w:tabs>
        <w:ind w:left="2880" w:hanging="360"/>
      </w:pPr>
      <w:rPr>
        <w:rFonts w:ascii="Times New Roman" w:hAnsi="Times New Roman" w:hint="default"/>
      </w:rPr>
    </w:lvl>
    <w:lvl w:ilvl="4" w:tplc="C054F92A" w:tentative="1">
      <w:start w:val="1"/>
      <w:numFmt w:val="bullet"/>
      <w:lvlText w:val="•"/>
      <w:lvlJc w:val="left"/>
      <w:pPr>
        <w:tabs>
          <w:tab w:val="num" w:pos="3600"/>
        </w:tabs>
        <w:ind w:left="3600" w:hanging="360"/>
      </w:pPr>
      <w:rPr>
        <w:rFonts w:ascii="Times New Roman" w:hAnsi="Times New Roman" w:hint="default"/>
      </w:rPr>
    </w:lvl>
    <w:lvl w:ilvl="5" w:tplc="880A72A2" w:tentative="1">
      <w:start w:val="1"/>
      <w:numFmt w:val="bullet"/>
      <w:lvlText w:val="•"/>
      <w:lvlJc w:val="left"/>
      <w:pPr>
        <w:tabs>
          <w:tab w:val="num" w:pos="4320"/>
        </w:tabs>
        <w:ind w:left="4320" w:hanging="360"/>
      </w:pPr>
      <w:rPr>
        <w:rFonts w:ascii="Times New Roman" w:hAnsi="Times New Roman" w:hint="default"/>
      </w:rPr>
    </w:lvl>
    <w:lvl w:ilvl="6" w:tplc="55AC3C06" w:tentative="1">
      <w:start w:val="1"/>
      <w:numFmt w:val="bullet"/>
      <w:lvlText w:val="•"/>
      <w:lvlJc w:val="left"/>
      <w:pPr>
        <w:tabs>
          <w:tab w:val="num" w:pos="5040"/>
        </w:tabs>
        <w:ind w:left="5040" w:hanging="360"/>
      </w:pPr>
      <w:rPr>
        <w:rFonts w:ascii="Times New Roman" w:hAnsi="Times New Roman" w:hint="default"/>
      </w:rPr>
    </w:lvl>
    <w:lvl w:ilvl="7" w:tplc="2640CC3E" w:tentative="1">
      <w:start w:val="1"/>
      <w:numFmt w:val="bullet"/>
      <w:lvlText w:val="•"/>
      <w:lvlJc w:val="left"/>
      <w:pPr>
        <w:tabs>
          <w:tab w:val="num" w:pos="5760"/>
        </w:tabs>
        <w:ind w:left="5760" w:hanging="360"/>
      </w:pPr>
      <w:rPr>
        <w:rFonts w:ascii="Times New Roman" w:hAnsi="Times New Roman" w:hint="default"/>
      </w:rPr>
    </w:lvl>
    <w:lvl w:ilvl="8" w:tplc="263047E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E57D3D"/>
    <w:multiLevelType w:val="hybridMultilevel"/>
    <w:tmpl w:val="A6C0B482"/>
    <w:lvl w:ilvl="0" w:tplc="7C261B2A">
      <w:start w:val="1"/>
      <w:numFmt w:val="bullet"/>
      <w:lvlText w:val="•"/>
      <w:lvlJc w:val="left"/>
      <w:pPr>
        <w:tabs>
          <w:tab w:val="num" w:pos="720"/>
        </w:tabs>
        <w:ind w:left="720" w:hanging="360"/>
      </w:pPr>
      <w:rPr>
        <w:rFonts w:ascii="Times New Roman" w:hAnsi="Times New Roman" w:hint="default"/>
      </w:rPr>
    </w:lvl>
    <w:lvl w:ilvl="1" w:tplc="9F668BAC">
      <w:start w:val="1"/>
      <w:numFmt w:val="bullet"/>
      <w:lvlText w:val="•"/>
      <w:lvlJc w:val="left"/>
      <w:pPr>
        <w:tabs>
          <w:tab w:val="num" w:pos="1440"/>
        </w:tabs>
        <w:ind w:left="1440" w:hanging="360"/>
      </w:pPr>
      <w:rPr>
        <w:rFonts w:ascii="Times New Roman" w:hAnsi="Times New Roman" w:hint="default"/>
      </w:rPr>
    </w:lvl>
    <w:lvl w:ilvl="2" w:tplc="C3A656F2">
      <w:start w:val="90"/>
      <w:numFmt w:val="bullet"/>
      <w:lvlText w:val="–"/>
      <w:lvlJc w:val="left"/>
      <w:pPr>
        <w:tabs>
          <w:tab w:val="num" w:pos="2160"/>
        </w:tabs>
        <w:ind w:left="2160" w:hanging="360"/>
      </w:pPr>
      <w:rPr>
        <w:rFonts w:ascii="Arial" w:hAnsi="Arial" w:hint="default"/>
      </w:rPr>
    </w:lvl>
    <w:lvl w:ilvl="3" w:tplc="1A6E5818">
      <w:start w:val="90"/>
      <w:numFmt w:val="bullet"/>
      <w:lvlText w:val="—"/>
      <w:lvlJc w:val="left"/>
      <w:pPr>
        <w:tabs>
          <w:tab w:val="num" w:pos="2880"/>
        </w:tabs>
        <w:ind w:left="2880" w:hanging="360"/>
      </w:pPr>
      <w:rPr>
        <w:rFonts w:ascii="Times New Roman" w:hAnsi="Times New Roman" w:hint="default"/>
      </w:rPr>
    </w:lvl>
    <w:lvl w:ilvl="4" w:tplc="E9ACFDA4" w:tentative="1">
      <w:start w:val="1"/>
      <w:numFmt w:val="bullet"/>
      <w:lvlText w:val="•"/>
      <w:lvlJc w:val="left"/>
      <w:pPr>
        <w:tabs>
          <w:tab w:val="num" w:pos="3600"/>
        </w:tabs>
        <w:ind w:left="3600" w:hanging="360"/>
      </w:pPr>
      <w:rPr>
        <w:rFonts w:ascii="Times New Roman" w:hAnsi="Times New Roman" w:hint="default"/>
      </w:rPr>
    </w:lvl>
    <w:lvl w:ilvl="5" w:tplc="FF88BF56" w:tentative="1">
      <w:start w:val="1"/>
      <w:numFmt w:val="bullet"/>
      <w:lvlText w:val="•"/>
      <w:lvlJc w:val="left"/>
      <w:pPr>
        <w:tabs>
          <w:tab w:val="num" w:pos="4320"/>
        </w:tabs>
        <w:ind w:left="4320" w:hanging="360"/>
      </w:pPr>
      <w:rPr>
        <w:rFonts w:ascii="Times New Roman" w:hAnsi="Times New Roman" w:hint="default"/>
      </w:rPr>
    </w:lvl>
    <w:lvl w:ilvl="6" w:tplc="B694DC70" w:tentative="1">
      <w:start w:val="1"/>
      <w:numFmt w:val="bullet"/>
      <w:lvlText w:val="•"/>
      <w:lvlJc w:val="left"/>
      <w:pPr>
        <w:tabs>
          <w:tab w:val="num" w:pos="5040"/>
        </w:tabs>
        <w:ind w:left="5040" w:hanging="360"/>
      </w:pPr>
      <w:rPr>
        <w:rFonts w:ascii="Times New Roman" w:hAnsi="Times New Roman" w:hint="default"/>
      </w:rPr>
    </w:lvl>
    <w:lvl w:ilvl="7" w:tplc="71867D9E" w:tentative="1">
      <w:start w:val="1"/>
      <w:numFmt w:val="bullet"/>
      <w:lvlText w:val="•"/>
      <w:lvlJc w:val="left"/>
      <w:pPr>
        <w:tabs>
          <w:tab w:val="num" w:pos="5760"/>
        </w:tabs>
        <w:ind w:left="5760" w:hanging="360"/>
      </w:pPr>
      <w:rPr>
        <w:rFonts w:ascii="Times New Roman" w:hAnsi="Times New Roman" w:hint="default"/>
      </w:rPr>
    </w:lvl>
    <w:lvl w:ilvl="8" w:tplc="85C8E5B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9E2690"/>
    <w:multiLevelType w:val="hybridMultilevel"/>
    <w:tmpl w:val="4726F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D33492"/>
    <w:multiLevelType w:val="hybridMultilevel"/>
    <w:tmpl w:val="E9B8E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909C6"/>
    <w:multiLevelType w:val="hybridMultilevel"/>
    <w:tmpl w:val="59D0E218"/>
    <w:lvl w:ilvl="0" w:tplc="468484C4">
      <w:start w:val="1"/>
      <w:numFmt w:val="bullet"/>
      <w:lvlText w:val="•"/>
      <w:lvlJc w:val="left"/>
      <w:pPr>
        <w:tabs>
          <w:tab w:val="num" w:pos="720"/>
        </w:tabs>
        <w:ind w:left="720" w:hanging="360"/>
      </w:pPr>
      <w:rPr>
        <w:rFonts w:ascii="Times New Roman" w:hAnsi="Times New Roman" w:hint="default"/>
      </w:rPr>
    </w:lvl>
    <w:lvl w:ilvl="1" w:tplc="D1D42DCA">
      <w:start w:val="1"/>
      <w:numFmt w:val="bullet"/>
      <w:lvlText w:val="•"/>
      <w:lvlJc w:val="left"/>
      <w:pPr>
        <w:tabs>
          <w:tab w:val="num" w:pos="1440"/>
        </w:tabs>
        <w:ind w:left="1440" w:hanging="360"/>
      </w:pPr>
      <w:rPr>
        <w:rFonts w:ascii="Times New Roman" w:hAnsi="Times New Roman" w:hint="default"/>
      </w:rPr>
    </w:lvl>
    <w:lvl w:ilvl="2" w:tplc="FB4C2D7A">
      <w:start w:val="90"/>
      <w:numFmt w:val="bullet"/>
      <w:lvlText w:val="–"/>
      <w:lvlJc w:val="left"/>
      <w:pPr>
        <w:tabs>
          <w:tab w:val="num" w:pos="2160"/>
        </w:tabs>
        <w:ind w:left="2160" w:hanging="360"/>
      </w:pPr>
      <w:rPr>
        <w:rFonts w:ascii="Arial" w:hAnsi="Arial" w:hint="default"/>
      </w:rPr>
    </w:lvl>
    <w:lvl w:ilvl="3" w:tplc="E8C8C9FE" w:tentative="1">
      <w:start w:val="1"/>
      <w:numFmt w:val="bullet"/>
      <w:lvlText w:val="•"/>
      <w:lvlJc w:val="left"/>
      <w:pPr>
        <w:tabs>
          <w:tab w:val="num" w:pos="2880"/>
        </w:tabs>
        <w:ind w:left="2880" w:hanging="360"/>
      </w:pPr>
      <w:rPr>
        <w:rFonts w:ascii="Times New Roman" w:hAnsi="Times New Roman" w:hint="default"/>
      </w:rPr>
    </w:lvl>
    <w:lvl w:ilvl="4" w:tplc="8AF44CBC" w:tentative="1">
      <w:start w:val="1"/>
      <w:numFmt w:val="bullet"/>
      <w:lvlText w:val="•"/>
      <w:lvlJc w:val="left"/>
      <w:pPr>
        <w:tabs>
          <w:tab w:val="num" w:pos="3600"/>
        </w:tabs>
        <w:ind w:left="3600" w:hanging="360"/>
      </w:pPr>
      <w:rPr>
        <w:rFonts w:ascii="Times New Roman" w:hAnsi="Times New Roman" w:hint="default"/>
      </w:rPr>
    </w:lvl>
    <w:lvl w:ilvl="5" w:tplc="5B7E7D86" w:tentative="1">
      <w:start w:val="1"/>
      <w:numFmt w:val="bullet"/>
      <w:lvlText w:val="•"/>
      <w:lvlJc w:val="left"/>
      <w:pPr>
        <w:tabs>
          <w:tab w:val="num" w:pos="4320"/>
        </w:tabs>
        <w:ind w:left="4320" w:hanging="360"/>
      </w:pPr>
      <w:rPr>
        <w:rFonts w:ascii="Times New Roman" w:hAnsi="Times New Roman" w:hint="default"/>
      </w:rPr>
    </w:lvl>
    <w:lvl w:ilvl="6" w:tplc="2348DAF8" w:tentative="1">
      <w:start w:val="1"/>
      <w:numFmt w:val="bullet"/>
      <w:lvlText w:val="•"/>
      <w:lvlJc w:val="left"/>
      <w:pPr>
        <w:tabs>
          <w:tab w:val="num" w:pos="5040"/>
        </w:tabs>
        <w:ind w:left="5040" w:hanging="360"/>
      </w:pPr>
      <w:rPr>
        <w:rFonts w:ascii="Times New Roman" w:hAnsi="Times New Roman" w:hint="default"/>
      </w:rPr>
    </w:lvl>
    <w:lvl w:ilvl="7" w:tplc="D7906434" w:tentative="1">
      <w:start w:val="1"/>
      <w:numFmt w:val="bullet"/>
      <w:lvlText w:val="•"/>
      <w:lvlJc w:val="left"/>
      <w:pPr>
        <w:tabs>
          <w:tab w:val="num" w:pos="5760"/>
        </w:tabs>
        <w:ind w:left="5760" w:hanging="360"/>
      </w:pPr>
      <w:rPr>
        <w:rFonts w:ascii="Times New Roman" w:hAnsi="Times New Roman" w:hint="default"/>
      </w:rPr>
    </w:lvl>
    <w:lvl w:ilvl="8" w:tplc="99EC598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39661D3"/>
    <w:multiLevelType w:val="hybridMultilevel"/>
    <w:tmpl w:val="2D64B5F0"/>
    <w:lvl w:ilvl="0" w:tplc="04090001">
      <w:start w:val="1"/>
      <w:numFmt w:val="bullet"/>
      <w:lvlText w:val=""/>
      <w:lvlJc w:val="left"/>
      <w:pPr>
        <w:ind w:left="360" w:hanging="360"/>
      </w:pPr>
      <w:rPr>
        <w:rFonts w:ascii="Symbol" w:hAnsi="Symbol" w:hint="default"/>
      </w:rPr>
    </w:lvl>
    <w:lvl w:ilvl="1" w:tplc="B10C86A0">
      <w:start w:val="1"/>
      <w:numFmt w:val="bullet"/>
      <w:lvlText w:val="-"/>
      <w:lvlJc w:val="left"/>
      <w:pPr>
        <w:ind w:left="1080" w:hanging="360"/>
      </w:pPr>
      <w:rPr>
        <w:rFonts w:ascii="Times New Roman" w:hAnsi="Times New Roman" w:cs="Times New Roman" w:hint="default"/>
      </w:rPr>
    </w:lvl>
    <w:lvl w:ilvl="2" w:tplc="B10C86A0">
      <w:start w:val="1"/>
      <w:numFmt w:val="bullet"/>
      <w:lvlText w:val="-"/>
      <w:lvlJc w:val="left"/>
      <w:pPr>
        <w:ind w:left="1800" w:hanging="360"/>
      </w:pPr>
      <w:rPr>
        <w:rFonts w:ascii="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C85325"/>
    <w:multiLevelType w:val="hybridMultilevel"/>
    <w:tmpl w:val="E9CA9F90"/>
    <w:lvl w:ilvl="0" w:tplc="BE763EFE">
      <w:start w:val="1"/>
      <w:numFmt w:val="bullet"/>
      <w:lvlText w:val="•"/>
      <w:lvlJc w:val="left"/>
      <w:pPr>
        <w:tabs>
          <w:tab w:val="num" w:pos="720"/>
        </w:tabs>
        <w:ind w:left="720" w:hanging="360"/>
      </w:pPr>
      <w:rPr>
        <w:rFonts w:ascii="Times New Roman" w:hAnsi="Times New Roman" w:hint="default"/>
      </w:rPr>
    </w:lvl>
    <w:lvl w:ilvl="1" w:tplc="ECE8FD72">
      <w:start w:val="1"/>
      <w:numFmt w:val="bullet"/>
      <w:lvlText w:val="•"/>
      <w:lvlJc w:val="left"/>
      <w:pPr>
        <w:tabs>
          <w:tab w:val="num" w:pos="1440"/>
        </w:tabs>
        <w:ind w:left="1440" w:hanging="360"/>
      </w:pPr>
      <w:rPr>
        <w:rFonts w:ascii="Times New Roman" w:hAnsi="Times New Roman" w:hint="default"/>
      </w:rPr>
    </w:lvl>
    <w:lvl w:ilvl="2" w:tplc="9216C40E">
      <w:start w:val="90"/>
      <w:numFmt w:val="bullet"/>
      <w:lvlText w:val="–"/>
      <w:lvlJc w:val="left"/>
      <w:pPr>
        <w:tabs>
          <w:tab w:val="num" w:pos="2160"/>
        </w:tabs>
        <w:ind w:left="2160" w:hanging="360"/>
      </w:pPr>
      <w:rPr>
        <w:rFonts w:ascii="Arial" w:hAnsi="Arial" w:hint="default"/>
      </w:rPr>
    </w:lvl>
    <w:lvl w:ilvl="3" w:tplc="D8360A70" w:tentative="1">
      <w:start w:val="1"/>
      <w:numFmt w:val="bullet"/>
      <w:lvlText w:val="•"/>
      <w:lvlJc w:val="left"/>
      <w:pPr>
        <w:tabs>
          <w:tab w:val="num" w:pos="2880"/>
        </w:tabs>
        <w:ind w:left="2880" w:hanging="360"/>
      </w:pPr>
      <w:rPr>
        <w:rFonts w:ascii="Times New Roman" w:hAnsi="Times New Roman" w:hint="default"/>
      </w:rPr>
    </w:lvl>
    <w:lvl w:ilvl="4" w:tplc="AEFA17CA" w:tentative="1">
      <w:start w:val="1"/>
      <w:numFmt w:val="bullet"/>
      <w:lvlText w:val="•"/>
      <w:lvlJc w:val="left"/>
      <w:pPr>
        <w:tabs>
          <w:tab w:val="num" w:pos="3600"/>
        </w:tabs>
        <w:ind w:left="3600" w:hanging="360"/>
      </w:pPr>
      <w:rPr>
        <w:rFonts w:ascii="Times New Roman" w:hAnsi="Times New Roman" w:hint="default"/>
      </w:rPr>
    </w:lvl>
    <w:lvl w:ilvl="5" w:tplc="11403BFC" w:tentative="1">
      <w:start w:val="1"/>
      <w:numFmt w:val="bullet"/>
      <w:lvlText w:val="•"/>
      <w:lvlJc w:val="left"/>
      <w:pPr>
        <w:tabs>
          <w:tab w:val="num" w:pos="4320"/>
        </w:tabs>
        <w:ind w:left="4320" w:hanging="360"/>
      </w:pPr>
      <w:rPr>
        <w:rFonts w:ascii="Times New Roman" w:hAnsi="Times New Roman" w:hint="default"/>
      </w:rPr>
    </w:lvl>
    <w:lvl w:ilvl="6" w:tplc="9E5007F0" w:tentative="1">
      <w:start w:val="1"/>
      <w:numFmt w:val="bullet"/>
      <w:lvlText w:val="•"/>
      <w:lvlJc w:val="left"/>
      <w:pPr>
        <w:tabs>
          <w:tab w:val="num" w:pos="5040"/>
        </w:tabs>
        <w:ind w:left="5040" w:hanging="360"/>
      </w:pPr>
      <w:rPr>
        <w:rFonts w:ascii="Times New Roman" w:hAnsi="Times New Roman" w:hint="default"/>
      </w:rPr>
    </w:lvl>
    <w:lvl w:ilvl="7" w:tplc="DF56A06E" w:tentative="1">
      <w:start w:val="1"/>
      <w:numFmt w:val="bullet"/>
      <w:lvlText w:val="•"/>
      <w:lvlJc w:val="left"/>
      <w:pPr>
        <w:tabs>
          <w:tab w:val="num" w:pos="5760"/>
        </w:tabs>
        <w:ind w:left="5760" w:hanging="360"/>
      </w:pPr>
      <w:rPr>
        <w:rFonts w:ascii="Times New Roman" w:hAnsi="Times New Roman" w:hint="default"/>
      </w:rPr>
    </w:lvl>
    <w:lvl w:ilvl="8" w:tplc="27BE1F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E8D4793"/>
    <w:multiLevelType w:val="hybridMultilevel"/>
    <w:tmpl w:val="165E685E"/>
    <w:lvl w:ilvl="0" w:tplc="5824B96E">
      <w:start w:val="1"/>
      <w:numFmt w:val="bullet"/>
      <w:lvlText w:val="•"/>
      <w:lvlJc w:val="left"/>
      <w:pPr>
        <w:tabs>
          <w:tab w:val="num" w:pos="720"/>
        </w:tabs>
        <w:ind w:left="720" w:hanging="360"/>
      </w:pPr>
      <w:rPr>
        <w:rFonts w:ascii="Times New Roman" w:hAnsi="Times New Roman" w:hint="default"/>
      </w:rPr>
    </w:lvl>
    <w:lvl w:ilvl="1" w:tplc="3BAE0D90">
      <w:start w:val="1"/>
      <w:numFmt w:val="bullet"/>
      <w:lvlText w:val="•"/>
      <w:lvlJc w:val="left"/>
      <w:pPr>
        <w:tabs>
          <w:tab w:val="num" w:pos="1440"/>
        </w:tabs>
        <w:ind w:left="1440" w:hanging="360"/>
      </w:pPr>
      <w:rPr>
        <w:rFonts w:ascii="Times New Roman" w:hAnsi="Times New Roman" w:hint="default"/>
      </w:rPr>
    </w:lvl>
    <w:lvl w:ilvl="2" w:tplc="A52645B0">
      <w:start w:val="90"/>
      <w:numFmt w:val="bullet"/>
      <w:lvlText w:val="–"/>
      <w:lvlJc w:val="left"/>
      <w:pPr>
        <w:tabs>
          <w:tab w:val="num" w:pos="2160"/>
        </w:tabs>
        <w:ind w:left="2160" w:hanging="360"/>
      </w:pPr>
      <w:rPr>
        <w:rFonts w:ascii="Arial" w:hAnsi="Arial" w:hint="default"/>
      </w:rPr>
    </w:lvl>
    <w:lvl w:ilvl="3" w:tplc="F8F695CE" w:tentative="1">
      <w:start w:val="1"/>
      <w:numFmt w:val="bullet"/>
      <w:lvlText w:val="•"/>
      <w:lvlJc w:val="left"/>
      <w:pPr>
        <w:tabs>
          <w:tab w:val="num" w:pos="2880"/>
        </w:tabs>
        <w:ind w:left="2880" w:hanging="360"/>
      </w:pPr>
      <w:rPr>
        <w:rFonts w:ascii="Times New Roman" w:hAnsi="Times New Roman" w:hint="default"/>
      </w:rPr>
    </w:lvl>
    <w:lvl w:ilvl="4" w:tplc="7D94FB3E" w:tentative="1">
      <w:start w:val="1"/>
      <w:numFmt w:val="bullet"/>
      <w:lvlText w:val="•"/>
      <w:lvlJc w:val="left"/>
      <w:pPr>
        <w:tabs>
          <w:tab w:val="num" w:pos="3600"/>
        </w:tabs>
        <w:ind w:left="3600" w:hanging="360"/>
      </w:pPr>
      <w:rPr>
        <w:rFonts w:ascii="Times New Roman" w:hAnsi="Times New Roman" w:hint="default"/>
      </w:rPr>
    </w:lvl>
    <w:lvl w:ilvl="5" w:tplc="0B1C9ACC" w:tentative="1">
      <w:start w:val="1"/>
      <w:numFmt w:val="bullet"/>
      <w:lvlText w:val="•"/>
      <w:lvlJc w:val="left"/>
      <w:pPr>
        <w:tabs>
          <w:tab w:val="num" w:pos="4320"/>
        </w:tabs>
        <w:ind w:left="4320" w:hanging="360"/>
      </w:pPr>
      <w:rPr>
        <w:rFonts w:ascii="Times New Roman" w:hAnsi="Times New Roman" w:hint="default"/>
      </w:rPr>
    </w:lvl>
    <w:lvl w:ilvl="6" w:tplc="F77E4968" w:tentative="1">
      <w:start w:val="1"/>
      <w:numFmt w:val="bullet"/>
      <w:lvlText w:val="•"/>
      <w:lvlJc w:val="left"/>
      <w:pPr>
        <w:tabs>
          <w:tab w:val="num" w:pos="5040"/>
        </w:tabs>
        <w:ind w:left="5040" w:hanging="360"/>
      </w:pPr>
      <w:rPr>
        <w:rFonts w:ascii="Times New Roman" w:hAnsi="Times New Roman" w:hint="default"/>
      </w:rPr>
    </w:lvl>
    <w:lvl w:ilvl="7" w:tplc="A65A4508" w:tentative="1">
      <w:start w:val="1"/>
      <w:numFmt w:val="bullet"/>
      <w:lvlText w:val="•"/>
      <w:lvlJc w:val="left"/>
      <w:pPr>
        <w:tabs>
          <w:tab w:val="num" w:pos="5760"/>
        </w:tabs>
        <w:ind w:left="5760" w:hanging="360"/>
      </w:pPr>
      <w:rPr>
        <w:rFonts w:ascii="Times New Roman" w:hAnsi="Times New Roman" w:hint="default"/>
      </w:rPr>
    </w:lvl>
    <w:lvl w:ilvl="8" w:tplc="D53A88D2" w:tentative="1">
      <w:start w:val="1"/>
      <w:numFmt w:val="bullet"/>
      <w:lvlText w:val="•"/>
      <w:lvlJc w:val="left"/>
      <w:pPr>
        <w:tabs>
          <w:tab w:val="num" w:pos="6480"/>
        </w:tabs>
        <w:ind w:left="6480" w:hanging="360"/>
      </w:pPr>
      <w:rPr>
        <w:rFonts w:ascii="Times New Roman" w:hAnsi="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3"/>
  </w:num>
  <w:num w:numId="5">
    <w:abstractNumId w:val="1"/>
  </w:num>
  <w:num w:numId="6">
    <w:abstractNumId w:val="2"/>
  </w:num>
  <w:num w:numId="7">
    <w:abstractNumId w:val="7"/>
  </w:num>
  <w:num w:numId="8">
    <w:abstractNumId w:val="9"/>
  </w:num>
  <w:num w:numId="9">
    <w:abstractNumId w:val="4"/>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13"/>
    <w:rsid w:val="000274BB"/>
    <w:rsid w:val="0007226E"/>
    <w:rsid w:val="000933DA"/>
    <w:rsid w:val="000A58F9"/>
    <w:rsid w:val="00113164"/>
    <w:rsid w:val="0013667E"/>
    <w:rsid w:val="00152BA6"/>
    <w:rsid w:val="0015482E"/>
    <w:rsid w:val="00164AF4"/>
    <w:rsid w:val="001755F4"/>
    <w:rsid w:val="00175CEE"/>
    <w:rsid w:val="0018006A"/>
    <w:rsid w:val="001A2FAB"/>
    <w:rsid w:val="001D0AD0"/>
    <w:rsid w:val="001D723B"/>
    <w:rsid w:val="001F480E"/>
    <w:rsid w:val="0021126A"/>
    <w:rsid w:val="002305F6"/>
    <w:rsid w:val="002357E6"/>
    <w:rsid w:val="00260FF2"/>
    <w:rsid w:val="00262564"/>
    <w:rsid w:val="00280480"/>
    <w:rsid w:val="002821AC"/>
    <w:rsid w:val="0029020B"/>
    <w:rsid w:val="00291D96"/>
    <w:rsid w:val="002A5AC0"/>
    <w:rsid w:val="002C3BE8"/>
    <w:rsid w:val="002D44BE"/>
    <w:rsid w:val="00315627"/>
    <w:rsid w:val="003957F5"/>
    <w:rsid w:val="0039726A"/>
    <w:rsid w:val="003979B4"/>
    <w:rsid w:val="003C304B"/>
    <w:rsid w:val="003D578E"/>
    <w:rsid w:val="003F5E68"/>
    <w:rsid w:val="003F7EF3"/>
    <w:rsid w:val="004216C9"/>
    <w:rsid w:val="00442037"/>
    <w:rsid w:val="0044276E"/>
    <w:rsid w:val="004456E7"/>
    <w:rsid w:val="00454AF2"/>
    <w:rsid w:val="00473073"/>
    <w:rsid w:val="0047432F"/>
    <w:rsid w:val="004B064B"/>
    <w:rsid w:val="004C450E"/>
    <w:rsid w:val="004F5BEF"/>
    <w:rsid w:val="005804E2"/>
    <w:rsid w:val="0059026F"/>
    <w:rsid w:val="005B6B1E"/>
    <w:rsid w:val="005C0AB8"/>
    <w:rsid w:val="005D715E"/>
    <w:rsid w:val="005E0413"/>
    <w:rsid w:val="005E6D66"/>
    <w:rsid w:val="005F4FE3"/>
    <w:rsid w:val="0062440B"/>
    <w:rsid w:val="006256A5"/>
    <w:rsid w:val="00641C56"/>
    <w:rsid w:val="0064361B"/>
    <w:rsid w:val="00646F43"/>
    <w:rsid w:val="006542CD"/>
    <w:rsid w:val="00667227"/>
    <w:rsid w:val="006926BC"/>
    <w:rsid w:val="006C0727"/>
    <w:rsid w:val="006C0953"/>
    <w:rsid w:val="006E145F"/>
    <w:rsid w:val="006F5FFA"/>
    <w:rsid w:val="00707D93"/>
    <w:rsid w:val="007569C5"/>
    <w:rsid w:val="00770572"/>
    <w:rsid w:val="00786EFB"/>
    <w:rsid w:val="007B5193"/>
    <w:rsid w:val="007D3CC1"/>
    <w:rsid w:val="007E1A64"/>
    <w:rsid w:val="008204BC"/>
    <w:rsid w:val="00822EB0"/>
    <w:rsid w:val="008454D7"/>
    <w:rsid w:val="00847DB5"/>
    <w:rsid w:val="0087604B"/>
    <w:rsid w:val="00882FA3"/>
    <w:rsid w:val="008A2FBE"/>
    <w:rsid w:val="008B2F27"/>
    <w:rsid w:val="008E17F4"/>
    <w:rsid w:val="009111E4"/>
    <w:rsid w:val="00932796"/>
    <w:rsid w:val="00940DB1"/>
    <w:rsid w:val="009524CB"/>
    <w:rsid w:val="00960C80"/>
    <w:rsid w:val="00960DC9"/>
    <w:rsid w:val="00965A1D"/>
    <w:rsid w:val="0097135E"/>
    <w:rsid w:val="00974A68"/>
    <w:rsid w:val="009C1D15"/>
    <w:rsid w:val="009D3B92"/>
    <w:rsid w:val="009D7D8D"/>
    <w:rsid w:val="009F2FBC"/>
    <w:rsid w:val="00A17800"/>
    <w:rsid w:val="00A26B1F"/>
    <w:rsid w:val="00A36291"/>
    <w:rsid w:val="00A37AA3"/>
    <w:rsid w:val="00A45B30"/>
    <w:rsid w:val="00A72F2A"/>
    <w:rsid w:val="00A76D5C"/>
    <w:rsid w:val="00AA427C"/>
    <w:rsid w:val="00B000D7"/>
    <w:rsid w:val="00B12797"/>
    <w:rsid w:val="00B35A4B"/>
    <w:rsid w:val="00B90420"/>
    <w:rsid w:val="00B91A1B"/>
    <w:rsid w:val="00BA37C0"/>
    <w:rsid w:val="00BC3451"/>
    <w:rsid w:val="00BC4003"/>
    <w:rsid w:val="00BD6CFB"/>
    <w:rsid w:val="00BE68C2"/>
    <w:rsid w:val="00C074D9"/>
    <w:rsid w:val="00C4152F"/>
    <w:rsid w:val="00C75CE7"/>
    <w:rsid w:val="00C93BBD"/>
    <w:rsid w:val="00CA09B2"/>
    <w:rsid w:val="00CA2CB2"/>
    <w:rsid w:val="00CA7686"/>
    <w:rsid w:val="00CB74B8"/>
    <w:rsid w:val="00CF00C8"/>
    <w:rsid w:val="00D124C4"/>
    <w:rsid w:val="00D27CB4"/>
    <w:rsid w:val="00D5707D"/>
    <w:rsid w:val="00D85DB8"/>
    <w:rsid w:val="00DC0009"/>
    <w:rsid w:val="00DC5A7B"/>
    <w:rsid w:val="00DC750C"/>
    <w:rsid w:val="00DD5BD2"/>
    <w:rsid w:val="00DE355C"/>
    <w:rsid w:val="00DF6B9F"/>
    <w:rsid w:val="00E3232C"/>
    <w:rsid w:val="00E369A3"/>
    <w:rsid w:val="00E61D1D"/>
    <w:rsid w:val="00E871D0"/>
    <w:rsid w:val="00EB2CE7"/>
    <w:rsid w:val="00EC17ED"/>
    <w:rsid w:val="00EF000B"/>
    <w:rsid w:val="00EF7D16"/>
    <w:rsid w:val="00F377E8"/>
    <w:rsid w:val="00F518E2"/>
    <w:rsid w:val="00F821E1"/>
    <w:rsid w:val="00F84921"/>
    <w:rsid w:val="00FB56F5"/>
    <w:rsid w:val="00FF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7C6A9"/>
  <w15:chartTrackingRefBased/>
  <w15:docId w15:val="{41D655F2-66C3-4B5C-8498-4D17A84B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8204BC"/>
    <w:pPr>
      <w:spacing w:before="100" w:beforeAutospacing="1" w:after="100" w:afterAutospacing="1"/>
    </w:pPr>
    <w:rPr>
      <w:sz w:val="24"/>
      <w:szCs w:val="24"/>
      <w:lang w:val="en-US"/>
    </w:rPr>
  </w:style>
  <w:style w:type="paragraph" w:styleId="ListParagraph">
    <w:name w:val="List Paragraph"/>
    <w:basedOn w:val="Normal"/>
    <w:uiPriority w:val="34"/>
    <w:qFormat/>
    <w:rsid w:val="00BC4003"/>
    <w:pPr>
      <w:ind w:left="720"/>
      <w:contextualSpacing/>
    </w:pPr>
  </w:style>
  <w:style w:type="character" w:customStyle="1" w:styleId="fontstyle01">
    <w:name w:val="fontstyle01"/>
    <w:basedOn w:val="DefaultParagraphFont"/>
    <w:rsid w:val="00847DB5"/>
    <w:rPr>
      <w:rFonts w:ascii="ArialMT" w:hAnsi="ArialMT" w:hint="default"/>
      <w:b w:val="0"/>
      <w:bCs w:val="0"/>
      <w:i w:val="0"/>
      <w:iCs w:val="0"/>
      <w:color w:val="000000"/>
      <w:sz w:val="24"/>
      <w:szCs w:val="24"/>
    </w:rPr>
  </w:style>
  <w:style w:type="paragraph" w:styleId="BalloonText">
    <w:name w:val="Balloon Text"/>
    <w:basedOn w:val="Normal"/>
    <w:link w:val="BalloonTextChar"/>
    <w:rsid w:val="00D5707D"/>
    <w:rPr>
      <w:rFonts w:ascii="Segoe UI" w:hAnsi="Segoe UI" w:cs="Segoe UI"/>
      <w:sz w:val="18"/>
      <w:szCs w:val="18"/>
    </w:rPr>
  </w:style>
  <w:style w:type="character" w:customStyle="1" w:styleId="BalloonTextChar">
    <w:name w:val="Balloon Text Char"/>
    <w:basedOn w:val="DefaultParagraphFont"/>
    <w:link w:val="BalloonText"/>
    <w:rsid w:val="00D5707D"/>
    <w:rPr>
      <w:rFonts w:ascii="Segoe UI" w:hAnsi="Segoe UI" w:cs="Segoe UI"/>
      <w:sz w:val="18"/>
      <w:szCs w:val="18"/>
      <w:lang w:val="en-GB"/>
    </w:rPr>
  </w:style>
  <w:style w:type="character" w:styleId="CommentReference">
    <w:name w:val="annotation reference"/>
    <w:basedOn w:val="DefaultParagraphFont"/>
    <w:rsid w:val="001755F4"/>
    <w:rPr>
      <w:sz w:val="16"/>
      <w:szCs w:val="16"/>
    </w:rPr>
  </w:style>
  <w:style w:type="paragraph" w:styleId="CommentText">
    <w:name w:val="annotation text"/>
    <w:basedOn w:val="Normal"/>
    <w:link w:val="CommentTextChar"/>
    <w:rsid w:val="001755F4"/>
    <w:rPr>
      <w:sz w:val="20"/>
    </w:rPr>
  </w:style>
  <w:style w:type="character" w:customStyle="1" w:styleId="CommentTextChar">
    <w:name w:val="Comment Text Char"/>
    <w:basedOn w:val="DefaultParagraphFont"/>
    <w:link w:val="CommentText"/>
    <w:rsid w:val="001755F4"/>
    <w:rPr>
      <w:lang w:val="en-GB"/>
    </w:rPr>
  </w:style>
  <w:style w:type="paragraph" w:styleId="CommentSubject">
    <w:name w:val="annotation subject"/>
    <w:basedOn w:val="CommentText"/>
    <w:next w:val="CommentText"/>
    <w:link w:val="CommentSubjectChar"/>
    <w:rsid w:val="00B91A1B"/>
    <w:rPr>
      <w:b/>
      <w:bCs/>
    </w:rPr>
  </w:style>
  <w:style w:type="character" w:customStyle="1" w:styleId="CommentSubjectChar">
    <w:name w:val="Comment Subject Char"/>
    <w:basedOn w:val="CommentTextChar"/>
    <w:link w:val="CommentSubject"/>
    <w:rsid w:val="00B91A1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2254">
      <w:bodyDiv w:val="1"/>
      <w:marLeft w:val="0"/>
      <w:marRight w:val="0"/>
      <w:marTop w:val="0"/>
      <w:marBottom w:val="0"/>
      <w:divBdr>
        <w:top w:val="none" w:sz="0" w:space="0" w:color="auto"/>
        <w:left w:val="none" w:sz="0" w:space="0" w:color="auto"/>
        <w:bottom w:val="none" w:sz="0" w:space="0" w:color="auto"/>
        <w:right w:val="none" w:sz="0" w:space="0" w:color="auto"/>
      </w:divBdr>
      <w:divsChild>
        <w:div w:id="59641484">
          <w:marLeft w:val="288"/>
          <w:marRight w:val="0"/>
          <w:marTop w:val="216"/>
          <w:marBottom w:val="0"/>
          <w:divBdr>
            <w:top w:val="none" w:sz="0" w:space="0" w:color="auto"/>
            <w:left w:val="none" w:sz="0" w:space="0" w:color="auto"/>
            <w:bottom w:val="none" w:sz="0" w:space="0" w:color="auto"/>
            <w:right w:val="none" w:sz="0" w:space="0" w:color="auto"/>
          </w:divBdr>
        </w:div>
        <w:div w:id="1071388270">
          <w:marLeft w:val="576"/>
          <w:marRight w:val="0"/>
          <w:marTop w:val="96"/>
          <w:marBottom w:val="0"/>
          <w:divBdr>
            <w:top w:val="none" w:sz="0" w:space="0" w:color="auto"/>
            <w:left w:val="none" w:sz="0" w:space="0" w:color="auto"/>
            <w:bottom w:val="none" w:sz="0" w:space="0" w:color="auto"/>
            <w:right w:val="none" w:sz="0" w:space="0" w:color="auto"/>
          </w:divBdr>
        </w:div>
        <w:div w:id="1153644323">
          <w:marLeft w:val="288"/>
          <w:marRight w:val="0"/>
          <w:marTop w:val="216"/>
          <w:marBottom w:val="0"/>
          <w:divBdr>
            <w:top w:val="none" w:sz="0" w:space="0" w:color="auto"/>
            <w:left w:val="none" w:sz="0" w:space="0" w:color="auto"/>
            <w:bottom w:val="none" w:sz="0" w:space="0" w:color="auto"/>
            <w:right w:val="none" w:sz="0" w:space="0" w:color="auto"/>
          </w:divBdr>
        </w:div>
      </w:divsChild>
    </w:div>
    <w:div w:id="183591813">
      <w:bodyDiv w:val="1"/>
      <w:marLeft w:val="0"/>
      <w:marRight w:val="0"/>
      <w:marTop w:val="0"/>
      <w:marBottom w:val="0"/>
      <w:divBdr>
        <w:top w:val="none" w:sz="0" w:space="0" w:color="auto"/>
        <w:left w:val="none" w:sz="0" w:space="0" w:color="auto"/>
        <w:bottom w:val="none" w:sz="0" w:space="0" w:color="auto"/>
        <w:right w:val="none" w:sz="0" w:space="0" w:color="auto"/>
      </w:divBdr>
      <w:divsChild>
        <w:div w:id="298078180">
          <w:marLeft w:val="1123"/>
          <w:marRight w:val="0"/>
          <w:marTop w:val="34"/>
          <w:marBottom w:val="0"/>
          <w:divBdr>
            <w:top w:val="none" w:sz="0" w:space="0" w:color="auto"/>
            <w:left w:val="none" w:sz="0" w:space="0" w:color="auto"/>
            <w:bottom w:val="none" w:sz="0" w:space="0" w:color="auto"/>
            <w:right w:val="none" w:sz="0" w:space="0" w:color="auto"/>
          </w:divBdr>
        </w:div>
        <w:div w:id="562713529">
          <w:marLeft w:val="576"/>
          <w:marRight w:val="0"/>
          <w:marTop w:val="96"/>
          <w:marBottom w:val="0"/>
          <w:divBdr>
            <w:top w:val="none" w:sz="0" w:space="0" w:color="auto"/>
            <w:left w:val="none" w:sz="0" w:space="0" w:color="auto"/>
            <w:bottom w:val="none" w:sz="0" w:space="0" w:color="auto"/>
            <w:right w:val="none" w:sz="0" w:space="0" w:color="auto"/>
          </w:divBdr>
        </w:div>
        <w:div w:id="856819407">
          <w:marLeft w:val="576"/>
          <w:marRight w:val="0"/>
          <w:marTop w:val="96"/>
          <w:marBottom w:val="0"/>
          <w:divBdr>
            <w:top w:val="none" w:sz="0" w:space="0" w:color="auto"/>
            <w:left w:val="none" w:sz="0" w:space="0" w:color="auto"/>
            <w:bottom w:val="none" w:sz="0" w:space="0" w:color="auto"/>
            <w:right w:val="none" w:sz="0" w:space="0" w:color="auto"/>
          </w:divBdr>
        </w:div>
        <w:div w:id="955720867">
          <w:marLeft w:val="288"/>
          <w:marRight w:val="0"/>
          <w:marTop w:val="216"/>
          <w:marBottom w:val="0"/>
          <w:divBdr>
            <w:top w:val="none" w:sz="0" w:space="0" w:color="auto"/>
            <w:left w:val="none" w:sz="0" w:space="0" w:color="auto"/>
            <w:bottom w:val="none" w:sz="0" w:space="0" w:color="auto"/>
            <w:right w:val="none" w:sz="0" w:space="0" w:color="auto"/>
          </w:divBdr>
        </w:div>
        <w:div w:id="1020202712">
          <w:marLeft w:val="288"/>
          <w:marRight w:val="0"/>
          <w:marTop w:val="216"/>
          <w:marBottom w:val="0"/>
          <w:divBdr>
            <w:top w:val="none" w:sz="0" w:space="0" w:color="auto"/>
            <w:left w:val="none" w:sz="0" w:space="0" w:color="auto"/>
            <w:bottom w:val="none" w:sz="0" w:space="0" w:color="auto"/>
            <w:right w:val="none" w:sz="0" w:space="0" w:color="auto"/>
          </w:divBdr>
        </w:div>
        <w:div w:id="1715619048">
          <w:marLeft w:val="576"/>
          <w:marRight w:val="0"/>
          <w:marTop w:val="96"/>
          <w:marBottom w:val="0"/>
          <w:divBdr>
            <w:top w:val="none" w:sz="0" w:space="0" w:color="auto"/>
            <w:left w:val="none" w:sz="0" w:space="0" w:color="auto"/>
            <w:bottom w:val="none" w:sz="0" w:space="0" w:color="auto"/>
            <w:right w:val="none" w:sz="0" w:space="0" w:color="auto"/>
          </w:divBdr>
        </w:div>
      </w:divsChild>
    </w:div>
    <w:div w:id="919750679">
      <w:bodyDiv w:val="1"/>
      <w:marLeft w:val="0"/>
      <w:marRight w:val="0"/>
      <w:marTop w:val="0"/>
      <w:marBottom w:val="0"/>
      <w:divBdr>
        <w:top w:val="none" w:sz="0" w:space="0" w:color="auto"/>
        <w:left w:val="none" w:sz="0" w:space="0" w:color="auto"/>
        <w:bottom w:val="none" w:sz="0" w:space="0" w:color="auto"/>
        <w:right w:val="none" w:sz="0" w:space="0" w:color="auto"/>
      </w:divBdr>
    </w:div>
    <w:div w:id="937492956">
      <w:bodyDiv w:val="1"/>
      <w:marLeft w:val="0"/>
      <w:marRight w:val="0"/>
      <w:marTop w:val="0"/>
      <w:marBottom w:val="0"/>
      <w:divBdr>
        <w:top w:val="none" w:sz="0" w:space="0" w:color="auto"/>
        <w:left w:val="none" w:sz="0" w:space="0" w:color="auto"/>
        <w:bottom w:val="none" w:sz="0" w:space="0" w:color="auto"/>
        <w:right w:val="none" w:sz="0" w:space="0" w:color="auto"/>
      </w:divBdr>
    </w:div>
    <w:div w:id="1061561967">
      <w:bodyDiv w:val="1"/>
      <w:marLeft w:val="0"/>
      <w:marRight w:val="0"/>
      <w:marTop w:val="0"/>
      <w:marBottom w:val="0"/>
      <w:divBdr>
        <w:top w:val="none" w:sz="0" w:space="0" w:color="auto"/>
        <w:left w:val="none" w:sz="0" w:space="0" w:color="auto"/>
        <w:bottom w:val="none" w:sz="0" w:space="0" w:color="auto"/>
        <w:right w:val="none" w:sz="0" w:space="0" w:color="auto"/>
      </w:divBdr>
    </w:div>
    <w:div w:id="1176263933">
      <w:bodyDiv w:val="1"/>
      <w:marLeft w:val="0"/>
      <w:marRight w:val="0"/>
      <w:marTop w:val="0"/>
      <w:marBottom w:val="0"/>
      <w:divBdr>
        <w:top w:val="none" w:sz="0" w:space="0" w:color="auto"/>
        <w:left w:val="none" w:sz="0" w:space="0" w:color="auto"/>
        <w:bottom w:val="none" w:sz="0" w:space="0" w:color="auto"/>
        <w:right w:val="none" w:sz="0" w:space="0" w:color="auto"/>
      </w:divBdr>
      <w:divsChild>
        <w:div w:id="678316373">
          <w:marLeft w:val="288"/>
          <w:marRight w:val="0"/>
          <w:marTop w:val="216"/>
          <w:marBottom w:val="0"/>
          <w:divBdr>
            <w:top w:val="none" w:sz="0" w:space="0" w:color="auto"/>
            <w:left w:val="none" w:sz="0" w:space="0" w:color="auto"/>
            <w:bottom w:val="none" w:sz="0" w:space="0" w:color="auto"/>
            <w:right w:val="none" w:sz="0" w:space="0" w:color="auto"/>
          </w:divBdr>
        </w:div>
        <w:div w:id="1459685208">
          <w:marLeft w:val="576"/>
          <w:marRight w:val="0"/>
          <w:marTop w:val="96"/>
          <w:marBottom w:val="0"/>
          <w:divBdr>
            <w:top w:val="none" w:sz="0" w:space="0" w:color="auto"/>
            <w:left w:val="none" w:sz="0" w:space="0" w:color="auto"/>
            <w:bottom w:val="none" w:sz="0" w:space="0" w:color="auto"/>
            <w:right w:val="none" w:sz="0" w:space="0" w:color="auto"/>
          </w:divBdr>
        </w:div>
        <w:div w:id="1595701745">
          <w:marLeft w:val="576"/>
          <w:marRight w:val="0"/>
          <w:marTop w:val="96"/>
          <w:marBottom w:val="0"/>
          <w:divBdr>
            <w:top w:val="none" w:sz="0" w:space="0" w:color="auto"/>
            <w:left w:val="none" w:sz="0" w:space="0" w:color="auto"/>
            <w:bottom w:val="none" w:sz="0" w:space="0" w:color="auto"/>
            <w:right w:val="none" w:sz="0" w:space="0" w:color="auto"/>
          </w:divBdr>
        </w:div>
        <w:div w:id="1756976087">
          <w:marLeft w:val="288"/>
          <w:marRight w:val="0"/>
          <w:marTop w:val="216"/>
          <w:marBottom w:val="0"/>
          <w:divBdr>
            <w:top w:val="none" w:sz="0" w:space="0" w:color="auto"/>
            <w:left w:val="none" w:sz="0" w:space="0" w:color="auto"/>
            <w:bottom w:val="none" w:sz="0" w:space="0" w:color="auto"/>
            <w:right w:val="none" w:sz="0" w:space="0" w:color="auto"/>
          </w:divBdr>
        </w:div>
        <w:div w:id="1887250952">
          <w:marLeft w:val="288"/>
          <w:marRight w:val="0"/>
          <w:marTop w:val="216"/>
          <w:marBottom w:val="0"/>
          <w:divBdr>
            <w:top w:val="none" w:sz="0" w:space="0" w:color="auto"/>
            <w:left w:val="none" w:sz="0" w:space="0" w:color="auto"/>
            <w:bottom w:val="none" w:sz="0" w:space="0" w:color="auto"/>
            <w:right w:val="none" w:sz="0" w:space="0" w:color="auto"/>
          </w:divBdr>
        </w:div>
      </w:divsChild>
    </w:div>
    <w:div w:id="1476793806">
      <w:bodyDiv w:val="1"/>
      <w:marLeft w:val="0"/>
      <w:marRight w:val="0"/>
      <w:marTop w:val="0"/>
      <w:marBottom w:val="0"/>
      <w:divBdr>
        <w:top w:val="none" w:sz="0" w:space="0" w:color="auto"/>
        <w:left w:val="none" w:sz="0" w:space="0" w:color="auto"/>
        <w:bottom w:val="none" w:sz="0" w:space="0" w:color="auto"/>
        <w:right w:val="none" w:sz="0" w:space="0" w:color="auto"/>
      </w:divBdr>
    </w:div>
    <w:div w:id="1513447248">
      <w:bodyDiv w:val="1"/>
      <w:marLeft w:val="0"/>
      <w:marRight w:val="0"/>
      <w:marTop w:val="0"/>
      <w:marBottom w:val="0"/>
      <w:divBdr>
        <w:top w:val="none" w:sz="0" w:space="0" w:color="auto"/>
        <w:left w:val="none" w:sz="0" w:space="0" w:color="auto"/>
        <w:bottom w:val="none" w:sz="0" w:space="0" w:color="auto"/>
        <w:right w:val="none" w:sz="0" w:space="0" w:color="auto"/>
      </w:divBdr>
      <w:divsChild>
        <w:div w:id="849174567">
          <w:marLeft w:val="288"/>
          <w:marRight w:val="0"/>
          <w:marTop w:val="216"/>
          <w:marBottom w:val="0"/>
          <w:divBdr>
            <w:top w:val="none" w:sz="0" w:space="0" w:color="auto"/>
            <w:left w:val="none" w:sz="0" w:space="0" w:color="auto"/>
            <w:bottom w:val="none" w:sz="0" w:space="0" w:color="auto"/>
            <w:right w:val="none" w:sz="0" w:space="0" w:color="auto"/>
          </w:divBdr>
        </w:div>
        <w:div w:id="860510117">
          <w:marLeft w:val="288"/>
          <w:marRight w:val="0"/>
          <w:marTop w:val="216"/>
          <w:marBottom w:val="0"/>
          <w:divBdr>
            <w:top w:val="none" w:sz="0" w:space="0" w:color="auto"/>
            <w:left w:val="none" w:sz="0" w:space="0" w:color="auto"/>
            <w:bottom w:val="none" w:sz="0" w:space="0" w:color="auto"/>
            <w:right w:val="none" w:sz="0" w:space="0" w:color="auto"/>
          </w:divBdr>
        </w:div>
        <w:div w:id="1251886664">
          <w:marLeft w:val="576"/>
          <w:marRight w:val="0"/>
          <w:marTop w:val="96"/>
          <w:marBottom w:val="0"/>
          <w:divBdr>
            <w:top w:val="none" w:sz="0" w:space="0" w:color="auto"/>
            <w:left w:val="none" w:sz="0" w:space="0" w:color="auto"/>
            <w:bottom w:val="none" w:sz="0" w:space="0" w:color="auto"/>
            <w:right w:val="none" w:sz="0" w:space="0" w:color="auto"/>
          </w:divBdr>
        </w:div>
        <w:div w:id="1698505816">
          <w:marLeft w:val="288"/>
          <w:marRight w:val="0"/>
          <w:marTop w:val="216"/>
          <w:marBottom w:val="0"/>
          <w:divBdr>
            <w:top w:val="none" w:sz="0" w:space="0" w:color="auto"/>
            <w:left w:val="none" w:sz="0" w:space="0" w:color="auto"/>
            <w:bottom w:val="none" w:sz="0" w:space="0" w:color="auto"/>
            <w:right w:val="none" w:sz="0" w:space="0" w:color="auto"/>
          </w:divBdr>
        </w:div>
        <w:div w:id="1774587040">
          <w:marLeft w:val="576"/>
          <w:marRight w:val="0"/>
          <w:marTop w:val="96"/>
          <w:marBottom w:val="0"/>
          <w:divBdr>
            <w:top w:val="none" w:sz="0" w:space="0" w:color="auto"/>
            <w:left w:val="none" w:sz="0" w:space="0" w:color="auto"/>
            <w:bottom w:val="none" w:sz="0" w:space="0" w:color="auto"/>
            <w:right w:val="none" w:sz="0" w:space="0" w:color="auto"/>
          </w:divBdr>
        </w:div>
      </w:divsChild>
    </w:div>
    <w:div w:id="1647860653">
      <w:bodyDiv w:val="1"/>
      <w:marLeft w:val="0"/>
      <w:marRight w:val="0"/>
      <w:marTop w:val="0"/>
      <w:marBottom w:val="0"/>
      <w:divBdr>
        <w:top w:val="none" w:sz="0" w:space="0" w:color="auto"/>
        <w:left w:val="none" w:sz="0" w:space="0" w:color="auto"/>
        <w:bottom w:val="none" w:sz="0" w:space="0" w:color="auto"/>
        <w:right w:val="none" w:sz="0" w:space="0" w:color="auto"/>
      </w:divBdr>
      <w:divsChild>
        <w:div w:id="59912780">
          <w:marLeft w:val="576"/>
          <w:marRight w:val="0"/>
          <w:marTop w:val="96"/>
          <w:marBottom w:val="0"/>
          <w:divBdr>
            <w:top w:val="none" w:sz="0" w:space="0" w:color="auto"/>
            <w:left w:val="none" w:sz="0" w:space="0" w:color="auto"/>
            <w:bottom w:val="none" w:sz="0" w:space="0" w:color="auto"/>
            <w:right w:val="none" w:sz="0" w:space="0" w:color="auto"/>
          </w:divBdr>
        </w:div>
        <w:div w:id="215431466">
          <w:marLeft w:val="288"/>
          <w:marRight w:val="0"/>
          <w:marTop w:val="216"/>
          <w:marBottom w:val="0"/>
          <w:divBdr>
            <w:top w:val="none" w:sz="0" w:space="0" w:color="auto"/>
            <w:left w:val="none" w:sz="0" w:space="0" w:color="auto"/>
            <w:bottom w:val="none" w:sz="0" w:space="0" w:color="auto"/>
            <w:right w:val="none" w:sz="0" w:space="0" w:color="auto"/>
          </w:divBdr>
        </w:div>
        <w:div w:id="330374866">
          <w:marLeft w:val="288"/>
          <w:marRight w:val="0"/>
          <w:marTop w:val="216"/>
          <w:marBottom w:val="0"/>
          <w:divBdr>
            <w:top w:val="none" w:sz="0" w:space="0" w:color="auto"/>
            <w:left w:val="none" w:sz="0" w:space="0" w:color="auto"/>
            <w:bottom w:val="none" w:sz="0" w:space="0" w:color="auto"/>
            <w:right w:val="none" w:sz="0" w:space="0" w:color="auto"/>
          </w:divBdr>
        </w:div>
        <w:div w:id="1088497734">
          <w:marLeft w:val="288"/>
          <w:marRight w:val="0"/>
          <w:marTop w:val="216"/>
          <w:marBottom w:val="0"/>
          <w:divBdr>
            <w:top w:val="none" w:sz="0" w:space="0" w:color="auto"/>
            <w:left w:val="none" w:sz="0" w:space="0" w:color="auto"/>
            <w:bottom w:val="none" w:sz="0" w:space="0" w:color="auto"/>
            <w:right w:val="none" w:sz="0" w:space="0" w:color="auto"/>
          </w:divBdr>
        </w:div>
        <w:div w:id="1299215977">
          <w:marLeft w:val="576"/>
          <w:marRight w:val="0"/>
          <w:marTop w:val="96"/>
          <w:marBottom w:val="0"/>
          <w:divBdr>
            <w:top w:val="none" w:sz="0" w:space="0" w:color="auto"/>
            <w:left w:val="none" w:sz="0" w:space="0" w:color="auto"/>
            <w:bottom w:val="none" w:sz="0" w:space="0" w:color="auto"/>
            <w:right w:val="none" w:sz="0" w:space="0" w:color="auto"/>
          </w:divBdr>
        </w:div>
      </w:divsChild>
    </w:div>
    <w:div w:id="1715617205">
      <w:bodyDiv w:val="1"/>
      <w:marLeft w:val="0"/>
      <w:marRight w:val="0"/>
      <w:marTop w:val="0"/>
      <w:marBottom w:val="0"/>
      <w:divBdr>
        <w:top w:val="none" w:sz="0" w:space="0" w:color="auto"/>
        <w:left w:val="none" w:sz="0" w:space="0" w:color="auto"/>
        <w:bottom w:val="none" w:sz="0" w:space="0" w:color="auto"/>
        <w:right w:val="none" w:sz="0" w:space="0" w:color="auto"/>
      </w:divBdr>
      <w:divsChild>
        <w:div w:id="429400557">
          <w:marLeft w:val="288"/>
          <w:marRight w:val="0"/>
          <w:marTop w:val="216"/>
          <w:marBottom w:val="0"/>
          <w:divBdr>
            <w:top w:val="none" w:sz="0" w:space="0" w:color="auto"/>
            <w:left w:val="none" w:sz="0" w:space="0" w:color="auto"/>
            <w:bottom w:val="none" w:sz="0" w:space="0" w:color="auto"/>
            <w:right w:val="none" w:sz="0" w:space="0" w:color="auto"/>
          </w:divBdr>
        </w:div>
        <w:div w:id="2009555103">
          <w:marLeft w:val="288"/>
          <w:marRight w:val="0"/>
          <w:marTop w:val="2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ervieu\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Lili Hervieu</dc:creator>
  <cp:keywords>Month Year</cp:keywords>
  <dc:description>John Doe, Some Company</dc:description>
  <cp:lastModifiedBy>amyles@cisco.com</cp:lastModifiedBy>
  <cp:revision>2</cp:revision>
  <cp:lastPrinted>1900-01-01T07:00:00Z</cp:lastPrinted>
  <dcterms:created xsi:type="dcterms:W3CDTF">2018-07-12T00:13:00Z</dcterms:created>
  <dcterms:modified xsi:type="dcterms:W3CDTF">2018-07-12T00:13:00Z</dcterms:modified>
</cp:coreProperties>
</file>