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170A84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6806F67" w14:textId="57FEDA4B" w:rsidR="00A0506F" w:rsidRDefault="00A0506F" w:rsidP="00A0506F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6806F67" w14:textId="57FEDA4B" w:rsidR="00A0506F" w:rsidRDefault="00A0506F" w:rsidP="00A0506F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definement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modifity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64C0A558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6B1D56">
        <w:rPr>
          <w:b w:val="0"/>
          <w:color w:val="0070C0"/>
          <w:sz w:val="20"/>
          <w:u w:val="single"/>
        </w:rPr>
        <w:t>20MHz and optionally</w:t>
      </w:r>
      <w:r w:rsidR="00A24BBC" w:rsidRPr="00873C59">
        <w:rPr>
          <w:b w:val="0"/>
          <w:color w:val="0070C0"/>
          <w:sz w:val="20"/>
          <w:u w:val="single"/>
        </w:rPr>
        <w:t xml:space="preserve">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</w:t>
      </w:r>
      <w:r w:rsidR="00A46C9C">
        <w:rPr>
          <w:b w:val="0"/>
          <w:color w:val="0070C0"/>
          <w:sz w:val="20"/>
          <w:u w:val="single"/>
        </w:rPr>
        <w:t xml:space="preserve"> may</w:t>
      </w:r>
      <w:r w:rsidR="00A24BBC" w:rsidRPr="00873C59">
        <w:rPr>
          <w:b w:val="0"/>
          <w:color w:val="0070C0"/>
          <w:sz w:val="20"/>
          <w:u w:val="single"/>
        </w:rPr>
        <w:t xml:space="preserve"> support preamble puncturing transmission where one or more of the non-continuous 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Default="00CC04A8" w:rsidP="00CC04A8">
      <w:pPr>
        <w:pStyle w:val="T1"/>
        <w:spacing w:after="120"/>
        <w:jc w:val="left"/>
        <w:rPr>
          <w:b w:val="0"/>
          <w:sz w:val="20"/>
        </w:rPr>
      </w:pPr>
      <w:r w:rsidRPr="00CC04A8">
        <w:rPr>
          <w:b w:val="0"/>
          <w:sz w:val="20"/>
        </w:rPr>
        <w:t xml:space="preserve">A </w:t>
      </w:r>
      <w:r w:rsidRPr="00B113CC">
        <w:rPr>
          <w:b w:val="0"/>
          <w:sz w:val="20"/>
        </w:rPr>
        <w:t>Wake-up Radio STA</w:t>
      </w:r>
      <w:r w:rsidRPr="00CC04A8">
        <w:rPr>
          <w:b w:val="0"/>
          <w:sz w:val="20"/>
        </w:rPr>
        <w:t xml:space="preserve"> shall support the following features:</w:t>
      </w:r>
    </w:p>
    <w:p w14:paraId="38141525" w14:textId="16C42D68" w:rsidR="00D2470D" w:rsidRPr="00873C59" w:rsidRDefault="00D2470D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0C1D3A">
        <w:rPr>
          <w:b w:val="0"/>
          <w:color w:val="0070C0"/>
          <w:sz w:val="20"/>
          <w:u w:val="single"/>
        </w:rPr>
        <w:t xml:space="preserve">An </w:t>
      </w:r>
      <w:r w:rsidRPr="00873C59">
        <w:rPr>
          <w:b w:val="0"/>
          <w:color w:val="0070C0"/>
          <w:sz w:val="20"/>
          <w:u w:val="single"/>
        </w:rPr>
        <w:t xml:space="preserve">WUR PPDU </w:t>
      </w:r>
      <w:r w:rsidR="000C1D3A">
        <w:rPr>
          <w:b w:val="0"/>
          <w:color w:val="0070C0"/>
          <w:sz w:val="20"/>
          <w:u w:val="single"/>
        </w:rPr>
        <w:t xml:space="preserve">with single stream 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  <w:bookmarkStart w:id="0" w:name="_GoBack"/>
      <w:bookmarkEnd w:id="0"/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50D6E3CC" w14:textId="77777777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2B740693" w14:textId="6B22DFCA" w:rsidR="00777E9D" w:rsidRPr="005E7BC3" w:rsidRDefault="00430F38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 w:rsidR="005E7BC3" w:rsidRPr="005E7BC3">
        <w:rPr>
          <w:b w:val="0"/>
          <w:color w:val="0070C0"/>
          <w:sz w:val="20"/>
          <w:u w:val="single"/>
        </w:rPr>
        <w:t xml:space="preserve">20 MHz channel width </w:t>
      </w:r>
    </w:p>
    <w:p w14:paraId="6247A3F0" w14:textId="77777777" w:rsidR="005E7BC3" w:rsidRPr="005E7BC3" w:rsidRDefault="005E7BC3" w:rsidP="00CC04A8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1EC6611E" w14:textId="43FB1294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1D2D002F" w14:textId="114185F7" w:rsidR="00777E9D" w:rsidRPr="005E7BC3" w:rsidRDefault="00430F38" w:rsidP="00CC04A8">
      <w:pPr>
        <w:pStyle w:val="T1"/>
        <w:spacing w:after="120"/>
        <w:jc w:val="left"/>
        <w:rPr>
          <w:b w:val="0"/>
          <w:strike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 w:rsidR="00295956">
        <w:rPr>
          <w:b w:val="0"/>
          <w:color w:val="0070C0"/>
          <w:sz w:val="20"/>
          <w:u w:val="single"/>
        </w:rPr>
        <w:t>20</w:t>
      </w:r>
      <w:r w:rsidRPr="005E7BC3">
        <w:rPr>
          <w:b w:val="0"/>
          <w:color w:val="0070C0"/>
          <w:sz w:val="20"/>
          <w:u w:val="single"/>
        </w:rPr>
        <w:t xml:space="preserve"> MHz channel width </w:t>
      </w:r>
      <w:r w:rsidR="005E7BC3">
        <w:rPr>
          <w:b w:val="0"/>
          <w:color w:val="0070C0"/>
          <w:sz w:val="20"/>
          <w:u w:val="single"/>
        </w:rPr>
        <w:t xml:space="preserve">- </w:t>
      </w:r>
    </w:p>
    <w:p w14:paraId="69FCB55B" w14:textId="77777777" w:rsidR="00777E9D" w:rsidRPr="00196305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56C4D9B0" w14:textId="77777777" w:rsidR="00252A4C" w:rsidRDefault="00252A4C" w:rsidP="00252A4C">
      <w:pPr>
        <w:pStyle w:val="Default"/>
        <w:rPr>
          <w:highlight w:val="yellow"/>
        </w:rPr>
      </w:pPr>
    </w:p>
    <w:p w14:paraId="58E01704" w14:textId="77777777" w:rsidR="00252A4C" w:rsidRDefault="00252A4C" w:rsidP="00252A4C">
      <w:pPr>
        <w:pStyle w:val="Default"/>
        <w:rPr>
          <w:highlight w:val="yellow"/>
        </w:rPr>
      </w:pPr>
    </w:p>
    <w:p w14:paraId="27DFEBBE" w14:textId="77777777" w:rsidR="00252A4C" w:rsidRDefault="00252A4C" w:rsidP="00252A4C">
      <w:pPr>
        <w:pStyle w:val="Default"/>
        <w:rPr>
          <w:highlight w:val="yellow"/>
        </w:rPr>
      </w:pPr>
    </w:p>
    <w:p w14:paraId="54639218" w14:textId="77777777" w:rsidR="00252A4C" w:rsidRDefault="00252A4C" w:rsidP="00252A4C">
      <w:pPr>
        <w:pStyle w:val="Default"/>
        <w:rPr>
          <w:highlight w:val="yellow"/>
        </w:rPr>
      </w:pPr>
    </w:p>
    <w:p w14:paraId="0AE873CB" w14:textId="77777777" w:rsidR="00252A4C" w:rsidRDefault="00252A4C" w:rsidP="00252A4C">
      <w:pPr>
        <w:pStyle w:val="Default"/>
        <w:rPr>
          <w:highlight w:val="yellow"/>
        </w:rPr>
      </w:pPr>
    </w:p>
    <w:p w14:paraId="12AEFAC1" w14:textId="77777777" w:rsidR="00252A4C" w:rsidRDefault="00252A4C" w:rsidP="00252A4C">
      <w:pPr>
        <w:pStyle w:val="Default"/>
        <w:rPr>
          <w:highlight w:val="yellow"/>
        </w:rPr>
      </w:pPr>
    </w:p>
    <w:p w14:paraId="5DD686F1" w14:textId="77777777" w:rsidR="00252A4C" w:rsidRDefault="00252A4C" w:rsidP="00252A4C">
      <w:pPr>
        <w:pStyle w:val="Default"/>
        <w:rPr>
          <w:highlight w:val="yellow"/>
        </w:rPr>
      </w:pPr>
    </w:p>
    <w:p w14:paraId="4C1D1A45" w14:textId="77777777" w:rsidR="00252A4C" w:rsidRPr="005F1D8F" w:rsidRDefault="00252A4C" w:rsidP="00252A4C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lastRenderedPageBreak/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585378ED" w14:textId="69512747" w:rsidR="007715CD" w:rsidRDefault="007715CD" w:rsidP="007715C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>you support to incorporate the proposed changes in document 18/113</w:t>
      </w:r>
      <w:r>
        <w:rPr>
          <w:rFonts w:eastAsiaTheme="minorEastAsia"/>
          <w:w w:val="100"/>
          <w:lang w:eastAsia="ko-KR"/>
        </w:rPr>
        <w:t>5</w:t>
      </w:r>
      <w:r>
        <w:rPr>
          <w:rFonts w:eastAsiaTheme="minorEastAsia"/>
          <w:w w:val="100"/>
          <w:lang w:eastAsia="ko-KR"/>
        </w:rPr>
        <w:t>r</w:t>
      </w:r>
      <w:r>
        <w:rPr>
          <w:rFonts w:eastAsiaTheme="minorEastAsia"/>
          <w:w w:val="100"/>
          <w:lang w:eastAsia="ko-KR"/>
        </w:rPr>
        <w:t>3</w:t>
      </w:r>
      <w:r>
        <w:rPr>
          <w:rFonts w:eastAsiaTheme="minorEastAsia"/>
          <w:w w:val="100"/>
          <w:lang w:eastAsia="ko-KR"/>
        </w:rPr>
        <w:t xml:space="preserve"> to the </w:t>
      </w:r>
      <w:r>
        <w:rPr>
          <w:lang w:eastAsia="ko-KR"/>
        </w:rPr>
        <w:t xml:space="preserve">IEEE802.11ba D1.0? </w:t>
      </w:r>
    </w:p>
    <w:p w14:paraId="0B8A9024" w14:textId="77777777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</w:p>
    <w:p w14:paraId="5DC87E22" w14:textId="77777777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</w:p>
    <w:p w14:paraId="6F9BBC02" w14:textId="77777777" w:rsidR="00252A4C" w:rsidRPr="005F1D8F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</w:p>
    <w:p w14:paraId="0A03BAAC" w14:textId="77777777" w:rsidR="00252A4C" w:rsidRPr="00252A4C" w:rsidRDefault="00252A4C" w:rsidP="00252A4C">
      <w:pPr>
        <w:pStyle w:val="Default"/>
        <w:rPr>
          <w:highlight w:val="yellow"/>
        </w:rPr>
      </w:pPr>
    </w:p>
    <w:sectPr w:rsidR="00252A4C" w:rsidRPr="00252A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15EF" w14:textId="77777777" w:rsidR="00170A84" w:rsidRDefault="00170A84">
      <w:r>
        <w:separator/>
      </w:r>
    </w:p>
  </w:endnote>
  <w:endnote w:type="continuationSeparator" w:id="0">
    <w:p w14:paraId="19DECEC6" w14:textId="77777777" w:rsidR="00170A84" w:rsidRDefault="001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170A8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7715CD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7F43" w14:textId="77777777" w:rsidR="00170A84" w:rsidRDefault="00170A84">
      <w:r>
        <w:separator/>
      </w:r>
    </w:p>
  </w:footnote>
  <w:footnote w:type="continuationSeparator" w:id="0">
    <w:p w14:paraId="49C8FBE5" w14:textId="77777777" w:rsidR="00170A84" w:rsidRDefault="0017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EE2E19C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170A84">
      <w:fldChar w:fldCharType="begin"/>
    </w:r>
    <w:r w:rsidR="00170A84">
      <w:instrText xml:space="preserve"> TITLE  \* MERGEFORMAT </w:instrText>
    </w:r>
    <w:r w:rsidR="00170A84">
      <w:fldChar w:fldCharType="separate"/>
    </w:r>
    <w:r w:rsidR="00CA31CA">
      <w:t>doc.: IEEE 802.11-18/</w:t>
    </w:r>
    <w:r w:rsidR="0073341C">
      <w:rPr>
        <w:lang w:eastAsia="ko-KR"/>
      </w:rPr>
      <w:t>1135</w:t>
    </w:r>
    <w:r w:rsidR="00170A84">
      <w:rPr>
        <w:lang w:eastAsia="ko-KR"/>
      </w:rPr>
      <w:fldChar w:fldCharType="end"/>
    </w:r>
    <w:r w:rsidR="00CA31CA">
      <w:rPr>
        <w:lang w:eastAsia="ko-KR"/>
      </w:rPr>
      <w:t>r</w:t>
    </w:r>
    <w:r w:rsidR="007715CD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A84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A4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95956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4C5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1D5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6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15CD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6464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B6A19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0506F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6C9C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3497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85592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2F55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2836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F304D7A2-28C4-4D0D-A329-0CFC25AC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2018-07-09T23:23:00Z</dcterms:created>
  <dcterms:modified xsi:type="dcterms:W3CDTF">2018-07-09T23:23:00Z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