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F79C4">
        <w:trPr>
          <w:trHeight w:val="440"/>
          <w:jc w:val="center"/>
        </w:trPr>
        <w:tc>
          <w:tcPr>
            <w:tcW w:w="9493" w:type="dxa"/>
            <w:gridSpan w:val="5"/>
            <w:vAlign w:val="center"/>
          </w:tcPr>
          <w:p w14:paraId="3E163AFB" w14:textId="524E2D35" w:rsidR="00CA09B2" w:rsidRDefault="00981E53" w:rsidP="00981E53">
            <w:pPr>
              <w:pStyle w:val="T2"/>
            </w:pPr>
            <w:r>
              <w:t xml:space="preserve">Status </w:t>
            </w:r>
            <w:r w:rsidR="009D6066">
              <w:t xml:space="preserve">Update </w:t>
            </w:r>
            <w:r>
              <w:t xml:space="preserve">of </w:t>
            </w:r>
            <w:r w:rsidR="009D6066">
              <w:t xml:space="preserve">the </w:t>
            </w:r>
            <w:r w:rsidR="00EE4E5E">
              <w:t>R</w:t>
            </w:r>
            <w:r>
              <w:t xml:space="preserve">eport of </w:t>
            </w:r>
            <w:r w:rsidR="00192E8C">
              <w:t>Full Duplex</w:t>
            </w:r>
            <w:r w:rsidR="00192E8C" w:rsidRPr="00A13B84">
              <w:t xml:space="preserve"> </w:t>
            </w:r>
            <w:r w:rsidR="00192E8C">
              <w:t xml:space="preserve">for 802.11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39D93768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981E53">
              <w:rPr>
                <w:b w:val="0"/>
                <w:sz w:val="20"/>
              </w:rPr>
              <w:t>6</w:t>
            </w:r>
            <w:r w:rsidR="009C7DD5">
              <w:rPr>
                <w:b w:val="0"/>
                <w:sz w:val="20"/>
              </w:rPr>
              <w:t>-</w:t>
            </w:r>
            <w:r w:rsidR="00981E53">
              <w:rPr>
                <w:b w:val="0"/>
                <w:sz w:val="20"/>
              </w:rPr>
              <w:t>2</w:t>
            </w:r>
            <w:r w:rsidR="006358CE">
              <w:rPr>
                <w:b w:val="0"/>
                <w:sz w:val="20"/>
              </w:rPr>
              <w:t>8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5243F90F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Align w:val="center"/>
          </w:tcPr>
          <w:p w14:paraId="3AEA4D6C" w14:textId="3472A5E6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  <w:r w:rsidR="00981E53">
              <w:rPr>
                <w:b w:val="0"/>
                <w:sz w:val="18"/>
                <w:szCs w:val="24"/>
              </w:rPr>
              <w:t xml:space="preserve"> Canada</w:t>
            </w:r>
          </w:p>
        </w:tc>
        <w:tc>
          <w:tcPr>
            <w:tcW w:w="1743" w:type="dxa"/>
            <w:vAlign w:val="center"/>
          </w:tcPr>
          <w:p w14:paraId="49A8E959" w14:textId="04F0FEEA" w:rsidR="00CA09B2" w:rsidRPr="009B21DC" w:rsidRDefault="000D78E6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 xml:space="preserve">, Suite 400, </w:t>
            </w:r>
            <w:r w:rsidR="00AE5881">
              <w:rPr>
                <w:b w:val="0"/>
                <w:sz w:val="18"/>
                <w:szCs w:val="24"/>
              </w:rPr>
              <w:t>Ottawa</w:t>
            </w:r>
            <w:r>
              <w:rPr>
                <w:b w:val="0"/>
                <w:sz w:val="18"/>
                <w:szCs w:val="24"/>
              </w:rPr>
              <w:t>, ON, Canada</w:t>
            </w:r>
          </w:p>
        </w:tc>
        <w:tc>
          <w:tcPr>
            <w:tcW w:w="1260" w:type="dxa"/>
            <w:vAlign w:val="center"/>
          </w:tcPr>
          <w:p w14:paraId="700CCF40" w14:textId="0D1F085B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E55018" w:rsidRPr="009B21DC" w:rsidRDefault="00FE08B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</w:t>
            </w:r>
            <w:r w:rsidR="000D78E6">
              <w:rPr>
                <w:b w:val="0"/>
                <w:sz w:val="18"/>
                <w:szCs w:val="24"/>
              </w:rPr>
              <w:t>xin@huawei.com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21D461B9" w:rsidR="00316845" w:rsidRPr="009B21DC" w:rsidRDefault="00E45BE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Edward Au</w:t>
            </w:r>
          </w:p>
        </w:tc>
        <w:tc>
          <w:tcPr>
            <w:tcW w:w="2257" w:type="dxa"/>
          </w:tcPr>
          <w:p w14:paraId="02B6FF5D" w14:textId="7FF1BA48" w:rsidR="00316845" w:rsidRPr="009B21DC" w:rsidRDefault="00E45BE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 Canada</w:t>
            </w: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0A3EBF92" w:rsidR="00316845" w:rsidRPr="009B21DC" w:rsidRDefault="00E45BEB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E45BEB">
              <w:rPr>
                <w:b w:val="0"/>
                <w:noProof/>
                <w:sz w:val="18"/>
                <w:szCs w:val="24"/>
                <w:lang w:val="en-US"/>
              </w:rPr>
              <w:t>edward.ks.au@huawei.com</w:t>
            </w: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217D7268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A681A71" w14:textId="14627DB6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01F7A430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0663B" w:rsidRDefault="001066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21943192" w:rsidR="0010663B" w:rsidRDefault="0010663B" w:rsidP="00E55018">
                            <w:r>
                              <w:t xml:space="preserve">This document </w:t>
                            </w:r>
                            <w:r w:rsidR="00981E53">
                              <w:t>provides</w:t>
                            </w:r>
                            <w:r>
                              <w:t xml:space="preserve"> </w:t>
                            </w:r>
                            <w:r w:rsidR="00981E53">
                              <w:t>a status update of the</w:t>
                            </w:r>
                            <w:r>
                              <w:t xml:space="preserve"> Report on Full Duplex for IEEE 802.11. </w:t>
                            </w:r>
                          </w:p>
                          <w:p w14:paraId="0E2FCE72" w14:textId="77777777" w:rsidR="0010663B" w:rsidRDefault="0010663B">
                            <w:pPr>
                              <w:jc w:val="both"/>
                            </w:pPr>
                          </w:p>
                          <w:p w14:paraId="5B0FB3CB" w14:textId="77777777" w:rsidR="0010663B" w:rsidRDefault="0010663B">
                            <w:pPr>
                              <w:jc w:val="both"/>
                            </w:pPr>
                          </w:p>
                          <w:p w14:paraId="04715E6C" w14:textId="77777777" w:rsidR="0010663B" w:rsidRDefault="0010663B">
                            <w:pPr>
                              <w:jc w:val="both"/>
                            </w:pPr>
                          </w:p>
                          <w:p w14:paraId="0C400963" w14:textId="77777777" w:rsidR="0010663B" w:rsidRDefault="0010663B">
                            <w:pPr>
                              <w:jc w:val="both"/>
                            </w:pPr>
                          </w:p>
                          <w:p w14:paraId="0FB4DEA1" w14:textId="77777777" w:rsidR="0010663B" w:rsidRDefault="0010663B">
                            <w:pPr>
                              <w:jc w:val="both"/>
                            </w:pPr>
                          </w:p>
                          <w:p w14:paraId="28CD7ACA" w14:textId="77777777" w:rsidR="0010663B" w:rsidRDefault="0010663B">
                            <w:pPr>
                              <w:jc w:val="both"/>
                            </w:pPr>
                          </w:p>
                          <w:p w14:paraId="426E22A5" w14:textId="47131A50" w:rsidR="0010663B" w:rsidRPr="009F5A4B" w:rsidRDefault="0010663B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0663B" w:rsidRDefault="001066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0663B" w:rsidRDefault="001066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21943192" w:rsidR="0010663B" w:rsidRDefault="0010663B" w:rsidP="00E55018">
                      <w:r>
                        <w:t xml:space="preserve">This document </w:t>
                      </w:r>
                      <w:r w:rsidR="00981E53">
                        <w:t>provides</w:t>
                      </w:r>
                      <w:r>
                        <w:t xml:space="preserve"> </w:t>
                      </w:r>
                      <w:r w:rsidR="00981E53">
                        <w:t>a status update of the</w:t>
                      </w:r>
                      <w:r>
                        <w:t xml:space="preserve"> Report on Full Duplex for IEEE 802.11. </w:t>
                      </w:r>
                    </w:p>
                    <w:p w14:paraId="0E2FCE72" w14:textId="77777777" w:rsidR="0010663B" w:rsidRDefault="0010663B">
                      <w:pPr>
                        <w:jc w:val="both"/>
                      </w:pPr>
                    </w:p>
                    <w:p w14:paraId="5B0FB3CB" w14:textId="77777777" w:rsidR="0010663B" w:rsidRDefault="0010663B">
                      <w:pPr>
                        <w:jc w:val="both"/>
                      </w:pPr>
                    </w:p>
                    <w:p w14:paraId="04715E6C" w14:textId="77777777" w:rsidR="0010663B" w:rsidRDefault="0010663B">
                      <w:pPr>
                        <w:jc w:val="both"/>
                      </w:pPr>
                    </w:p>
                    <w:p w14:paraId="0C400963" w14:textId="77777777" w:rsidR="0010663B" w:rsidRDefault="0010663B">
                      <w:pPr>
                        <w:jc w:val="both"/>
                      </w:pPr>
                    </w:p>
                    <w:p w14:paraId="0FB4DEA1" w14:textId="77777777" w:rsidR="0010663B" w:rsidRDefault="0010663B">
                      <w:pPr>
                        <w:jc w:val="both"/>
                      </w:pPr>
                    </w:p>
                    <w:p w14:paraId="28CD7ACA" w14:textId="77777777" w:rsidR="0010663B" w:rsidRDefault="0010663B">
                      <w:pPr>
                        <w:jc w:val="both"/>
                      </w:pPr>
                    </w:p>
                    <w:p w14:paraId="426E22A5" w14:textId="47131A50" w:rsidR="0010663B" w:rsidRPr="009F5A4B" w:rsidRDefault="0010663B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0663B" w:rsidRDefault="001066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7272B350" w14:textId="77777777" w:rsidR="00067396" w:rsidRDefault="00067396" w:rsidP="009F4D2C">
      <w:pPr>
        <w:pStyle w:val="Heading1"/>
        <w:rPr>
          <w:rStyle w:val="Strong"/>
        </w:rPr>
      </w:pPr>
      <w:r w:rsidRPr="009F4D2C">
        <w:rPr>
          <w:rStyle w:val="Strong"/>
          <w:b/>
        </w:rPr>
        <w:lastRenderedPageBreak/>
        <w:t>Introduction</w:t>
      </w:r>
    </w:p>
    <w:p w14:paraId="494C3FF5" w14:textId="5D68699F" w:rsidR="00B009B8" w:rsidRDefault="00981E53" w:rsidP="004F79C4">
      <w:pPr>
        <w:autoSpaceDE w:val="0"/>
        <w:autoSpaceDN w:val="0"/>
        <w:adjustRightInd w:val="0"/>
        <w:jc w:val="both"/>
        <w:rPr>
          <w:rStyle w:val="Strong"/>
          <w:b w:val="0"/>
        </w:rPr>
      </w:pPr>
      <w:r>
        <w:rPr>
          <w:rStyle w:val="Strong"/>
          <w:b w:val="0"/>
        </w:rPr>
        <w:t>Since the first 802.11 FD TIG meeting</w:t>
      </w:r>
      <w:r w:rsidR="009D6066">
        <w:rPr>
          <w:rStyle w:val="Strong"/>
          <w:b w:val="0"/>
        </w:rPr>
        <w:t xml:space="preserve"> in March 2018</w:t>
      </w:r>
      <w:r>
        <w:rPr>
          <w:rStyle w:val="Strong"/>
          <w:b w:val="0"/>
        </w:rPr>
        <w:t xml:space="preserve">, there </w:t>
      </w:r>
      <w:r w:rsidR="004F79C4">
        <w:rPr>
          <w:rStyle w:val="Strong"/>
          <w:b w:val="0"/>
        </w:rPr>
        <w:t>are in</w:t>
      </w:r>
      <w:r>
        <w:rPr>
          <w:rStyle w:val="Strong"/>
          <w:b w:val="0"/>
        </w:rPr>
        <w:t xml:space="preserve"> total </w:t>
      </w:r>
      <w:r w:rsidR="009D6066">
        <w:rPr>
          <w:rStyle w:val="Strong"/>
          <w:b w:val="0"/>
        </w:rPr>
        <w:t xml:space="preserve">seven TIG technical contributions </w:t>
      </w:r>
      <w:r w:rsidR="00D07338">
        <w:rPr>
          <w:rStyle w:val="Strong"/>
          <w:b w:val="0"/>
        </w:rPr>
        <w:t xml:space="preserve">[1]-[7] </w:t>
      </w:r>
      <w:r w:rsidR="009D6066">
        <w:rPr>
          <w:rStyle w:val="Strong"/>
          <w:b w:val="0"/>
        </w:rPr>
        <w:t xml:space="preserve">submitted to the 802.11 document server. </w:t>
      </w:r>
      <w:r w:rsidR="00FD61F5">
        <w:rPr>
          <w:rStyle w:val="Strong"/>
          <w:b w:val="0"/>
        </w:rPr>
        <w:t>A</w:t>
      </w:r>
      <w:r w:rsidR="009D6066">
        <w:rPr>
          <w:rStyle w:val="Strong"/>
          <w:b w:val="0"/>
        </w:rPr>
        <w:t xml:space="preserve"> document which outlines</w:t>
      </w:r>
      <w:r w:rsidR="00D07338">
        <w:rPr>
          <w:rStyle w:val="Strong"/>
          <w:b w:val="0"/>
        </w:rPr>
        <w:t xml:space="preserve"> the framework of FD TIG R</w:t>
      </w:r>
      <w:r w:rsidR="009D6066">
        <w:rPr>
          <w:rStyle w:val="Strong"/>
          <w:b w:val="0"/>
        </w:rPr>
        <w:t xml:space="preserve">eport </w:t>
      </w:r>
      <w:r w:rsidR="00D07338">
        <w:rPr>
          <w:rStyle w:val="Strong"/>
          <w:b w:val="0"/>
        </w:rPr>
        <w:t>[8</w:t>
      </w:r>
      <w:r w:rsidR="009D6066">
        <w:rPr>
          <w:rStyle w:val="Strong"/>
          <w:b w:val="0"/>
        </w:rPr>
        <w:t xml:space="preserve">] was presented and discussed during the 802.11 FD TIG March session. </w:t>
      </w:r>
    </w:p>
    <w:p w14:paraId="314AC77E" w14:textId="77777777" w:rsidR="00B009B8" w:rsidRDefault="00B009B8" w:rsidP="004F79C4">
      <w:pPr>
        <w:autoSpaceDE w:val="0"/>
        <w:autoSpaceDN w:val="0"/>
        <w:adjustRightInd w:val="0"/>
        <w:jc w:val="both"/>
        <w:rPr>
          <w:rStyle w:val="Strong"/>
          <w:b w:val="0"/>
        </w:rPr>
      </w:pPr>
    </w:p>
    <w:p w14:paraId="627B04CB" w14:textId="57D3B31B" w:rsidR="00981E53" w:rsidRPr="00A45D66" w:rsidRDefault="009D6066" w:rsidP="004F79C4">
      <w:pPr>
        <w:autoSpaceDE w:val="0"/>
        <w:autoSpaceDN w:val="0"/>
        <w:adjustRightInd w:val="0"/>
        <w:jc w:val="both"/>
      </w:pPr>
      <w:r>
        <w:rPr>
          <w:rStyle w:val="Strong"/>
          <w:b w:val="0"/>
        </w:rPr>
        <w:t xml:space="preserve">This document </w:t>
      </w:r>
      <w:r w:rsidR="00AC0BA3">
        <w:rPr>
          <w:rStyle w:val="Strong"/>
          <w:b w:val="0"/>
        </w:rPr>
        <w:t xml:space="preserve">updates the status of the FD TIG Report </w:t>
      </w:r>
      <w:r w:rsidR="00FD61F5">
        <w:rPr>
          <w:rStyle w:val="Strong"/>
          <w:b w:val="0"/>
        </w:rPr>
        <w:t>with evidence</w:t>
      </w:r>
      <w:r w:rsidR="00AC0BA3">
        <w:rPr>
          <w:rStyle w:val="Strong"/>
          <w:b w:val="0"/>
        </w:rPr>
        <w:t xml:space="preserve"> show</w:t>
      </w:r>
      <w:r w:rsidR="00FD61F5">
        <w:rPr>
          <w:rStyle w:val="Strong"/>
          <w:b w:val="0"/>
        </w:rPr>
        <w:t>ing</w:t>
      </w:r>
      <w:r>
        <w:rPr>
          <w:rStyle w:val="Strong"/>
          <w:b w:val="0"/>
        </w:rPr>
        <w:t xml:space="preserve"> </w:t>
      </w:r>
      <w:r w:rsidR="00E8784E">
        <w:rPr>
          <w:rStyle w:val="Strong"/>
          <w:b w:val="0"/>
        </w:rPr>
        <w:t xml:space="preserve">that some of </w:t>
      </w:r>
      <w:r>
        <w:rPr>
          <w:rStyle w:val="Strong"/>
          <w:b w:val="0"/>
        </w:rPr>
        <w:t xml:space="preserve">the </w:t>
      </w:r>
      <w:r w:rsidR="00AC0BA3">
        <w:rPr>
          <w:rStyle w:val="Strong"/>
          <w:b w:val="0"/>
        </w:rPr>
        <w:t xml:space="preserve">content </w:t>
      </w:r>
      <w:r w:rsidR="00E8784E">
        <w:rPr>
          <w:rStyle w:val="Strong"/>
          <w:b w:val="0"/>
        </w:rPr>
        <w:t>considered for</w:t>
      </w:r>
      <w:r w:rsidR="00B009B8">
        <w:rPr>
          <w:rStyle w:val="Strong"/>
          <w:b w:val="0"/>
        </w:rPr>
        <w:t xml:space="preserve"> </w:t>
      </w:r>
      <w:r w:rsidR="00234130">
        <w:rPr>
          <w:rStyle w:val="Strong"/>
          <w:b w:val="0"/>
        </w:rPr>
        <w:t>the FD TIG Report</w:t>
      </w:r>
      <w:r w:rsidR="00E8784E">
        <w:rPr>
          <w:rStyle w:val="Strong"/>
          <w:b w:val="0"/>
        </w:rPr>
        <w:t xml:space="preserve"> may be </w:t>
      </w:r>
      <w:r w:rsidR="001155B8">
        <w:rPr>
          <w:rStyle w:val="Strong"/>
          <w:b w:val="0"/>
        </w:rPr>
        <w:t xml:space="preserve">potentially </w:t>
      </w:r>
      <w:r w:rsidR="00E8784E">
        <w:rPr>
          <w:rStyle w:val="Strong"/>
          <w:b w:val="0"/>
        </w:rPr>
        <w:t xml:space="preserve">covered by </w:t>
      </w:r>
      <w:r w:rsidR="00D95278">
        <w:rPr>
          <w:rStyle w:val="Strong"/>
          <w:b w:val="0"/>
        </w:rPr>
        <w:t>th</w:t>
      </w:r>
      <w:r w:rsidR="00D07338">
        <w:rPr>
          <w:rStyle w:val="Strong"/>
          <w:b w:val="0"/>
        </w:rPr>
        <w:t xml:space="preserve">e </w:t>
      </w:r>
      <w:r w:rsidR="00F055E4">
        <w:rPr>
          <w:rStyle w:val="Strong"/>
          <w:b w:val="0"/>
        </w:rPr>
        <w:t xml:space="preserve">submitted FD TIG </w:t>
      </w:r>
      <w:r w:rsidR="00D07338">
        <w:rPr>
          <w:rStyle w:val="Strong"/>
          <w:b w:val="0"/>
        </w:rPr>
        <w:t>technical contributions</w:t>
      </w:r>
      <w:r w:rsidR="00AC0BA3">
        <w:rPr>
          <w:rStyle w:val="Strong"/>
          <w:b w:val="0"/>
        </w:rPr>
        <w:t xml:space="preserve"> and highlighting the </w:t>
      </w:r>
      <w:r w:rsidR="00FD61F5">
        <w:rPr>
          <w:rStyle w:val="Strong"/>
          <w:b w:val="0"/>
        </w:rPr>
        <w:t>portions</w:t>
      </w:r>
      <w:r w:rsidR="00AC0BA3">
        <w:rPr>
          <w:rStyle w:val="Strong"/>
          <w:b w:val="0"/>
        </w:rPr>
        <w:t xml:space="preserve"> in the FD TIG Report</w:t>
      </w:r>
      <w:r w:rsidR="00B131FA">
        <w:rPr>
          <w:rStyle w:val="Strong"/>
          <w:b w:val="0"/>
        </w:rPr>
        <w:t>,</w:t>
      </w:r>
      <w:r w:rsidR="00AC0BA3">
        <w:rPr>
          <w:rStyle w:val="Strong"/>
          <w:b w:val="0"/>
        </w:rPr>
        <w:t xml:space="preserve"> which should be addressed further</w:t>
      </w:r>
      <w:r w:rsidR="00234130">
        <w:rPr>
          <w:rStyle w:val="Strong"/>
          <w:b w:val="0"/>
        </w:rPr>
        <w:t>.</w:t>
      </w:r>
      <w:r w:rsidR="00D07338">
        <w:rPr>
          <w:rStyle w:val="Strong"/>
          <w:b w:val="0"/>
        </w:rPr>
        <w:t xml:space="preserve"> </w:t>
      </w:r>
    </w:p>
    <w:p w14:paraId="56B6B2F5" w14:textId="6D97F3C7" w:rsidR="00CD3283" w:rsidRDefault="00CD3283" w:rsidP="00261B4B"/>
    <w:p w14:paraId="382FF20F" w14:textId="15A4DF31" w:rsidR="00950C85" w:rsidRPr="00DD6CBE" w:rsidRDefault="00AC0BA3" w:rsidP="00DD6CBE">
      <w:pPr>
        <w:pStyle w:val="Heading1"/>
        <w:rPr>
          <w:b w:val="0"/>
          <w:bCs/>
        </w:rPr>
      </w:pPr>
      <w:r>
        <w:rPr>
          <w:rStyle w:val="Strong"/>
          <w:b/>
        </w:rPr>
        <w:t xml:space="preserve">Status of </w:t>
      </w:r>
      <w:r w:rsidR="00D00C3C">
        <w:rPr>
          <w:rStyle w:val="Strong"/>
          <w:b/>
        </w:rPr>
        <w:t xml:space="preserve">the </w:t>
      </w:r>
      <w:r>
        <w:rPr>
          <w:rStyle w:val="Strong"/>
          <w:b/>
        </w:rPr>
        <w:t>FD TIG Report</w:t>
      </w:r>
    </w:p>
    <w:p w14:paraId="1F240713" w14:textId="77777777" w:rsidR="00AC0BA3" w:rsidRDefault="00AC0BA3" w:rsidP="001D53C5">
      <w:pPr>
        <w:jc w:val="both"/>
        <w:rPr>
          <w:szCs w:val="22"/>
          <w:lang w:val="en-US"/>
        </w:rPr>
      </w:pP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4050"/>
        <w:gridCol w:w="4950"/>
      </w:tblGrid>
      <w:tr w:rsidR="00482D15" w14:paraId="7BE7B1B7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3AF5D1" w14:textId="2C3134CB" w:rsidR="00482D15" w:rsidRPr="00482D15" w:rsidRDefault="004F79C4" w:rsidP="00482D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Sections in [8</w:t>
            </w:r>
            <w:r w:rsidR="00482D1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F54F15" w14:textId="5B481374" w:rsidR="00482D15" w:rsidRPr="00482D15" w:rsidRDefault="00482D15" w:rsidP="00482D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FD TIG technical contributions</w:t>
            </w:r>
          </w:p>
        </w:tc>
      </w:tr>
      <w:tr w:rsidR="00482D15" w14:paraId="5D0E55EB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99B890" w14:textId="1682E420" w:rsidR="00482D15" w:rsidRPr="00482D15" w:rsidRDefault="00482D15" w:rsidP="001D53C5">
            <w:pPr>
              <w:jc w:val="both"/>
              <w:rPr>
                <w:szCs w:val="22"/>
                <w:lang w:val="en-US"/>
              </w:rPr>
            </w:pPr>
            <w:r w:rsidRPr="00482D15">
              <w:rPr>
                <w:szCs w:val="22"/>
                <w:lang w:val="en-US"/>
              </w:rPr>
              <w:t>2</w:t>
            </w:r>
            <w:r w:rsidR="001B4255">
              <w:rPr>
                <w:szCs w:val="22"/>
                <w:lang w:val="en-US"/>
              </w:rPr>
              <w:t>.</w:t>
            </w:r>
            <w:r w:rsidRPr="00482D1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</w:t>
            </w:r>
            <w:r w:rsidRPr="00482D15">
              <w:rPr>
                <w:szCs w:val="22"/>
                <w:lang w:val="en-US"/>
              </w:rPr>
              <w:t>FD use cases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9238C9" w14:textId="27703A66" w:rsidR="00D00C3C" w:rsidRDefault="00D00C3C" w:rsidP="001D53C5">
            <w:pPr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 use cases: multi-channel AP, FD mesh, multi-RAT</w:t>
            </w:r>
          </w:p>
          <w:p w14:paraId="5E4A222F" w14:textId="58F01EE3" w:rsidR="00D00C3C" w:rsidRPr="00482D15" w:rsidRDefault="00482D15" w:rsidP="001D53C5">
            <w:pPr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[3]</w:t>
            </w:r>
            <w:r w:rsidR="00D00C3C">
              <w:rPr>
                <w:szCs w:val="22"/>
                <w:lang w:val="en-US"/>
              </w:rPr>
              <w:t xml:space="preserve"> use cases: dense NW/VR/AR/Telemedicine, Wi-Fi relay, security system </w:t>
            </w:r>
          </w:p>
        </w:tc>
      </w:tr>
      <w:tr w:rsidR="00482D15" w14:paraId="4E6E70D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02F7FC" w14:textId="74A60CAB" w:rsidR="00482D15" w:rsidRPr="00482D15" w:rsidRDefault="00D00C3C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1B4255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FD functional requirements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F02955" w14:textId="313AF54F" w:rsidR="00482D15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  <w:r w:rsidR="00E8784E">
              <w:rPr>
                <w:szCs w:val="22"/>
                <w:lang w:val="en-US"/>
              </w:rPr>
              <w:t xml:space="preserve"> </w:t>
            </w:r>
          </w:p>
        </w:tc>
      </w:tr>
      <w:tr w:rsidR="00482D15" w14:paraId="696BF8C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EC4644" w14:textId="476E2737" w:rsidR="00482D15" w:rsidRPr="00482D15" w:rsidRDefault="00D00C3C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1B4255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FD technical feasibility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508E32" w14:textId="77777777" w:rsidR="00482D15" w:rsidRPr="00482D15" w:rsidRDefault="00482D15" w:rsidP="00D00C3C">
            <w:pPr>
              <w:rPr>
                <w:szCs w:val="22"/>
                <w:lang w:val="en-US"/>
              </w:rPr>
            </w:pPr>
          </w:p>
        </w:tc>
      </w:tr>
      <w:tr w:rsidR="00482D15" w14:paraId="374030DC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345B7C" w14:textId="448B6972" w:rsidR="00482D15" w:rsidRPr="00482D15" w:rsidRDefault="00B009B8" w:rsidP="00E8784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4.1 Technical survey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A698C8" w14:textId="411436AC" w:rsidR="00482D15" w:rsidRPr="00482D15" w:rsidRDefault="00E8784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</w:t>
            </w:r>
            <w:r w:rsidR="00B009B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industrial/academic progress</w:t>
            </w:r>
          </w:p>
        </w:tc>
      </w:tr>
      <w:tr w:rsidR="00B009B8" w14:paraId="78CCA4E4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6A8613" w14:textId="7C7DDF6F" w:rsidR="00B009B8" w:rsidRPr="00482D15" w:rsidRDefault="00E8784E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4.2 </w:t>
            </w:r>
            <w:r w:rsidRPr="00E8784E">
              <w:rPr>
                <w:szCs w:val="22"/>
                <w:lang w:val="en-US"/>
              </w:rPr>
              <w:t>FD operations within a BSS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A63F07" w14:textId="135DDBD3" w:rsidR="00B009B8" w:rsidRPr="00482D15" w:rsidRDefault="00E8784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[2], [5] self-interference cancellation</w:t>
            </w:r>
            <w:r w:rsidR="001B4255">
              <w:rPr>
                <w:szCs w:val="22"/>
                <w:lang w:val="en-US"/>
              </w:rPr>
              <w:t xml:space="preserve">; [4], [7] scheduling in FD; [2], [5], [6] potential techniques for self-interference cancellation </w:t>
            </w:r>
          </w:p>
        </w:tc>
      </w:tr>
      <w:tr w:rsidR="00B009B8" w14:paraId="7FC8BD51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375083" w14:textId="074212B8" w:rsidR="00B009B8" w:rsidRPr="00482D15" w:rsidRDefault="007A4B41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4.3 </w:t>
            </w:r>
            <w:r w:rsidRPr="007A4B41">
              <w:rPr>
                <w:szCs w:val="22"/>
                <w:lang w:val="en-US"/>
              </w:rPr>
              <w:t>FD operations over overlapping BSS (OBSS)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18A6ED" w14:textId="739AD69E" w:rsidR="00B009B8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E8784E" w14:paraId="78571F08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BA8D77" w14:textId="0B1CA281" w:rsidR="00E8784E" w:rsidRPr="00482D15" w:rsidRDefault="00F66167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4.4 </w:t>
            </w:r>
            <w:r w:rsidRPr="00F66167">
              <w:rPr>
                <w:szCs w:val="22"/>
                <w:lang w:val="en-US"/>
              </w:rPr>
              <w:t>Impacts on the 802.11 standard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D1CA9F" w14:textId="279AE5EF" w:rsidR="00E8784E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E8784E" w14:paraId="32382EE0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9A9A31" w14:textId="15E31451" w:rsidR="00E8784E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5. Architecture of FD for 802.11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1A18DB" w14:textId="7FD3A790" w:rsidR="00E8784E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F66167" w14:paraId="297FAAB8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8E08D7" w14:textId="33380185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 Key FD metrics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F5F9DE" w14:textId="4E24DF1A" w:rsidR="00F66167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F66167" w14:paraId="209250B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54E3E6" w14:textId="29D44227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7. FD Benefit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B7CF23" w14:textId="14D06136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[1], [2] </w:t>
            </w:r>
          </w:p>
        </w:tc>
      </w:tr>
    </w:tbl>
    <w:p w14:paraId="44302829" w14:textId="77777777" w:rsidR="00AC0BA3" w:rsidRDefault="00AC0BA3" w:rsidP="001D53C5">
      <w:pPr>
        <w:jc w:val="both"/>
        <w:rPr>
          <w:szCs w:val="22"/>
          <w:lang w:val="en-US"/>
        </w:rPr>
      </w:pPr>
    </w:p>
    <w:p w14:paraId="068198F2" w14:textId="77777777" w:rsidR="00AC0BA3" w:rsidRDefault="00AC0BA3" w:rsidP="001D53C5">
      <w:pPr>
        <w:jc w:val="both"/>
        <w:rPr>
          <w:szCs w:val="22"/>
          <w:lang w:val="en-US"/>
        </w:rPr>
      </w:pPr>
    </w:p>
    <w:p w14:paraId="0A461EC4" w14:textId="76C30E29" w:rsidR="001B4255" w:rsidRDefault="001B4255" w:rsidP="001B4255">
      <w:pPr>
        <w:pStyle w:val="Heading1"/>
        <w:rPr>
          <w:lang w:val="en-US"/>
        </w:rPr>
      </w:pPr>
      <w:r>
        <w:rPr>
          <w:lang w:val="en-US"/>
        </w:rPr>
        <w:t xml:space="preserve">Suggestion </w:t>
      </w:r>
      <w:r w:rsidR="004F79C4">
        <w:rPr>
          <w:lang w:val="en-US"/>
        </w:rPr>
        <w:t xml:space="preserve">received offline </w:t>
      </w:r>
      <w:r>
        <w:rPr>
          <w:lang w:val="en-US"/>
        </w:rPr>
        <w:t xml:space="preserve">to revise the framework of the FD TIG report </w:t>
      </w:r>
      <w:r w:rsidR="006358CE">
        <w:rPr>
          <w:lang w:val="en-US"/>
        </w:rPr>
        <w:t>[8]</w:t>
      </w:r>
    </w:p>
    <w:p w14:paraId="34D52C8B" w14:textId="74235D9B" w:rsidR="00AC0BA3" w:rsidRDefault="006358CE" w:rsidP="001B4255">
      <w:pPr>
        <w:pStyle w:val="ListParagraph"/>
        <w:numPr>
          <w:ilvl w:val="0"/>
          <w:numId w:val="40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Remove Section 6 Key Metrics: since the content in Section 6 can be covered by Section 3 Functional Requirements</w:t>
      </w:r>
    </w:p>
    <w:p w14:paraId="6B330590" w14:textId="779D6677" w:rsidR="006358CE" w:rsidRDefault="00023A96" w:rsidP="001B4255">
      <w:pPr>
        <w:pStyle w:val="ListParagraph"/>
        <w:numPr>
          <w:ilvl w:val="0"/>
          <w:numId w:val="40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Change the scope of work of</w:t>
      </w:r>
      <w:r w:rsidR="006358CE">
        <w:rPr>
          <w:szCs w:val="22"/>
          <w:lang w:val="en-US"/>
        </w:rPr>
        <w:t xml:space="preserve"> Section 7 </w:t>
      </w:r>
      <w:r>
        <w:rPr>
          <w:szCs w:val="22"/>
          <w:lang w:val="en-US"/>
        </w:rPr>
        <w:t>from “</w:t>
      </w:r>
      <w:r w:rsidR="006358CE">
        <w:rPr>
          <w:szCs w:val="22"/>
          <w:lang w:val="en-US"/>
        </w:rPr>
        <w:t>FD Benefits</w:t>
      </w:r>
      <w:r>
        <w:rPr>
          <w:szCs w:val="22"/>
          <w:lang w:val="en-US"/>
        </w:rPr>
        <w:t>”</w:t>
      </w:r>
      <w:r w:rsidR="006358C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to</w:t>
      </w:r>
      <w:r w:rsidR="006358C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“</w:t>
      </w:r>
      <w:r w:rsidR="006358CE">
        <w:rPr>
          <w:szCs w:val="22"/>
          <w:lang w:val="en-US"/>
        </w:rPr>
        <w:t>FD Benefits and challenges</w:t>
      </w:r>
      <w:r>
        <w:rPr>
          <w:szCs w:val="22"/>
          <w:lang w:val="en-US"/>
        </w:rPr>
        <w:t>”</w:t>
      </w:r>
      <w:r w:rsidR="006358CE">
        <w:rPr>
          <w:szCs w:val="22"/>
          <w:lang w:val="en-US"/>
        </w:rPr>
        <w:t xml:space="preserve"> </w:t>
      </w:r>
    </w:p>
    <w:p w14:paraId="07AF88E5" w14:textId="77777777" w:rsidR="006358CE" w:rsidRPr="006358CE" w:rsidRDefault="006358CE" w:rsidP="006358CE">
      <w:pPr>
        <w:jc w:val="both"/>
        <w:rPr>
          <w:szCs w:val="22"/>
          <w:lang w:val="en-US"/>
        </w:rPr>
      </w:pPr>
    </w:p>
    <w:p w14:paraId="265BDE8C" w14:textId="77777777" w:rsidR="00AC0BA3" w:rsidRDefault="00AC0BA3" w:rsidP="001D53C5">
      <w:pPr>
        <w:jc w:val="both"/>
        <w:rPr>
          <w:szCs w:val="22"/>
          <w:lang w:val="en-US"/>
        </w:rPr>
      </w:pP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0DA48AD3" w:rsidR="001733B1" w:rsidRDefault="006358CE" w:rsidP="001733B1">
      <w:pPr>
        <w:pStyle w:val="Heading1"/>
        <w:rPr>
          <w:lang w:val="en-US"/>
        </w:rPr>
      </w:pPr>
      <w:r>
        <w:rPr>
          <w:lang w:val="en-US"/>
        </w:rPr>
        <w:lastRenderedPageBreak/>
        <w:t>Summary</w:t>
      </w:r>
    </w:p>
    <w:p w14:paraId="552F8780" w14:textId="59948EC9" w:rsidR="00407163" w:rsidRPr="006358CE" w:rsidRDefault="006358CE" w:rsidP="00407163">
      <w:pPr>
        <w:rPr>
          <w:lang w:val="en-US"/>
        </w:rPr>
      </w:pPr>
      <w:r>
        <w:rPr>
          <w:szCs w:val="22"/>
          <w:lang w:val="en-US"/>
        </w:rPr>
        <w:t xml:space="preserve">The status of the FD TIG Report </w:t>
      </w:r>
      <w:r w:rsidR="007122A5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overviewed. </w:t>
      </w:r>
      <w:r w:rsidR="001155B8">
        <w:rPr>
          <w:szCs w:val="22"/>
          <w:lang w:val="en-US"/>
        </w:rPr>
        <w:t xml:space="preserve">The submitted FD TIG technical contributions have been related to the FD TIG Report. </w:t>
      </w:r>
      <w:r>
        <w:rPr>
          <w:szCs w:val="22"/>
          <w:lang w:val="en-US"/>
        </w:rPr>
        <w:t xml:space="preserve">Some portions of the FD TIG Report require further contributions to cover. </w:t>
      </w: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r w:rsidRPr="00DD6CBE">
        <w:rPr>
          <w:lang w:val="en-US"/>
        </w:rPr>
        <w:t>References</w:t>
      </w:r>
    </w:p>
    <w:p w14:paraId="71C184AF" w14:textId="4DFBD68B" w:rsidR="00D07338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[1] </w:t>
      </w:r>
      <w:r w:rsidR="00D07338" w:rsidRPr="00D07338">
        <w:rPr>
          <w:lang w:val="en-US"/>
        </w:rPr>
        <w:t>11-18-0448-01-00fd-full-duplex-benefits-and-challenges</w:t>
      </w:r>
    </w:p>
    <w:p w14:paraId="51626B5C" w14:textId="1ADA6B1D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[2] </w:t>
      </w:r>
      <w:r w:rsidRPr="00D07338">
        <w:rPr>
          <w:lang w:val="en-US"/>
        </w:rPr>
        <w:t>11-18-0549-00-00fd-full-duplex-for-802-11</w:t>
      </w:r>
    </w:p>
    <w:p w14:paraId="484C02FD" w14:textId="24CA973A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[3] </w:t>
      </w:r>
      <w:r w:rsidRPr="00D07338">
        <w:rPr>
          <w:lang w:val="en-US"/>
        </w:rPr>
        <w:t>11-18-0758-00-00fd-full-duplex-usage-model</w:t>
      </w:r>
    </w:p>
    <w:p w14:paraId="0B185CD9" w14:textId="67DA7545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[4] </w:t>
      </w:r>
      <w:r w:rsidRPr="00D07338">
        <w:rPr>
          <w:lang w:val="en-US"/>
        </w:rPr>
        <w:t>11-18-0864-00-00fd-full-duplex-based-mac-enhancements</w:t>
      </w:r>
    </w:p>
    <w:p w14:paraId="42D1CA2F" w14:textId="60AB78A8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[5] </w:t>
      </w:r>
      <w:r w:rsidRPr="00D07338">
        <w:rPr>
          <w:lang w:val="en-US"/>
        </w:rPr>
        <w:t>11-18-0880-00-00fd-self-interference-cancellation-in-full-duplex-for-802-11</w:t>
      </w:r>
    </w:p>
    <w:p w14:paraId="2D40B679" w14:textId="6D4ABCFD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[6] </w:t>
      </w:r>
      <w:r w:rsidRPr="00D07338">
        <w:rPr>
          <w:lang w:val="en-US"/>
        </w:rPr>
        <w:t>11-18-0938-00-00fd-psss-cdd-full-duplex-phy</w:t>
      </w:r>
    </w:p>
    <w:p w14:paraId="674120FB" w14:textId="69963984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[7] </w:t>
      </w:r>
      <w:r w:rsidRPr="00D07338">
        <w:rPr>
          <w:lang w:val="en-US"/>
        </w:rPr>
        <w:t>11-18-1019-01-00fd-improving-system-efficiency-using-full-duplex-based-collision-detection</w:t>
      </w:r>
    </w:p>
    <w:p w14:paraId="5BE14F38" w14:textId="43297D9B" w:rsidR="00054B32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[8] </w:t>
      </w:r>
      <w:r w:rsidRPr="00D07338">
        <w:rPr>
          <w:lang w:val="en-US"/>
        </w:rPr>
        <w:t>11-18-0498-00-00fd-framework-fd-tig-report</w:t>
      </w:r>
      <w:r w:rsidR="00054B32">
        <w:rPr>
          <w:lang w:val="en-US"/>
        </w:rPr>
        <w:t>.</w:t>
      </w:r>
    </w:p>
    <w:p w14:paraId="1009E3B7" w14:textId="29C4786E" w:rsidR="007E306A" w:rsidRPr="00DF78CA" w:rsidRDefault="007E306A" w:rsidP="00DF78CA">
      <w:pPr>
        <w:spacing w:before="120"/>
        <w:jc w:val="both"/>
        <w:rPr>
          <w:lang w:val="en-US"/>
        </w:rPr>
      </w:pP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191D9" w14:textId="77777777" w:rsidR="00F030C7" w:rsidRDefault="00F030C7">
      <w:r>
        <w:separator/>
      </w:r>
    </w:p>
  </w:endnote>
  <w:endnote w:type="continuationSeparator" w:id="0">
    <w:p w14:paraId="3EEF6DB7" w14:textId="77777777" w:rsidR="00F030C7" w:rsidRDefault="00F0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563DD053" w:rsidR="0010663B" w:rsidRDefault="002631AB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="0010663B"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 w:rsidR="0010663B">
      <w:tab/>
    </w:r>
    <w:r w:rsidR="0010663B">
      <w:fldChar w:fldCharType="begin"/>
    </w:r>
    <w:r w:rsidR="0010663B">
      <w:instrText xml:space="preserve">page </w:instrText>
    </w:r>
    <w:r w:rsidR="0010663B">
      <w:fldChar w:fldCharType="separate"/>
    </w:r>
    <w:r w:rsidR="00E07EE8">
      <w:rPr>
        <w:noProof/>
      </w:rPr>
      <w:t>1</w:t>
    </w:r>
    <w:r w:rsidR="0010663B">
      <w:rPr>
        <w:noProof/>
      </w:rPr>
      <w:fldChar w:fldCharType="end"/>
    </w:r>
    <w:r w:rsidR="00714CB0">
      <w:rPr>
        <w:noProof/>
      </w:rPr>
      <w:tab/>
    </w:r>
    <w:r w:rsidR="00714CB0" w:rsidRPr="004974BC">
      <w:rPr>
        <w:noProof/>
        <w:sz w:val="22"/>
        <w:szCs w:val="22"/>
      </w:rPr>
      <w:t xml:space="preserve">Yan Xin </w:t>
    </w:r>
    <w:r w:rsidR="00714CB0" w:rsidRPr="004974BC">
      <w:rPr>
        <w:i/>
        <w:noProof/>
        <w:sz w:val="22"/>
        <w:szCs w:val="22"/>
      </w:rPr>
      <w:t>et al</w:t>
    </w:r>
    <w:r w:rsidR="00714CB0" w:rsidRPr="004974BC">
      <w:rPr>
        <w:noProof/>
        <w:sz w:val="22"/>
        <w:szCs w:val="22"/>
      </w:rPr>
      <w:t>, Huawei Technologies</w:t>
    </w:r>
    <w:r w:rsidR="0010663B">
      <w:tab/>
    </w:r>
  </w:p>
  <w:p w14:paraId="5B8A3802" w14:textId="77777777" w:rsidR="0010663B" w:rsidRDefault="001066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8C2F" w14:textId="77777777" w:rsidR="00F030C7" w:rsidRDefault="00F030C7">
      <w:r>
        <w:separator/>
      </w:r>
    </w:p>
  </w:footnote>
  <w:footnote w:type="continuationSeparator" w:id="0">
    <w:p w14:paraId="0410E300" w14:textId="77777777" w:rsidR="00F030C7" w:rsidRDefault="00F0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5E2A0A2C" w:rsidR="0010663B" w:rsidRDefault="00981E53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0663B">
      <w:t xml:space="preserve"> 2018</w:t>
    </w:r>
    <w:r w:rsidR="0010663B">
      <w:tab/>
    </w:r>
    <w:r w:rsidR="0010663B">
      <w:tab/>
    </w:r>
    <w:r w:rsidR="00F030C7">
      <w:fldChar w:fldCharType="begin"/>
    </w:r>
    <w:r w:rsidR="00F030C7">
      <w:instrText xml:space="preserve"> TITLE  \* MERGEFORMAT </w:instrText>
    </w:r>
    <w:r w:rsidR="00F030C7">
      <w:fldChar w:fldCharType="separate"/>
    </w:r>
    <w:r>
      <w:t>doc. 802.11/18-</w:t>
    </w:r>
    <w:r w:rsidR="00E07EE8">
      <w:t>1113</w:t>
    </w:r>
    <w:r w:rsidR="004F79C4">
      <w:t>-00-00fd</w:t>
    </w:r>
    <w:r w:rsidR="00F030C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38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1AB07A90"/>
    <w:multiLevelType w:val="hybridMultilevel"/>
    <w:tmpl w:val="6632E236"/>
    <w:lvl w:ilvl="0" w:tplc="4D1ECD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3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0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22"/>
  </w:num>
  <w:num w:numId="13">
    <w:abstractNumId w:val="4"/>
  </w:num>
  <w:num w:numId="14">
    <w:abstractNumId w:val="24"/>
  </w:num>
  <w:num w:numId="15">
    <w:abstractNumId w:val="21"/>
  </w:num>
  <w:num w:numId="16">
    <w:abstractNumId w:val="20"/>
  </w:num>
  <w:num w:numId="17">
    <w:abstractNumId w:val="6"/>
  </w:num>
  <w:num w:numId="18">
    <w:abstractNumId w:val="30"/>
  </w:num>
  <w:num w:numId="19">
    <w:abstractNumId w:val="28"/>
  </w:num>
  <w:num w:numId="20">
    <w:abstractNumId w:val="2"/>
  </w:num>
  <w:num w:numId="21">
    <w:abstractNumId w:val="19"/>
  </w:num>
  <w:num w:numId="22">
    <w:abstractNumId w:val="14"/>
  </w:num>
  <w:num w:numId="23">
    <w:abstractNumId w:val="9"/>
  </w:num>
  <w:num w:numId="24">
    <w:abstractNumId w:val="25"/>
  </w:num>
  <w:num w:numId="25">
    <w:abstractNumId w:val="13"/>
  </w:num>
  <w:num w:numId="26">
    <w:abstractNumId w:val="18"/>
  </w:num>
  <w:num w:numId="27">
    <w:abstractNumId w:val="23"/>
  </w:num>
  <w:num w:numId="28">
    <w:abstractNumId w:val="5"/>
  </w:num>
  <w:num w:numId="29">
    <w:abstractNumId w:val="12"/>
  </w:num>
  <w:num w:numId="30">
    <w:abstractNumId w:val="27"/>
  </w:num>
  <w:num w:numId="31">
    <w:abstractNumId w:val="10"/>
  </w:num>
  <w:num w:numId="32">
    <w:abstractNumId w:val="15"/>
  </w:num>
  <w:num w:numId="33">
    <w:abstractNumId w:val="16"/>
  </w:num>
  <w:num w:numId="34">
    <w:abstractNumId w:val="29"/>
  </w:num>
  <w:num w:numId="35">
    <w:abstractNumId w:val="7"/>
  </w:num>
  <w:num w:numId="36">
    <w:abstractNumId w:val="11"/>
  </w:num>
  <w:num w:numId="37">
    <w:abstractNumId w:val="3"/>
  </w:num>
  <w:num w:numId="38">
    <w:abstractNumId w:val="26"/>
  </w:num>
  <w:num w:numId="39">
    <w:abstractNumId w:val="17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3A96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85A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55B8"/>
    <w:rsid w:val="0011660A"/>
    <w:rsid w:val="00116FBA"/>
    <w:rsid w:val="001229F2"/>
    <w:rsid w:val="001279F1"/>
    <w:rsid w:val="00132E5F"/>
    <w:rsid w:val="00133695"/>
    <w:rsid w:val="00135DF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4255"/>
    <w:rsid w:val="001B515E"/>
    <w:rsid w:val="001B7D6D"/>
    <w:rsid w:val="001C11D9"/>
    <w:rsid w:val="001C6788"/>
    <w:rsid w:val="001D341B"/>
    <w:rsid w:val="001D53C5"/>
    <w:rsid w:val="001D723B"/>
    <w:rsid w:val="001F4FA3"/>
    <w:rsid w:val="001F614E"/>
    <w:rsid w:val="001F7CCF"/>
    <w:rsid w:val="002034C3"/>
    <w:rsid w:val="00214DA3"/>
    <w:rsid w:val="002163E8"/>
    <w:rsid w:val="002176DC"/>
    <w:rsid w:val="00217E72"/>
    <w:rsid w:val="00234130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868CB"/>
    <w:rsid w:val="0029020B"/>
    <w:rsid w:val="00293378"/>
    <w:rsid w:val="00294B4D"/>
    <w:rsid w:val="002A3F0A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2D15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16A1"/>
    <w:rsid w:val="004D1FA2"/>
    <w:rsid w:val="004D6B98"/>
    <w:rsid w:val="004F1D92"/>
    <w:rsid w:val="004F362C"/>
    <w:rsid w:val="004F6B12"/>
    <w:rsid w:val="004F79C4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7734"/>
    <w:rsid w:val="00547FD7"/>
    <w:rsid w:val="005501DD"/>
    <w:rsid w:val="005537AE"/>
    <w:rsid w:val="0055387D"/>
    <w:rsid w:val="00560DD7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358CE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2A5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3748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4B41"/>
    <w:rsid w:val="007B028A"/>
    <w:rsid w:val="007B5E9C"/>
    <w:rsid w:val="007C15F7"/>
    <w:rsid w:val="007C2C65"/>
    <w:rsid w:val="007C7AF3"/>
    <w:rsid w:val="007D175D"/>
    <w:rsid w:val="007D5DC7"/>
    <w:rsid w:val="007D6307"/>
    <w:rsid w:val="007E1687"/>
    <w:rsid w:val="007E306A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27F21"/>
    <w:rsid w:val="00931B5B"/>
    <w:rsid w:val="00931EF3"/>
    <w:rsid w:val="0093250D"/>
    <w:rsid w:val="00940629"/>
    <w:rsid w:val="00942B62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1E53"/>
    <w:rsid w:val="00982169"/>
    <w:rsid w:val="009908E8"/>
    <w:rsid w:val="00991ABE"/>
    <w:rsid w:val="00993FA9"/>
    <w:rsid w:val="00996846"/>
    <w:rsid w:val="009A266B"/>
    <w:rsid w:val="009A3AF4"/>
    <w:rsid w:val="009A436C"/>
    <w:rsid w:val="009A530B"/>
    <w:rsid w:val="009A6A27"/>
    <w:rsid w:val="009B21DC"/>
    <w:rsid w:val="009B7E08"/>
    <w:rsid w:val="009C34F0"/>
    <w:rsid w:val="009C570C"/>
    <w:rsid w:val="009C67CF"/>
    <w:rsid w:val="009C7DD5"/>
    <w:rsid w:val="009D3510"/>
    <w:rsid w:val="009D6066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0BA3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09B8"/>
    <w:rsid w:val="00B05A1A"/>
    <w:rsid w:val="00B105CA"/>
    <w:rsid w:val="00B131F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530A"/>
    <w:rsid w:val="00B77E16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DE2"/>
    <w:rsid w:val="00CB4739"/>
    <w:rsid w:val="00CC1973"/>
    <w:rsid w:val="00CC2F9E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03C0"/>
    <w:rsid w:val="00D00C3C"/>
    <w:rsid w:val="00D01ABE"/>
    <w:rsid w:val="00D037AA"/>
    <w:rsid w:val="00D04B1C"/>
    <w:rsid w:val="00D07338"/>
    <w:rsid w:val="00D11704"/>
    <w:rsid w:val="00D11DE3"/>
    <w:rsid w:val="00D14BB1"/>
    <w:rsid w:val="00D1746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94F83"/>
    <w:rsid w:val="00D95278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69BE"/>
    <w:rsid w:val="00DF78CA"/>
    <w:rsid w:val="00E00025"/>
    <w:rsid w:val="00E00775"/>
    <w:rsid w:val="00E0693E"/>
    <w:rsid w:val="00E06E01"/>
    <w:rsid w:val="00E07EE8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5BE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8784E"/>
    <w:rsid w:val="00E91DC7"/>
    <w:rsid w:val="00E94BF3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30C7"/>
    <w:rsid w:val="00F04A20"/>
    <w:rsid w:val="00F055E4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6167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61F5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F4BE-3D20-481D-BD87-09BF84BB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yx</cp:lastModifiedBy>
  <cp:revision>4</cp:revision>
  <cp:lastPrinted>2015-06-17T00:57:00Z</cp:lastPrinted>
  <dcterms:created xsi:type="dcterms:W3CDTF">2018-06-27T21:55:00Z</dcterms:created>
  <dcterms:modified xsi:type="dcterms:W3CDTF">2018-06-27T22:03:00Z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1529530098</vt:lpwstr>
  </property>
</Properties>
</file>