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D3" w:rsidRDefault="006803D3" w:rsidP="006803D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1449"/>
        <w:gridCol w:w="1352"/>
        <w:gridCol w:w="1881"/>
        <w:gridCol w:w="3205"/>
      </w:tblGrid>
      <w:tr w:rsidR="006803D3" w:rsidTr="0078286B">
        <w:trPr>
          <w:trHeight w:val="485"/>
          <w:jc w:val="center"/>
        </w:trPr>
        <w:tc>
          <w:tcPr>
            <w:tcW w:w="5000" w:type="pct"/>
            <w:gridSpan w:val="5"/>
            <w:vAlign w:val="center"/>
          </w:tcPr>
          <w:p w:rsidR="006803D3" w:rsidRDefault="00B10572" w:rsidP="006656FD">
            <w:pPr>
              <w:pStyle w:val="T2"/>
            </w:pPr>
            <w:r w:rsidRPr="00B10572">
              <w:t>Resolution to CID</w:t>
            </w:r>
            <w:r w:rsidR="006656FD">
              <w:t>s about asymmetric beamforming and MIMO channel access</w:t>
            </w:r>
          </w:p>
        </w:tc>
      </w:tr>
      <w:tr w:rsidR="006803D3" w:rsidTr="0078286B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6803D3" w:rsidRDefault="006803D3" w:rsidP="00CB0E0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343E67">
              <w:rPr>
                <w:b w:val="0"/>
                <w:sz w:val="20"/>
              </w:rPr>
              <w:t xml:space="preserve">  2018-</w:t>
            </w:r>
            <w:r w:rsidR="00C415B3">
              <w:rPr>
                <w:b w:val="0"/>
                <w:sz w:val="20"/>
              </w:rPr>
              <w:t>0</w:t>
            </w:r>
            <w:r w:rsidR="006E4E87">
              <w:rPr>
                <w:b w:val="0"/>
                <w:sz w:val="20"/>
              </w:rPr>
              <w:t>7-09</w:t>
            </w:r>
          </w:p>
        </w:tc>
      </w:tr>
      <w:tr w:rsidR="006803D3" w:rsidTr="0078286B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803D3" w:rsidTr="0078286B">
        <w:trPr>
          <w:jc w:val="center"/>
        </w:trPr>
        <w:tc>
          <w:tcPr>
            <w:tcW w:w="782" w:type="pct"/>
            <w:vAlign w:val="center"/>
          </w:tcPr>
          <w:p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75" w:type="pct"/>
            <w:vAlign w:val="center"/>
          </w:tcPr>
          <w:p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723" w:type="pct"/>
            <w:vAlign w:val="center"/>
          </w:tcPr>
          <w:p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06" w:type="pct"/>
            <w:vAlign w:val="center"/>
          </w:tcPr>
          <w:p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14" w:type="pct"/>
            <w:vAlign w:val="center"/>
          </w:tcPr>
          <w:p w:rsidR="006803D3" w:rsidRDefault="006803D3" w:rsidP="007828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803D3" w:rsidTr="0078286B">
        <w:trPr>
          <w:jc w:val="center"/>
        </w:trPr>
        <w:tc>
          <w:tcPr>
            <w:tcW w:w="782" w:type="pct"/>
            <w:vAlign w:val="center"/>
          </w:tcPr>
          <w:p w:rsidR="006803D3" w:rsidRDefault="006803D3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775" w:type="pct"/>
            <w:vAlign w:val="center"/>
          </w:tcPr>
          <w:p w:rsidR="006803D3" w:rsidRDefault="006803D3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723" w:type="pct"/>
            <w:vAlign w:val="center"/>
          </w:tcPr>
          <w:p w:rsidR="006803D3" w:rsidRDefault="006803D3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06" w:type="pct"/>
            <w:vAlign w:val="center"/>
          </w:tcPr>
          <w:p w:rsidR="006803D3" w:rsidRDefault="006803D3" w:rsidP="007828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4" w:type="pct"/>
            <w:vAlign w:val="center"/>
          </w:tcPr>
          <w:p w:rsidR="006803D3" w:rsidRDefault="006803D3" w:rsidP="0078286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32863">
              <w:rPr>
                <w:sz w:val="16"/>
              </w:rPr>
              <w:t>cheng.chen@intel.com</w:t>
            </w:r>
          </w:p>
        </w:tc>
      </w:tr>
    </w:tbl>
    <w:p w:rsidR="006803D3" w:rsidRDefault="006803D3" w:rsidP="006803D3">
      <w:pPr>
        <w:pStyle w:val="T1"/>
        <w:spacing w:after="120"/>
        <w:rPr>
          <w:sz w:val="22"/>
        </w:rPr>
      </w:pPr>
      <w:bookmarkStart w:id="0" w:name="_GoBack"/>
      <w:bookmarkEnd w:id="0"/>
    </w:p>
    <w:p w:rsidR="006803D3" w:rsidRDefault="006803D3" w:rsidP="006803D3"/>
    <w:p w:rsidR="006803D3" w:rsidRDefault="006803D3" w:rsidP="006803D3"/>
    <w:p w:rsidR="006803D3" w:rsidRDefault="006803D3" w:rsidP="006803D3"/>
    <w:p w:rsidR="006803D3" w:rsidRDefault="006803D3" w:rsidP="006803D3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6AF860" wp14:editId="0AC725F6">
                <wp:simplePos x="0" y="0"/>
                <wp:positionH relativeFrom="column">
                  <wp:posOffset>-10795</wp:posOffset>
                </wp:positionH>
                <wp:positionV relativeFrom="paragraph">
                  <wp:posOffset>27940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793" w:rsidRDefault="000E0793" w:rsidP="006803D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E0793" w:rsidRDefault="000E0793" w:rsidP="006803D3">
                            <w:pPr>
                              <w:jc w:val="both"/>
                            </w:pPr>
                            <w:r>
                              <w:t xml:space="preserve">This submission proposes resolutions to </w:t>
                            </w:r>
                            <w:r w:rsidR="00B10572">
                              <w:rPr>
                                <w:rFonts w:hint="eastAsia"/>
                                <w:lang w:eastAsia="zh-CN"/>
                              </w:rPr>
                              <w:t>th</w:t>
                            </w:r>
                            <w:r w:rsidR="00B10572">
                              <w:rPr>
                                <w:lang w:eastAsia="zh-CN"/>
                              </w:rPr>
                              <w:t>e following</w:t>
                            </w:r>
                            <w:r w:rsidR="00B10572">
                              <w:t xml:space="preserve"> </w:t>
                            </w:r>
                            <w:r w:rsidR="002150CB">
                              <w:t>8</w:t>
                            </w:r>
                            <w:r w:rsidR="006656FD">
                              <w:t xml:space="preserve"> </w:t>
                            </w:r>
                            <w:r w:rsidR="00B10572">
                              <w:t>CIDs</w:t>
                            </w:r>
                            <w:r>
                              <w:t xml:space="preserve">: </w:t>
                            </w:r>
                          </w:p>
                          <w:p w:rsidR="00B10572" w:rsidRDefault="006656FD" w:rsidP="006803D3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119</w:t>
                            </w:r>
                            <w:r>
                              <w:rPr>
                                <w:lang w:eastAsia="zh-CN"/>
                              </w:rPr>
                              <w:t xml:space="preserve">1, </w:t>
                            </w:r>
                            <w:r w:rsidR="002150CB">
                              <w:rPr>
                                <w:lang w:eastAsia="zh-CN"/>
                              </w:rPr>
                              <w:t>1476</w:t>
                            </w:r>
                            <w:r w:rsidR="002150CB">
                              <w:rPr>
                                <w:rFonts w:hint="eastAsia"/>
                                <w:lang w:eastAsia="zh-CN"/>
                              </w:rPr>
                              <w:t>, 1</w:t>
                            </w:r>
                            <w:r w:rsidR="002150CB">
                              <w:rPr>
                                <w:lang w:eastAsia="zh-CN"/>
                              </w:rPr>
                              <w:t xml:space="preserve">478, </w:t>
                            </w:r>
                            <w:r w:rsidR="002150CB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2150CB">
                              <w:rPr>
                                <w:lang w:eastAsia="zh-CN"/>
                              </w:rPr>
                              <w:t xml:space="preserve">479, </w:t>
                            </w:r>
                            <w:r>
                              <w:rPr>
                                <w:lang w:eastAsia="zh-CN"/>
                              </w:rPr>
                              <w:t>1492, 1896, 1973, 2236</w:t>
                            </w:r>
                          </w:p>
                          <w:p w:rsidR="000E0793" w:rsidRDefault="000E0793" w:rsidP="006803D3">
                            <w:pPr>
                              <w:jc w:val="both"/>
                            </w:pPr>
                          </w:p>
                          <w:p w:rsidR="00B10572" w:rsidRDefault="00B10572" w:rsidP="00B10572">
                            <w:pPr>
                              <w:jc w:val="both"/>
                            </w:pPr>
                            <w:r>
                              <w:t>The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CI</w:t>
                            </w:r>
                            <w:r>
                              <w:rPr>
                                <w:lang w:eastAsia="zh-CN"/>
                              </w:rPr>
                              <w:t xml:space="preserve">Ds are in reference to </w:t>
                            </w:r>
                            <w:r>
                              <w:t>Draft IEEE P802.11ay/D1.0. The resolutions are in refere</w:t>
                            </w:r>
                            <w:r w:rsidR="005F5F86">
                              <w:t xml:space="preserve">nce to Draft IEEE </w:t>
                            </w:r>
                            <w:r w:rsidR="00913CDB">
                              <w:t>P802.11ay/D1.3</w:t>
                            </w:r>
                            <w:r>
                              <w:t>.</w:t>
                            </w:r>
                          </w:p>
                          <w:p w:rsidR="000E0793" w:rsidRPr="00913CDB" w:rsidRDefault="000E0793" w:rsidP="006803D3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AF8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5pt;margin-top:2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9BgQIAABA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" o:allowincell="f" stroked="f">
                <v:textbox>
                  <w:txbxContent>
                    <w:p w:rsidR="000E0793" w:rsidRDefault="000E0793" w:rsidP="006803D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E0793" w:rsidRDefault="000E0793" w:rsidP="006803D3">
                      <w:pPr>
                        <w:jc w:val="both"/>
                      </w:pPr>
                      <w:r>
                        <w:t xml:space="preserve">This submission proposes resolutions to </w:t>
                      </w:r>
                      <w:r w:rsidR="00B10572">
                        <w:rPr>
                          <w:rFonts w:hint="eastAsia"/>
                          <w:lang w:eastAsia="zh-CN"/>
                        </w:rPr>
                        <w:t>th</w:t>
                      </w:r>
                      <w:r w:rsidR="00B10572">
                        <w:rPr>
                          <w:lang w:eastAsia="zh-CN"/>
                        </w:rPr>
                        <w:t>e following</w:t>
                      </w:r>
                      <w:r w:rsidR="00B10572">
                        <w:t xml:space="preserve"> </w:t>
                      </w:r>
                      <w:r w:rsidR="002150CB">
                        <w:t>8</w:t>
                      </w:r>
                      <w:r w:rsidR="006656FD">
                        <w:t xml:space="preserve"> </w:t>
                      </w:r>
                      <w:r w:rsidR="00B10572">
                        <w:t>CIDs</w:t>
                      </w:r>
                      <w:r>
                        <w:t xml:space="preserve">: </w:t>
                      </w:r>
                    </w:p>
                    <w:p w:rsidR="00B10572" w:rsidRDefault="006656FD" w:rsidP="006803D3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119</w:t>
                      </w:r>
                      <w:r>
                        <w:rPr>
                          <w:lang w:eastAsia="zh-CN"/>
                        </w:rPr>
                        <w:t xml:space="preserve">1, </w:t>
                      </w:r>
                      <w:r w:rsidR="002150CB">
                        <w:rPr>
                          <w:lang w:eastAsia="zh-CN"/>
                        </w:rPr>
                        <w:t>1476</w:t>
                      </w:r>
                      <w:r w:rsidR="002150CB">
                        <w:rPr>
                          <w:rFonts w:hint="eastAsia"/>
                          <w:lang w:eastAsia="zh-CN"/>
                        </w:rPr>
                        <w:t>, 1</w:t>
                      </w:r>
                      <w:r w:rsidR="002150CB">
                        <w:rPr>
                          <w:lang w:eastAsia="zh-CN"/>
                        </w:rPr>
                        <w:t xml:space="preserve">478, </w:t>
                      </w:r>
                      <w:r w:rsidR="002150CB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2150CB">
                        <w:rPr>
                          <w:lang w:eastAsia="zh-CN"/>
                        </w:rPr>
                        <w:t xml:space="preserve">479, </w:t>
                      </w:r>
                      <w:r>
                        <w:rPr>
                          <w:lang w:eastAsia="zh-CN"/>
                        </w:rPr>
                        <w:t>1492, 1896, 1973, 2236</w:t>
                      </w:r>
                    </w:p>
                    <w:p w:rsidR="000E0793" w:rsidRDefault="000E0793" w:rsidP="006803D3">
                      <w:pPr>
                        <w:jc w:val="both"/>
                      </w:pPr>
                    </w:p>
                    <w:p w:rsidR="00B10572" w:rsidRDefault="00B10572" w:rsidP="00B10572">
                      <w:pPr>
                        <w:jc w:val="both"/>
                      </w:pPr>
                      <w:r>
                        <w:t>The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CI</w:t>
                      </w:r>
                      <w:r>
                        <w:rPr>
                          <w:lang w:eastAsia="zh-CN"/>
                        </w:rPr>
                        <w:t xml:space="preserve">Ds are in reference to </w:t>
                      </w:r>
                      <w:r>
                        <w:t>Draft IEEE P802.11ay/D1.0. The resolutions are in refere</w:t>
                      </w:r>
                      <w:r w:rsidR="005F5F86">
                        <w:t xml:space="preserve">nce to Draft IEEE </w:t>
                      </w:r>
                      <w:r w:rsidR="00913CDB">
                        <w:t>P802.11ay/D1.3</w:t>
                      </w:r>
                      <w:r>
                        <w:t>.</w:t>
                      </w:r>
                    </w:p>
                    <w:p w:rsidR="000E0793" w:rsidRPr="00913CDB" w:rsidRDefault="000E0793" w:rsidP="006803D3">
                      <w:pPr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03D3" w:rsidRDefault="006803D3" w:rsidP="006803D3"/>
    <w:p w:rsidR="006803D3" w:rsidRDefault="006803D3" w:rsidP="006803D3"/>
    <w:p w:rsidR="006803D3" w:rsidRDefault="006803D3" w:rsidP="006803D3"/>
    <w:p w:rsidR="006803D3" w:rsidRPr="0091153A" w:rsidRDefault="006803D3" w:rsidP="006803D3">
      <w:pPr>
        <w:rPr>
          <w:b/>
          <w:bCs/>
          <w:i/>
          <w:iCs/>
          <w:noProof/>
          <w:snapToGrid w:val="0"/>
          <w:color w:val="993300"/>
          <w:sz w:val="20"/>
          <w:lang w:val="en-US" w:eastAsia="ko-KR"/>
        </w:rPr>
      </w:pPr>
      <w:r>
        <w:rPr>
          <w:b/>
          <w:bCs/>
          <w:i/>
          <w:iCs/>
          <w:color w:val="993300"/>
        </w:rP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89"/>
        <w:gridCol w:w="3538"/>
      </w:tblGrid>
      <w:tr w:rsidR="006803D3" w:rsidRPr="00427EA3" w:rsidTr="00272BD4">
        <w:trPr>
          <w:trHeight w:val="558"/>
        </w:trPr>
        <w:tc>
          <w:tcPr>
            <w:tcW w:w="663" w:type="dxa"/>
          </w:tcPr>
          <w:p w:rsidR="006803D3" w:rsidRPr="00427EA3" w:rsidRDefault="006803D3" w:rsidP="0078286B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lastRenderedPageBreak/>
              <w:t>CID</w:t>
            </w:r>
          </w:p>
        </w:tc>
        <w:tc>
          <w:tcPr>
            <w:tcW w:w="1219" w:type="dxa"/>
          </w:tcPr>
          <w:p w:rsidR="006803D3" w:rsidRPr="00427EA3" w:rsidRDefault="006803D3" w:rsidP="0078286B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Clause</w:t>
            </w:r>
          </w:p>
        </w:tc>
        <w:tc>
          <w:tcPr>
            <w:tcW w:w="3789" w:type="dxa"/>
          </w:tcPr>
          <w:p w:rsidR="006803D3" w:rsidRPr="00427EA3" w:rsidRDefault="006803D3" w:rsidP="0078286B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Comment</w:t>
            </w:r>
          </w:p>
        </w:tc>
        <w:tc>
          <w:tcPr>
            <w:tcW w:w="3538" w:type="dxa"/>
          </w:tcPr>
          <w:p w:rsidR="006803D3" w:rsidRPr="00427EA3" w:rsidRDefault="006803D3" w:rsidP="0078286B">
            <w:pPr>
              <w:rPr>
                <w:lang w:val="en-US"/>
              </w:rPr>
            </w:pPr>
            <w:r w:rsidRPr="00427EA3">
              <w:rPr>
                <w:rFonts w:hint="eastAsia"/>
                <w:lang w:val="en-US"/>
              </w:rPr>
              <w:t>Proposed change</w:t>
            </w:r>
          </w:p>
        </w:tc>
      </w:tr>
      <w:tr w:rsidR="00B10572" w:rsidRPr="00D90530" w:rsidTr="00272BD4">
        <w:trPr>
          <w:trHeight w:val="841"/>
        </w:trPr>
        <w:tc>
          <w:tcPr>
            <w:tcW w:w="663" w:type="dxa"/>
          </w:tcPr>
          <w:p w:rsidR="00B10572" w:rsidRPr="00355F08" w:rsidRDefault="00B86E0D" w:rsidP="00B10572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</w:rPr>
              <w:t>1191</w:t>
            </w:r>
          </w:p>
        </w:tc>
        <w:tc>
          <w:tcPr>
            <w:tcW w:w="1219" w:type="dxa"/>
          </w:tcPr>
          <w:p w:rsidR="00B10572" w:rsidRPr="00355F08" w:rsidRDefault="00B86E0D" w:rsidP="00B10572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B86E0D">
              <w:rPr>
                <w:rFonts w:ascii="Times New Roman" w:eastAsia="Batang" w:hAnsi="Times New Roman" w:cs="Times New Roman"/>
                <w:color w:val="000000" w:themeColor="text1"/>
              </w:rPr>
              <w:t>9.3.1.22</w:t>
            </w:r>
          </w:p>
        </w:tc>
        <w:tc>
          <w:tcPr>
            <w:tcW w:w="3789" w:type="dxa"/>
          </w:tcPr>
          <w:p w:rsidR="00B10572" w:rsidRPr="00355F08" w:rsidRDefault="00B86E0D" w:rsidP="00B10572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B86E0D">
              <w:rPr>
                <w:rFonts w:ascii="Times New Roman" w:eastAsia="Batang" w:hAnsi="Times New Roman" w:cs="Times New Roman"/>
                <w:color w:val="000000" w:themeColor="text1"/>
              </w:rPr>
              <w:t xml:space="preserve">The </w:t>
            </w:r>
            <w:proofErr w:type="spellStart"/>
            <w:r w:rsidRPr="00B86E0D">
              <w:rPr>
                <w:rFonts w:ascii="Times New Roman" w:eastAsia="Batang" w:hAnsi="Times New Roman" w:cs="Times New Roman"/>
                <w:color w:val="000000" w:themeColor="text1"/>
              </w:rPr>
              <w:t>TGm</w:t>
            </w:r>
            <w:proofErr w:type="spellEnd"/>
            <w:r w:rsidRPr="00B86E0D">
              <w:rPr>
                <w:rFonts w:ascii="Times New Roman" w:eastAsia="Batang" w:hAnsi="Times New Roman" w:cs="Times New Roman"/>
                <w:color w:val="000000" w:themeColor="text1"/>
              </w:rPr>
              <w:t xml:space="preserve"> style for repeated fields is to define a field (in this case the Sector Feedbacks field) 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 xml:space="preserve">to contain the repeating item, </w:t>
            </w:r>
            <w:r w:rsidRPr="00B86E0D">
              <w:rPr>
                <w:rFonts w:ascii="Times New Roman" w:eastAsia="Batang" w:hAnsi="Times New Roman" w:cs="Times New Roman"/>
                <w:color w:val="000000" w:themeColor="text1"/>
              </w:rPr>
              <w:t>and then make a statement about its content.  This enables an explicit statement to be made about the multiplicity of the field.</w:t>
            </w:r>
          </w:p>
        </w:tc>
        <w:tc>
          <w:tcPr>
            <w:tcW w:w="3538" w:type="dxa"/>
          </w:tcPr>
          <w:p w:rsidR="00B86E0D" w:rsidRPr="00B86E0D" w:rsidRDefault="00B86E0D" w:rsidP="00B86E0D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B86E0D">
              <w:rPr>
                <w:rFonts w:ascii="Times New Roman" w:eastAsia="Batang" w:hAnsi="Times New Roman" w:cs="Times New Roman"/>
                <w:color w:val="000000" w:themeColor="text1"/>
              </w:rPr>
              <w:t>Replace "Sector Feedback 1" to "Sector Feedback N" fields with a single "Sector Feedbacks".</w:t>
            </w:r>
            <w:r w:rsidRPr="00B86E0D">
              <w:rPr>
                <w:rFonts w:ascii="Times New Roman" w:eastAsia="Batang" w:hAnsi="Times New Roman" w:cs="Times New Roman"/>
                <w:color w:val="000000" w:themeColor="text1"/>
              </w:rPr>
              <w:cr/>
            </w:r>
          </w:p>
          <w:p w:rsidR="00B10572" w:rsidRPr="00355F08" w:rsidRDefault="00B86E0D" w:rsidP="00B86E0D">
            <w:pPr>
              <w:tabs>
                <w:tab w:val="left" w:pos="706"/>
              </w:tabs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B86E0D">
              <w:rPr>
                <w:rFonts w:ascii="Times New Roman" w:eastAsia="Batang" w:hAnsi="Times New Roman" w:cs="Times New Roman"/>
                <w:color w:val="000000" w:themeColor="text1"/>
              </w:rPr>
              <w:t>Add after 36.11 "The Sector Feedbacks field contains one or more Sector Feedback fields."</w:t>
            </w:r>
          </w:p>
        </w:tc>
      </w:tr>
    </w:tbl>
    <w:p w:rsidR="00BB63B3" w:rsidRPr="005A3C19" w:rsidRDefault="00BB63B3" w:rsidP="006803D3">
      <w:pPr>
        <w:rPr>
          <w:szCs w:val="22"/>
        </w:rPr>
      </w:pPr>
    </w:p>
    <w:p w:rsidR="00064C75" w:rsidRPr="00064C75" w:rsidRDefault="006803D3" w:rsidP="00B86E0D">
      <w:pPr>
        <w:rPr>
          <w:color w:val="FF0000"/>
          <w:szCs w:val="22"/>
          <w:u w:val="single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 w:rsidR="00B86E0D">
        <w:rPr>
          <w:szCs w:val="22"/>
        </w:rPr>
        <w:t>Accepted</w:t>
      </w:r>
    </w:p>
    <w:p w:rsidR="00064C75" w:rsidRPr="00064C75" w:rsidRDefault="00064C75" w:rsidP="006803D3">
      <w:pPr>
        <w:rPr>
          <w:i/>
          <w:color w:val="FF0000"/>
          <w:u w:val="single"/>
          <w:lang w:eastAsia="zh-CN"/>
        </w:rPr>
      </w:pPr>
    </w:p>
    <w:p w:rsidR="00C22CB7" w:rsidRDefault="00C22CB7" w:rsidP="006803D3">
      <w:pPr>
        <w:rPr>
          <w:color w:val="00B0F0"/>
          <w:u w:val="single"/>
        </w:rPr>
      </w:pPr>
    </w:p>
    <w:p w:rsidR="00910026" w:rsidRDefault="00910026" w:rsidP="006803D3">
      <w:pPr>
        <w:rPr>
          <w:color w:val="00B0F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331"/>
        <w:gridCol w:w="3697"/>
        <w:gridCol w:w="3518"/>
      </w:tblGrid>
      <w:tr w:rsidR="00237E2A" w:rsidRPr="002D5ED2" w:rsidTr="006304E1">
        <w:trPr>
          <w:trHeight w:val="841"/>
        </w:trPr>
        <w:tc>
          <w:tcPr>
            <w:tcW w:w="663" w:type="dxa"/>
          </w:tcPr>
          <w:p w:rsidR="00237E2A" w:rsidRPr="000079B8" w:rsidRDefault="00237E2A" w:rsidP="006304E1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237E2A" w:rsidRPr="000079B8" w:rsidRDefault="00237E2A" w:rsidP="006304E1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237E2A" w:rsidRPr="000079B8" w:rsidRDefault="00237E2A" w:rsidP="006304E1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237E2A" w:rsidRPr="000079B8" w:rsidRDefault="00237E2A" w:rsidP="006304E1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237E2A" w:rsidRPr="000079B8" w:rsidTr="006304E1">
        <w:trPr>
          <w:trHeight w:val="841"/>
        </w:trPr>
        <w:tc>
          <w:tcPr>
            <w:tcW w:w="663" w:type="dxa"/>
          </w:tcPr>
          <w:p w:rsidR="00237E2A" w:rsidRPr="006C6B73" w:rsidRDefault="00237E2A" w:rsidP="006304E1">
            <w:pPr>
              <w:rPr>
                <w:color w:val="000000" w:themeColor="text1"/>
              </w:rPr>
            </w:pPr>
            <w:r w:rsidRPr="006C6B73">
              <w:rPr>
                <w:rFonts w:hint="eastAsia"/>
                <w:color w:val="000000" w:themeColor="text1"/>
              </w:rPr>
              <w:t>1476</w:t>
            </w:r>
          </w:p>
        </w:tc>
        <w:tc>
          <w:tcPr>
            <w:tcW w:w="1219" w:type="dxa"/>
          </w:tcPr>
          <w:p w:rsidR="00237E2A" w:rsidRPr="006C6B73" w:rsidRDefault="00237E2A" w:rsidP="006304E1">
            <w:pPr>
              <w:rPr>
                <w:color w:val="000000" w:themeColor="text1"/>
              </w:rPr>
            </w:pPr>
            <w:r w:rsidRPr="006C6B73">
              <w:rPr>
                <w:color w:val="000000" w:themeColor="text1"/>
              </w:rPr>
              <w:t>10.36.11.4.2</w:t>
            </w:r>
          </w:p>
        </w:tc>
        <w:tc>
          <w:tcPr>
            <w:tcW w:w="3754" w:type="dxa"/>
          </w:tcPr>
          <w:p w:rsidR="00237E2A" w:rsidRPr="006C6B73" w:rsidRDefault="00237E2A" w:rsidP="006304E1">
            <w:pPr>
              <w:rPr>
                <w:color w:val="000000" w:themeColor="text1"/>
              </w:rPr>
            </w:pPr>
            <w:r w:rsidRPr="006C6B73">
              <w:rPr>
                <w:color w:val="000000" w:themeColor="text1"/>
              </w:rPr>
              <w:t>802.11n and 802.11ac managed to operate MIMO in billions of devices without a MIMO access procedure.  It is not at all clear why this is necessary for all 802.11ay devices.</w:t>
            </w:r>
          </w:p>
        </w:tc>
        <w:tc>
          <w:tcPr>
            <w:tcW w:w="3573" w:type="dxa"/>
          </w:tcPr>
          <w:p w:rsidR="00237E2A" w:rsidRPr="006C6B73" w:rsidRDefault="00237E2A" w:rsidP="006304E1">
            <w:pPr>
              <w:rPr>
                <w:color w:val="000000" w:themeColor="text1"/>
              </w:rPr>
            </w:pPr>
            <w:r w:rsidRPr="006C6B73">
              <w:rPr>
                <w:color w:val="000000" w:themeColor="text1"/>
              </w:rPr>
              <w:t>Make the SU-MIMO channel access procedure entirely optional.  Allow devices to transmit MIMO frames without it.</w:t>
            </w:r>
          </w:p>
        </w:tc>
      </w:tr>
    </w:tbl>
    <w:p w:rsidR="00237E2A" w:rsidRPr="00D36595" w:rsidRDefault="00237E2A" w:rsidP="00237E2A">
      <w:pPr>
        <w:rPr>
          <w:szCs w:val="22"/>
          <w:lang w:val="en-US" w:eastAsia="zh-CN"/>
        </w:rPr>
      </w:pPr>
    </w:p>
    <w:p w:rsidR="00237E2A" w:rsidRDefault="00237E2A" w:rsidP="00237E2A">
      <w:pPr>
        <w:rPr>
          <w:szCs w:val="22"/>
        </w:rPr>
      </w:pPr>
      <w:r w:rsidRPr="008179AB">
        <w:rPr>
          <w:b/>
          <w:szCs w:val="22"/>
        </w:rPr>
        <w:t>Proposed resolution:</w:t>
      </w:r>
      <w:r w:rsidRPr="008179AB">
        <w:rPr>
          <w:szCs w:val="22"/>
        </w:rPr>
        <w:t xml:space="preserve"> </w:t>
      </w:r>
      <w:r>
        <w:rPr>
          <w:szCs w:val="22"/>
        </w:rPr>
        <w:t>Rejected</w:t>
      </w:r>
    </w:p>
    <w:p w:rsidR="00237E2A" w:rsidRDefault="00237E2A" w:rsidP="00237E2A">
      <w:pPr>
        <w:rPr>
          <w:szCs w:val="22"/>
        </w:rPr>
      </w:pPr>
    </w:p>
    <w:p w:rsidR="00AD7C3D" w:rsidRPr="006E4E87" w:rsidRDefault="00237E2A" w:rsidP="00237E2A">
      <w:pPr>
        <w:pStyle w:val="ListParagraph"/>
        <w:numPr>
          <w:ilvl w:val="0"/>
          <w:numId w:val="32"/>
        </w:numPr>
        <w:ind w:firstLineChars="0"/>
        <w:rPr>
          <w:color w:val="FF0000"/>
          <w:szCs w:val="22"/>
          <w:u w:val="single"/>
          <w:lang w:eastAsia="zh-CN"/>
        </w:rPr>
      </w:pPr>
      <w:r>
        <w:rPr>
          <w:rFonts w:eastAsiaTheme="minorEastAsia"/>
          <w:color w:val="000000" w:themeColor="text1"/>
          <w:szCs w:val="22"/>
          <w:lang w:eastAsia="zh-CN"/>
        </w:rPr>
        <w:t xml:space="preserve">11n and 11ac are operating in the lower bands and </w:t>
      </w:r>
      <w:proofErr w:type="spellStart"/>
      <w:r>
        <w:rPr>
          <w:rFonts w:eastAsiaTheme="minorEastAsia"/>
          <w:color w:val="000000" w:themeColor="text1"/>
          <w:szCs w:val="22"/>
          <w:lang w:eastAsia="zh-CN"/>
        </w:rPr>
        <w:t>omni</w:t>
      </w:r>
      <w:proofErr w:type="spellEnd"/>
      <w:r>
        <w:rPr>
          <w:rFonts w:eastAsiaTheme="minorEastAsia"/>
          <w:color w:val="000000" w:themeColor="text1"/>
          <w:szCs w:val="22"/>
          <w:lang w:eastAsia="zh-CN"/>
        </w:rPr>
        <w:t xml:space="preserve"> reception and transmission are dominant, and it is easy for devices to hear the activities nearby. In 11ay where operations happen in higher bands, most data transmissions are performed in a directional way. </w:t>
      </w:r>
    </w:p>
    <w:p w:rsidR="00237E2A" w:rsidRPr="006C6B73" w:rsidRDefault="00AD7C3D" w:rsidP="00237E2A">
      <w:pPr>
        <w:pStyle w:val="ListParagraph"/>
        <w:numPr>
          <w:ilvl w:val="0"/>
          <w:numId w:val="32"/>
        </w:numPr>
        <w:ind w:firstLineChars="0"/>
        <w:rPr>
          <w:color w:val="FF0000"/>
          <w:szCs w:val="22"/>
          <w:u w:val="single"/>
          <w:lang w:eastAsia="zh-CN"/>
        </w:rPr>
      </w:pPr>
      <w:r>
        <w:rPr>
          <w:rFonts w:eastAsiaTheme="minorEastAsia"/>
          <w:color w:val="000000" w:themeColor="text1"/>
          <w:szCs w:val="22"/>
          <w:lang w:eastAsia="zh-CN"/>
        </w:rPr>
        <w:t>T</w:t>
      </w:r>
      <w:r w:rsidR="00237E2A">
        <w:rPr>
          <w:rFonts w:eastAsiaTheme="minorEastAsia"/>
          <w:color w:val="000000" w:themeColor="text1"/>
          <w:szCs w:val="22"/>
          <w:lang w:eastAsia="zh-CN"/>
        </w:rPr>
        <w:t>he SU-MIMO responder STA has to configure its antennas accordingly prior to a MIMO transmission. Without the SU-MIMO channel access, it has no way to know a MIMO transmission is upcoming. As a result, channel access is needed here.</w:t>
      </w:r>
    </w:p>
    <w:p w:rsidR="00237E2A" w:rsidRDefault="00237E2A" w:rsidP="006803D3">
      <w:pPr>
        <w:rPr>
          <w:color w:val="00B0F0"/>
          <w:u w:val="single"/>
        </w:rPr>
      </w:pPr>
    </w:p>
    <w:p w:rsidR="00237E2A" w:rsidRDefault="00237E2A" w:rsidP="006803D3">
      <w:pPr>
        <w:rPr>
          <w:color w:val="00B0F0"/>
          <w:u w:val="single"/>
        </w:rPr>
      </w:pPr>
    </w:p>
    <w:p w:rsidR="00237E2A" w:rsidRDefault="00237E2A" w:rsidP="006803D3">
      <w:pPr>
        <w:rPr>
          <w:color w:val="00B0F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316"/>
        <w:gridCol w:w="3706"/>
        <w:gridCol w:w="3524"/>
      </w:tblGrid>
      <w:tr w:rsidR="00237E2A" w:rsidRPr="002D5ED2" w:rsidTr="006304E1">
        <w:trPr>
          <w:trHeight w:val="841"/>
        </w:trPr>
        <w:tc>
          <w:tcPr>
            <w:tcW w:w="663" w:type="dxa"/>
          </w:tcPr>
          <w:p w:rsidR="00237E2A" w:rsidRPr="000079B8" w:rsidRDefault="00237E2A" w:rsidP="006304E1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237E2A" w:rsidRPr="000079B8" w:rsidRDefault="00237E2A" w:rsidP="006304E1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54" w:type="dxa"/>
          </w:tcPr>
          <w:p w:rsidR="00237E2A" w:rsidRPr="000079B8" w:rsidRDefault="00237E2A" w:rsidP="006304E1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3" w:type="dxa"/>
          </w:tcPr>
          <w:p w:rsidR="00237E2A" w:rsidRPr="000079B8" w:rsidRDefault="00237E2A" w:rsidP="006304E1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237E2A" w:rsidRPr="000079B8" w:rsidTr="006304E1">
        <w:trPr>
          <w:trHeight w:val="841"/>
        </w:trPr>
        <w:tc>
          <w:tcPr>
            <w:tcW w:w="663" w:type="dxa"/>
          </w:tcPr>
          <w:p w:rsidR="00237E2A" w:rsidRPr="004A676A" w:rsidRDefault="00237E2A" w:rsidP="006304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676A">
              <w:rPr>
                <w:rFonts w:ascii="Times New Roman" w:hAnsi="Times New Roman" w:cs="Times New Roman" w:hint="eastAsia"/>
                <w:color w:val="000000" w:themeColor="text1"/>
              </w:rPr>
              <w:t>1478</w:t>
            </w:r>
          </w:p>
        </w:tc>
        <w:tc>
          <w:tcPr>
            <w:tcW w:w="1219" w:type="dxa"/>
          </w:tcPr>
          <w:p w:rsidR="00237E2A" w:rsidRPr="004A676A" w:rsidRDefault="00237E2A" w:rsidP="006304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676A">
              <w:rPr>
                <w:rFonts w:ascii="Times New Roman" w:hAnsi="Times New Roman" w:cs="Times New Roman"/>
                <w:color w:val="000000" w:themeColor="text1"/>
              </w:rPr>
              <w:t>10.36.11.4.3</w:t>
            </w:r>
          </w:p>
        </w:tc>
        <w:tc>
          <w:tcPr>
            <w:tcW w:w="3754" w:type="dxa"/>
          </w:tcPr>
          <w:p w:rsidR="00237E2A" w:rsidRPr="004A676A" w:rsidRDefault="00237E2A" w:rsidP="006304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676A">
              <w:rPr>
                <w:rFonts w:ascii="Times New Roman" w:hAnsi="Times New Roman" w:cs="Times New Roman"/>
                <w:color w:val="000000" w:themeColor="text1"/>
              </w:rPr>
              <w:t>The requirement to transmit an RTS frame in all SU-MIMO sectors is unnecessary.  Also the "small delay" between sectors is ambiguous.</w:t>
            </w:r>
          </w:p>
        </w:tc>
        <w:tc>
          <w:tcPr>
            <w:tcW w:w="3573" w:type="dxa"/>
          </w:tcPr>
          <w:p w:rsidR="00237E2A" w:rsidRPr="004A676A" w:rsidRDefault="00237E2A" w:rsidP="006304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676A">
              <w:rPr>
                <w:rFonts w:ascii="Times New Roman" w:hAnsi="Times New Roman" w:cs="Times New Roman"/>
                <w:color w:val="000000" w:themeColor="text1"/>
              </w:rPr>
              <w:t>Remove the first 2 sentences of this paragraph.</w:t>
            </w:r>
          </w:p>
        </w:tc>
      </w:tr>
      <w:tr w:rsidR="00237E2A" w:rsidRPr="000079B8" w:rsidTr="006304E1">
        <w:trPr>
          <w:trHeight w:val="841"/>
        </w:trPr>
        <w:tc>
          <w:tcPr>
            <w:tcW w:w="663" w:type="dxa"/>
          </w:tcPr>
          <w:p w:rsidR="00237E2A" w:rsidRPr="004A676A" w:rsidRDefault="00237E2A" w:rsidP="006304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676A">
              <w:rPr>
                <w:rFonts w:ascii="Times New Roman" w:hAnsi="Times New Roman" w:cs="Times New Roman" w:hint="eastAsia"/>
                <w:color w:val="000000" w:themeColor="text1"/>
              </w:rPr>
              <w:t>1479</w:t>
            </w:r>
          </w:p>
        </w:tc>
        <w:tc>
          <w:tcPr>
            <w:tcW w:w="1219" w:type="dxa"/>
          </w:tcPr>
          <w:p w:rsidR="00237E2A" w:rsidRPr="004A676A" w:rsidRDefault="00237E2A" w:rsidP="006304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676A">
              <w:rPr>
                <w:rFonts w:ascii="Times New Roman" w:hAnsi="Times New Roman" w:cs="Times New Roman"/>
                <w:color w:val="000000" w:themeColor="text1"/>
              </w:rPr>
              <w:t>10.36.11.4.3</w:t>
            </w:r>
          </w:p>
        </w:tc>
        <w:tc>
          <w:tcPr>
            <w:tcW w:w="3754" w:type="dxa"/>
          </w:tcPr>
          <w:p w:rsidR="00237E2A" w:rsidRPr="004A676A" w:rsidRDefault="00237E2A" w:rsidP="006304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676A">
              <w:rPr>
                <w:rFonts w:ascii="Times New Roman" w:hAnsi="Times New Roman" w:cs="Times New Roman"/>
                <w:color w:val="000000" w:themeColor="text1"/>
              </w:rPr>
              <w:t>The requirement to transmit a CTS frame in all SU-MIMO sectors is unnecessary.  Also the "small delay" between sectors is ambiguous.</w:t>
            </w:r>
          </w:p>
        </w:tc>
        <w:tc>
          <w:tcPr>
            <w:tcW w:w="3573" w:type="dxa"/>
          </w:tcPr>
          <w:p w:rsidR="00237E2A" w:rsidRPr="004A676A" w:rsidRDefault="00237E2A" w:rsidP="006304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676A">
              <w:rPr>
                <w:rFonts w:ascii="Times New Roman" w:hAnsi="Times New Roman" w:cs="Times New Roman"/>
                <w:color w:val="000000" w:themeColor="text1"/>
              </w:rPr>
              <w:t>Remove this sentence</w:t>
            </w:r>
          </w:p>
        </w:tc>
      </w:tr>
    </w:tbl>
    <w:p w:rsidR="00237E2A" w:rsidRDefault="00237E2A" w:rsidP="00237E2A">
      <w:pPr>
        <w:rPr>
          <w:b/>
          <w:szCs w:val="22"/>
          <w:lang w:eastAsia="zh-CN"/>
        </w:rPr>
      </w:pPr>
    </w:p>
    <w:p w:rsidR="00237E2A" w:rsidRPr="006D42B4" w:rsidRDefault="00237E2A" w:rsidP="00237E2A">
      <w:pPr>
        <w:rPr>
          <w:i/>
          <w:szCs w:val="22"/>
        </w:rPr>
      </w:pPr>
      <w:r w:rsidRPr="006D42B4">
        <w:rPr>
          <w:b/>
          <w:szCs w:val="22"/>
        </w:rPr>
        <w:t>Proposed resolution:</w:t>
      </w:r>
      <w:r>
        <w:rPr>
          <w:szCs w:val="22"/>
        </w:rPr>
        <w:t xml:space="preserve"> Re</w:t>
      </w:r>
      <w:r w:rsidR="006E4E87">
        <w:rPr>
          <w:szCs w:val="22"/>
        </w:rPr>
        <w:t>vised</w:t>
      </w:r>
    </w:p>
    <w:p w:rsidR="00237E2A" w:rsidRDefault="00237E2A" w:rsidP="00237E2A">
      <w:pPr>
        <w:rPr>
          <w:b/>
          <w:szCs w:val="22"/>
          <w:lang w:eastAsia="zh-CN"/>
        </w:rPr>
      </w:pPr>
    </w:p>
    <w:p w:rsidR="00237E2A" w:rsidRPr="006E4E87" w:rsidRDefault="00237E2A" w:rsidP="006E4E87">
      <w:pPr>
        <w:pStyle w:val="ListParagraph"/>
        <w:numPr>
          <w:ilvl w:val="0"/>
          <w:numId w:val="33"/>
        </w:numPr>
        <w:ind w:firstLineChars="0"/>
        <w:rPr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t xml:space="preserve">NAV </w:t>
      </w:r>
      <w:r>
        <w:rPr>
          <w:rFonts w:eastAsiaTheme="minorEastAsia"/>
          <w:szCs w:val="22"/>
          <w:lang w:eastAsia="zh-CN"/>
        </w:rPr>
        <w:t>protection is needed in all channels that will be used during the SU-MIMO transmission.</w:t>
      </w:r>
    </w:p>
    <w:p w:rsidR="006E4E87" w:rsidRPr="006E4E87" w:rsidRDefault="006E4E87" w:rsidP="006E4E87">
      <w:pPr>
        <w:pStyle w:val="ListParagraph"/>
        <w:numPr>
          <w:ilvl w:val="0"/>
          <w:numId w:val="33"/>
        </w:numPr>
        <w:ind w:firstLineChars="0"/>
        <w:rPr>
          <w:szCs w:val="22"/>
          <w:lang w:eastAsia="zh-CN"/>
        </w:rPr>
      </w:pPr>
      <w:r>
        <w:rPr>
          <w:szCs w:val="22"/>
          <w:lang w:eastAsia="zh-CN"/>
        </w:rPr>
        <w:t>T</w:t>
      </w:r>
      <w:r w:rsidRPr="006E4E87">
        <w:rPr>
          <w:szCs w:val="22"/>
          <w:lang w:eastAsia="zh-CN"/>
        </w:rPr>
        <w:t>he document 11-18-0723-04-00ay-resolution-to-cids-related-to-mimo-channel-access</w:t>
      </w:r>
      <w:r>
        <w:rPr>
          <w:szCs w:val="22"/>
          <w:lang w:eastAsia="zh-CN"/>
        </w:rPr>
        <w:t xml:space="preserve"> already </w:t>
      </w:r>
      <w:proofErr w:type="spellStart"/>
      <w:r>
        <w:rPr>
          <w:szCs w:val="22"/>
          <w:lang w:eastAsia="zh-CN"/>
        </w:rPr>
        <w:t>defnes</w:t>
      </w:r>
      <w:proofErr w:type="spellEnd"/>
      <w:r>
        <w:rPr>
          <w:szCs w:val="22"/>
          <w:lang w:eastAsia="zh-CN"/>
        </w:rPr>
        <w:t xml:space="preserve"> the small delay.</w:t>
      </w:r>
    </w:p>
    <w:p w:rsidR="00237E2A" w:rsidRDefault="00237E2A" w:rsidP="006803D3">
      <w:pPr>
        <w:rPr>
          <w:color w:val="00B0F0"/>
          <w:u w:val="single"/>
        </w:rPr>
      </w:pPr>
    </w:p>
    <w:p w:rsidR="006E4E87" w:rsidRDefault="006E4E87" w:rsidP="006803D3">
      <w:pPr>
        <w:rPr>
          <w:i/>
          <w:lang w:eastAsia="zh-CN"/>
        </w:rPr>
      </w:pPr>
      <w:r>
        <w:rPr>
          <w:i/>
          <w:lang w:eastAsia="zh-CN"/>
        </w:rPr>
        <w:lastRenderedPageBreak/>
        <w:t xml:space="preserve">Change the last paragraph of </w:t>
      </w:r>
      <w:r w:rsidRPr="006E4E87">
        <w:rPr>
          <w:i/>
          <w:lang w:eastAsia="zh-CN"/>
        </w:rPr>
        <w:t>10.37.11.4.3</w:t>
      </w:r>
      <w:r>
        <w:rPr>
          <w:i/>
          <w:lang w:eastAsia="zh-CN"/>
        </w:rPr>
        <w:t xml:space="preserve"> in D1.3 as follows:</w:t>
      </w:r>
    </w:p>
    <w:p w:rsidR="006E4E87" w:rsidRPr="006E4E87" w:rsidRDefault="006E4E87" w:rsidP="006E4E87">
      <w:pPr>
        <w:rPr>
          <w:sz w:val="21"/>
        </w:rPr>
      </w:pPr>
      <w:r w:rsidRPr="006E4E87">
        <w:rPr>
          <w:sz w:val="21"/>
        </w:rPr>
        <w:t>The SU-MIMO initiator may send a CF-END frame to reset the NAV and release the</w:t>
      </w:r>
      <w:r w:rsidRPr="006E4E87">
        <w:rPr>
          <w:sz w:val="24"/>
          <w:szCs w:val="22"/>
        </w:rPr>
        <w:t xml:space="preserve"> </w:t>
      </w:r>
      <w:r w:rsidRPr="006E4E87">
        <w:rPr>
          <w:sz w:val="21"/>
        </w:rPr>
        <w:t xml:space="preserve">remaining time of the TXOP. </w:t>
      </w:r>
      <w:r w:rsidR="00326B7E">
        <w:rPr>
          <w:color w:val="FF0000"/>
          <w:sz w:val="21"/>
          <w:u w:val="single"/>
        </w:rPr>
        <w:t xml:space="preserve">If </w:t>
      </w:r>
      <w:proofErr w:type="spellStart"/>
      <w:r w:rsidRPr="00326B7E">
        <w:rPr>
          <w:strike/>
          <w:color w:val="FF0000"/>
          <w:sz w:val="21"/>
        </w:rPr>
        <w:t>T</w:t>
      </w:r>
      <w:r w:rsidR="00326B7E">
        <w:rPr>
          <w:color w:val="FF0000"/>
          <w:sz w:val="21"/>
          <w:u w:val="single"/>
        </w:rPr>
        <w:t>t</w:t>
      </w:r>
      <w:r w:rsidRPr="006E4E87">
        <w:rPr>
          <w:sz w:val="21"/>
        </w:rPr>
        <w:t>he</w:t>
      </w:r>
      <w:proofErr w:type="spellEnd"/>
      <w:r w:rsidRPr="006E4E87">
        <w:rPr>
          <w:sz w:val="21"/>
        </w:rPr>
        <w:t xml:space="preserve"> CF-END frame</w:t>
      </w:r>
      <w:r>
        <w:rPr>
          <w:sz w:val="21"/>
        </w:rPr>
        <w:t xml:space="preserve"> </w:t>
      </w:r>
      <w:r w:rsidR="00326B7E">
        <w:rPr>
          <w:color w:val="FF0000"/>
          <w:sz w:val="21"/>
          <w:u w:val="single"/>
        </w:rPr>
        <w:t xml:space="preserve">is sent, it </w:t>
      </w:r>
      <w:r w:rsidR="00326B7E" w:rsidRPr="00326B7E">
        <w:rPr>
          <w:sz w:val="21"/>
        </w:rPr>
        <w:t xml:space="preserve">shall </w:t>
      </w:r>
      <w:r w:rsidR="00326B7E">
        <w:rPr>
          <w:color w:val="FF0000"/>
          <w:sz w:val="21"/>
          <w:u w:val="single"/>
        </w:rPr>
        <w:t xml:space="preserve">use </w:t>
      </w:r>
      <w:r w:rsidR="00326B7E" w:rsidRPr="00326B7E">
        <w:rPr>
          <w:strike/>
          <w:color w:val="FF0000"/>
          <w:sz w:val="21"/>
        </w:rPr>
        <w:t xml:space="preserve">be </w:t>
      </w:r>
      <w:r w:rsidRPr="00326B7E">
        <w:rPr>
          <w:strike/>
          <w:color w:val="FF0000"/>
          <w:sz w:val="21"/>
        </w:rPr>
        <w:t>sent using</w:t>
      </w:r>
      <w:r w:rsidRPr="006E4E87">
        <w:rPr>
          <w:sz w:val="21"/>
        </w:rPr>
        <w:t xml:space="preserve"> </w:t>
      </w:r>
      <w:r w:rsidRPr="006E4E87">
        <w:rPr>
          <w:sz w:val="21"/>
        </w:rPr>
        <w:t xml:space="preserve">the same set of DMG antennas and antenna configuration during the SU-MIMO transmission or hybrid beamforming training and a CSD between the transmissions in different antennas as defined in </w:t>
      </w:r>
      <w:r w:rsidR="0023026E">
        <w:rPr>
          <w:sz w:val="21"/>
        </w:rPr>
        <w:t>29.4.7.2</w:t>
      </w:r>
      <w:r w:rsidRPr="006E4E87">
        <w:rPr>
          <w:sz w:val="21"/>
        </w:rPr>
        <w:t>.</w:t>
      </w:r>
    </w:p>
    <w:p w:rsidR="006E4E87" w:rsidRPr="006E4E87" w:rsidRDefault="006E4E87" w:rsidP="006803D3">
      <w:pPr>
        <w:rPr>
          <w:lang w:eastAsia="zh-CN"/>
        </w:rPr>
      </w:pPr>
    </w:p>
    <w:p w:rsidR="006E4E87" w:rsidRPr="006E4E87" w:rsidRDefault="006E4E87" w:rsidP="006803D3">
      <w:pPr>
        <w:rPr>
          <w:lang w:eastAsia="zh-CN"/>
        </w:rPr>
      </w:pPr>
    </w:p>
    <w:p w:rsidR="00237E2A" w:rsidRPr="00237E2A" w:rsidRDefault="00237E2A" w:rsidP="006803D3">
      <w:pPr>
        <w:rPr>
          <w:color w:val="00B0F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49"/>
        <w:gridCol w:w="3578"/>
      </w:tblGrid>
      <w:tr w:rsidR="006803D3" w:rsidRPr="000079B8" w:rsidTr="0019196C">
        <w:trPr>
          <w:trHeight w:val="841"/>
        </w:trPr>
        <w:tc>
          <w:tcPr>
            <w:tcW w:w="663" w:type="dxa"/>
          </w:tcPr>
          <w:p w:rsidR="006803D3" w:rsidRPr="000079B8" w:rsidRDefault="006803D3" w:rsidP="0078286B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6803D3" w:rsidRPr="000079B8" w:rsidRDefault="006803D3" w:rsidP="0078286B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49" w:type="dxa"/>
          </w:tcPr>
          <w:p w:rsidR="006803D3" w:rsidRPr="000079B8" w:rsidRDefault="006803D3" w:rsidP="0078286B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8" w:type="dxa"/>
          </w:tcPr>
          <w:p w:rsidR="006803D3" w:rsidRPr="000079B8" w:rsidRDefault="006803D3" w:rsidP="0078286B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B86E0D" w:rsidRPr="008913FB" w:rsidTr="0019196C">
        <w:trPr>
          <w:trHeight w:val="841"/>
        </w:trPr>
        <w:tc>
          <w:tcPr>
            <w:tcW w:w="663" w:type="dxa"/>
          </w:tcPr>
          <w:p w:rsidR="00B86E0D" w:rsidRPr="00F45220" w:rsidRDefault="00B86E0D" w:rsidP="00B86E0D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</w:rPr>
              <w:t>1492</w:t>
            </w:r>
          </w:p>
        </w:tc>
        <w:tc>
          <w:tcPr>
            <w:tcW w:w="1219" w:type="dxa"/>
          </w:tcPr>
          <w:p w:rsidR="00B86E0D" w:rsidRPr="00F45220" w:rsidRDefault="00B86E0D" w:rsidP="00B86E0D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B86E0D">
              <w:rPr>
                <w:rFonts w:ascii="Times New Roman" w:eastAsia="Batang" w:hAnsi="Times New Roman" w:cs="Times New Roman"/>
                <w:color w:val="000000" w:themeColor="text1"/>
              </w:rPr>
              <w:t>10.38.9.3.3</w:t>
            </w:r>
          </w:p>
        </w:tc>
        <w:tc>
          <w:tcPr>
            <w:tcW w:w="3749" w:type="dxa"/>
          </w:tcPr>
          <w:p w:rsidR="00B86E0D" w:rsidRPr="00B86E0D" w:rsidRDefault="00B86E0D" w:rsidP="00B86E0D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B86E0D">
              <w:rPr>
                <w:rFonts w:ascii="Times New Roman" w:eastAsia="Batang" w:hAnsi="Times New Roman" w:cs="Times New Roman" w:hint="eastAsia"/>
                <w:color w:val="000000" w:themeColor="text1"/>
              </w:rPr>
              <w:t>Listen period is not defined.  Maybe it would help to show the listen period in Figure 104.</w:t>
            </w:r>
          </w:p>
        </w:tc>
        <w:tc>
          <w:tcPr>
            <w:tcW w:w="3578" w:type="dxa"/>
          </w:tcPr>
          <w:p w:rsidR="00B86E0D" w:rsidRPr="00B86E0D" w:rsidRDefault="00B86E0D" w:rsidP="00B86E0D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B86E0D">
              <w:rPr>
                <w:rFonts w:ascii="Times New Roman" w:eastAsia="Batang" w:hAnsi="Times New Roman" w:cs="Times New Roman" w:hint="eastAsia"/>
                <w:color w:val="000000" w:themeColor="text1"/>
              </w:rPr>
              <w:t>Add a definition for listen period.</w:t>
            </w:r>
          </w:p>
        </w:tc>
      </w:tr>
    </w:tbl>
    <w:p w:rsidR="006803D3" w:rsidRPr="00C41092" w:rsidRDefault="006803D3" w:rsidP="006803D3">
      <w:pPr>
        <w:rPr>
          <w:color w:val="000000" w:themeColor="text1"/>
          <w:szCs w:val="22"/>
          <w:lang w:val="en-US" w:eastAsia="zh-CN"/>
        </w:rPr>
      </w:pPr>
    </w:p>
    <w:p w:rsidR="006803D3" w:rsidRPr="00C41092" w:rsidRDefault="006803D3" w:rsidP="006803D3">
      <w:pPr>
        <w:rPr>
          <w:color w:val="000000" w:themeColor="text1"/>
          <w:szCs w:val="22"/>
          <w:lang w:val="en-US" w:eastAsia="zh-CN"/>
        </w:rPr>
      </w:pPr>
      <w:r w:rsidRPr="00C41092">
        <w:rPr>
          <w:b/>
          <w:color w:val="000000" w:themeColor="text1"/>
          <w:szCs w:val="22"/>
          <w:lang w:val="en-US" w:eastAsia="zh-CN"/>
        </w:rPr>
        <w:t>Proposed resolution:</w:t>
      </w:r>
      <w:r w:rsidRPr="00C41092">
        <w:rPr>
          <w:color w:val="000000" w:themeColor="text1"/>
          <w:szCs w:val="22"/>
          <w:lang w:val="en-US" w:eastAsia="zh-CN"/>
        </w:rPr>
        <w:t xml:space="preserve"> </w:t>
      </w:r>
      <w:r w:rsidR="00910026">
        <w:rPr>
          <w:color w:val="000000" w:themeColor="text1"/>
          <w:szCs w:val="22"/>
          <w:lang w:val="en-US" w:eastAsia="zh-CN"/>
        </w:rPr>
        <w:t>Re</w:t>
      </w:r>
      <w:r w:rsidR="00B86E0D">
        <w:rPr>
          <w:color w:val="000000" w:themeColor="text1"/>
          <w:szCs w:val="22"/>
          <w:lang w:val="en-US" w:eastAsia="zh-CN"/>
        </w:rPr>
        <w:t>vised</w:t>
      </w:r>
    </w:p>
    <w:p w:rsidR="006803D3" w:rsidRPr="00910026" w:rsidRDefault="006803D3" w:rsidP="006803D3">
      <w:pPr>
        <w:rPr>
          <w:rFonts w:eastAsia="Batang"/>
          <w:color w:val="000000" w:themeColor="text1"/>
          <w:szCs w:val="22"/>
          <w:lang w:eastAsia="zh-CN"/>
        </w:rPr>
      </w:pPr>
    </w:p>
    <w:p w:rsidR="005F1A93" w:rsidRDefault="005F1A93" w:rsidP="00910026">
      <w:pPr>
        <w:rPr>
          <w:i/>
          <w:color w:val="000000" w:themeColor="text1"/>
          <w:lang w:eastAsia="zh-CN"/>
        </w:rPr>
      </w:pPr>
      <w:r>
        <w:rPr>
          <w:rFonts w:hint="eastAsia"/>
          <w:i/>
          <w:color w:val="000000" w:themeColor="text1"/>
          <w:lang w:eastAsia="zh-CN"/>
        </w:rPr>
        <w:t>Cha</w:t>
      </w:r>
      <w:r>
        <w:rPr>
          <w:i/>
          <w:color w:val="000000" w:themeColor="text1"/>
          <w:lang w:eastAsia="zh-CN"/>
        </w:rPr>
        <w:t>nge the first sentence of the 3</w:t>
      </w:r>
      <w:r w:rsidRPr="005F1A93">
        <w:rPr>
          <w:i/>
          <w:color w:val="000000" w:themeColor="text1"/>
          <w:vertAlign w:val="superscript"/>
          <w:lang w:eastAsia="zh-CN"/>
        </w:rPr>
        <w:t>rd</w:t>
      </w:r>
      <w:r>
        <w:rPr>
          <w:i/>
          <w:color w:val="000000" w:themeColor="text1"/>
          <w:lang w:eastAsia="zh-CN"/>
        </w:rPr>
        <w:t xml:space="preserve"> bullet of the 1</w:t>
      </w:r>
      <w:r w:rsidRPr="005F1A93">
        <w:rPr>
          <w:i/>
          <w:color w:val="000000" w:themeColor="text1"/>
          <w:vertAlign w:val="superscript"/>
          <w:lang w:eastAsia="zh-CN"/>
        </w:rPr>
        <w:t>st</w:t>
      </w:r>
      <w:r>
        <w:rPr>
          <w:i/>
          <w:color w:val="000000" w:themeColor="text1"/>
          <w:lang w:eastAsia="zh-CN"/>
        </w:rPr>
        <w:t xml:space="preserve"> paragraph in </w:t>
      </w:r>
      <w:r w:rsidR="0023026E">
        <w:rPr>
          <w:i/>
          <w:color w:val="000000" w:themeColor="text1"/>
          <w:lang w:eastAsia="zh-CN"/>
        </w:rPr>
        <w:t>10.38.9.3.3</w:t>
      </w:r>
      <w:r>
        <w:rPr>
          <w:i/>
          <w:color w:val="000000" w:themeColor="text1"/>
          <w:lang w:eastAsia="zh-CN"/>
        </w:rPr>
        <w:t xml:space="preserve"> as follows:</w:t>
      </w:r>
    </w:p>
    <w:p w:rsidR="00910026" w:rsidRPr="005F1A93" w:rsidRDefault="005F1A93" w:rsidP="00910026">
      <w:pPr>
        <w:rPr>
          <w:strike/>
          <w:color w:val="FF0000"/>
          <w:lang w:eastAsia="zh-CN"/>
        </w:rPr>
      </w:pPr>
      <w:r w:rsidRPr="005F1A93">
        <w:rPr>
          <w:color w:val="000000" w:themeColor="text1"/>
          <w:lang w:eastAsia="zh-CN"/>
        </w:rPr>
        <w:t xml:space="preserve">A responder may transmit more than one consecutive SSW </w:t>
      </w:r>
      <w:r>
        <w:rPr>
          <w:color w:val="000000" w:themeColor="text1"/>
          <w:lang w:eastAsia="zh-CN"/>
        </w:rPr>
        <w:t xml:space="preserve">frame within one </w:t>
      </w:r>
      <w:r>
        <w:rPr>
          <w:color w:val="FF0000"/>
          <w:u w:val="single"/>
          <w:lang w:eastAsia="zh-CN"/>
        </w:rPr>
        <w:t xml:space="preserve">beamforming training </w:t>
      </w:r>
      <w:proofErr w:type="spellStart"/>
      <w:r>
        <w:rPr>
          <w:color w:val="FF0000"/>
          <w:u w:val="single"/>
          <w:lang w:eastAsia="zh-CN"/>
        </w:rPr>
        <w:t>allocation</w:t>
      </w:r>
      <w:r w:rsidRPr="005F1A93">
        <w:rPr>
          <w:strike/>
          <w:color w:val="FF0000"/>
          <w:lang w:eastAsia="zh-CN"/>
        </w:rPr>
        <w:t>listen</w:t>
      </w:r>
      <w:proofErr w:type="spellEnd"/>
      <w:r w:rsidRPr="005F1A93">
        <w:rPr>
          <w:strike/>
          <w:color w:val="FF0000"/>
          <w:lang w:eastAsia="zh-CN"/>
        </w:rPr>
        <w:t xml:space="preserve"> period</w:t>
      </w:r>
    </w:p>
    <w:p w:rsidR="00C22CB7" w:rsidRDefault="00C22CB7" w:rsidP="006803D3">
      <w:pPr>
        <w:rPr>
          <w:color w:val="00B0F0"/>
          <w:u w:val="single"/>
        </w:rPr>
      </w:pPr>
    </w:p>
    <w:p w:rsidR="005F1A93" w:rsidRDefault="005F1A93" w:rsidP="006803D3">
      <w:pPr>
        <w:rPr>
          <w:color w:val="00B0F0"/>
          <w:u w:val="single"/>
        </w:rPr>
      </w:pPr>
    </w:p>
    <w:p w:rsidR="005F1A93" w:rsidRDefault="005F1A93" w:rsidP="006803D3">
      <w:pPr>
        <w:rPr>
          <w:color w:val="00B0F0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49"/>
        <w:gridCol w:w="3578"/>
      </w:tblGrid>
      <w:tr w:rsidR="005F1A93" w:rsidRPr="000079B8" w:rsidTr="00083167">
        <w:trPr>
          <w:trHeight w:val="841"/>
        </w:trPr>
        <w:tc>
          <w:tcPr>
            <w:tcW w:w="663" w:type="dxa"/>
          </w:tcPr>
          <w:p w:rsidR="005F1A93" w:rsidRPr="000079B8" w:rsidRDefault="005F1A93" w:rsidP="00083167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5F1A93" w:rsidRPr="000079B8" w:rsidRDefault="005F1A93" w:rsidP="00083167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49" w:type="dxa"/>
          </w:tcPr>
          <w:p w:rsidR="005F1A93" w:rsidRPr="000079B8" w:rsidRDefault="005F1A93" w:rsidP="00083167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8" w:type="dxa"/>
          </w:tcPr>
          <w:p w:rsidR="005F1A93" w:rsidRPr="000079B8" w:rsidRDefault="005F1A93" w:rsidP="00083167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5F1A93" w:rsidRPr="00B86E0D" w:rsidTr="00083167">
        <w:trPr>
          <w:trHeight w:val="841"/>
        </w:trPr>
        <w:tc>
          <w:tcPr>
            <w:tcW w:w="663" w:type="dxa"/>
          </w:tcPr>
          <w:p w:rsidR="005F1A93" w:rsidRPr="00F45220" w:rsidRDefault="005F1A93" w:rsidP="00E84349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</w:rPr>
              <w:t>1</w:t>
            </w:r>
            <w:r w:rsidR="00E84349">
              <w:rPr>
                <w:rFonts w:ascii="Times New Roman" w:eastAsia="Batang" w:hAnsi="Times New Roman" w:cs="Times New Roman"/>
                <w:color w:val="000000" w:themeColor="text1"/>
              </w:rPr>
              <w:t>896</w:t>
            </w:r>
          </w:p>
        </w:tc>
        <w:tc>
          <w:tcPr>
            <w:tcW w:w="1219" w:type="dxa"/>
          </w:tcPr>
          <w:p w:rsidR="005F1A93" w:rsidRPr="00F45220" w:rsidRDefault="005F1A93" w:rsidP="005F1A93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B86E0D">
              <w:rPr>
                <w:rFonts w:ascii="Times New Roman" w:eastAsia="Batang" w:hAnsi="Times New Roman" w:cs="Times New Roman"/>
                <w:color w:val="000000" w:themeColor="text1"/>
              </w:rPr>
              <w:t>10.38.9.3.3</w:t>
            </w:r>
          </w:p>
        </w:tc>
        <w:tc>
          <w:tcPr>
            <w:tcW w:w="3749" w:type="dxa"/>
          </w:tcPr>
          <w:p w:rsidR="005F1A93" w:rsidRPr="005F1A93" w:rsidRDefault="005F1A93" w:rsidP="005F1A93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5F1A93">
              <w:rPr>
                <w:rFonts w:ascii="Times New Roman" w:eastAsia="Batang" w:hAnsi="Times New Roman" w:cs="Times New Roman" w:hint="eastAsia"/>
                <w:color w:val="000000" w:themeColor="text1"/>
              </w:rPr>
              <w:t xml:space="preserve">"For </w:t>
            </w:r>
            <w:r w:rsidRPr="005F1A93">
              <w:rPr>
                <w:rFonts w:ascii="Times New Roman" w:eastAsia="Batang" w:hAnsi="Times New Roman" w:cs="Times New Roman"/>
                <w:color w:val="000000" w:themeColor="text1"/>
              </w:rPr>
              <w:t>this transmitted</w:t>
            </w:r>
            <w:r w:rsidRPr="005F1A93">
              <w:rPr>
                <w:rFonts w:ascii="Times New Roman" w:eastAsia="Batang" w:hAnsi="Times New Roman" w:cs="Times New Roman" w:hint="eastAsia"/>
                <w:color w:val="000000" w:themeColor="text1"/>
              </w:rPr>
              <w:t xml:space="preserve"> DMG CTS frame, the TXVECTOR parameter SCRAMBLE</w:t>
            </w:r>
            <w:r>
              <w:rPr>
                <w:rFonts w:ascii="Times New Roman" w:eastAsia="Batang" w:hAnsi="Times New Roman" w:cs="Times New Roman" w:hint="eastAsia"/>
                <w:color w:val="000000" w:themeColor="text1"/>
              </w:rPr>
              <w:t>R_INIT_SETTING shall be set to</w:t>
            </w:r>
            <w:r>
              <w:rPr>
                <w:rFonts w:ascii="Times New Roman" w:eastAsia="Batang" w:hAnsi="Times New Roman" w:cs="Times New Roman"/>
                <w:color w:val="000000" w:themeColor="text1"/>
              </w:rPr>
              <w:t xml:space="preserve"> </w:t>
            </w:r>
            <w:r w:rsidRPr="005F1A93">
              <w:rPr>
                <w:rFonts w:ascii="Times New Roman" w:eastAsia="Batang" w:hAnsi="Times New Roman" w:cs="Times New Roman" w:hint="eastAsia"/>
                <w:color w:val="000000" w:themeColor="text1"/>
              </w:rPr>
              <w:t xml:space="preserve">CONTROL_TRAILER and the parameter CT_TYPE shall be set to CTS_DTS. If it uses SU-MIMO for </w:t>
            </w:r>
            <w:r w:rsidRPr="005F1A93">
              <w:rPr>
                <w:rFonts w:ascii="Times New Roman" w:eastAsia="Batang" w:hAnsi="Times New Roman" w:cs="Times New Roman"/>
                <w:color w:val="000000" w:themeColor="text1"/>
              </w:rPr>
              <w:t>the transmission</w:t>
            </w:r>
            <w:r w:rsidRPr="005F1A93">
              <w:rPr>
                <w:rFonts w:ascii="Times New Roman" w:eastAsia="Batang" w:hAnsi="Times New Roman" w:cs="Times New Roman" w:hint="eastAsia"/>
                <w:color w:val="000000" w:themeColor="text1"/>
              </w:rPr>
              <w:t xml:space="preserve"> in the reverse direction, the SISO/MIMO field shall be set to 1 and the SU/MU MIMO field shall be set to 0. The DMG CTS frame should be transmitted using all SU-MIMO sectors, with a </w:t>
            </w:r>
            <w:r w:rsidRPr="005F1A93">
              <w:rPr>
                <w:rFonts w:ascii="Times New Roman" w:eastAsia="Batang" w:hAnsi="Times New Roman" w:cs="Times New Roman"/>
                <w:color w:val="000000" w:themeColor="text1"/>
              </w:rPr>
              <w:t>small delay</w:t>
            </w:r>
            <w:r w:rsidRPr="005F1A93">
              <w:rPr>
                <w:rFonts w:ascii="Times New Roman" w:eastAsia="Batang" w:hAnsi="Times New Roman" w:cs="Times New Roman" w:hint="eastAsia"/>
                <w:color w:val="000000" w:themeColor="text1"/>
              </w:rPr>
              <w:t xml:space="preserve"> between each sector. The control trailer also indicates the corresponding DMG antenna configuration for the upcoming SU-MIMO transmission in the reverse direction." The CTS_DTS CT does not contain any antenna configuration information so this solution is technically incorrect.</w:t>
            </w:r>
          </w:p>
        </w:tc>
        <w:tc>
          <w:tcPr>
            <w:tcW w:w="3578" w:type="dxa"/>
          </w:tcPr>
          <w:p w:rsidR="005F1A93" w:rsidRPr="005F1A93" w:rsidRDefault="005F1A93" w:rsidP="005F1A93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5F1A93">
              <w:rPr>
                <w:rFonts w:ascii="Times New Roman" w:eastAsia="Batang" w:hAnsi="Times New Roman" w:cs="Times New Roman" w:hint="eastAsia"/>
                <w:color w:val="000000" w:themeColor="text1"/>
              </w:rPr>
              <w:t xml:space="preserve">Add antenna </w:t>
            </w:r>
            <w:proofErr w:type="spellStart"/>
            <w:r w:rsidRPr="005F1A93">
              <w:rPr>
                <w:rFonts w:ascii="Times New Roman" w:eastAsia="Batang" w:hAnsi="Times New Roman" w:cs="Times New Roman" w:hint="eastAsia"/>
                <w:color w:val="000000" w:themeColor="text1"/>
              </w:rPr>
              <w:t>configation</w:t>
            </w:r>
            <w:proofErr w:type="spellEnd"/>
            <w:r w:rsidRPr="005F1A93">
              <w:rPr>
                <w:rFonts w:ascii="Times New Roman" w:eastAsia="Batang" w:hAnsi="Times New Roman" w:cs="Times New Roman" w:hint="eastAsia"/>
                <w:color w:val="000000" w:themeColor="text1"/>
              </w:rPr>
              <w:t xml:space="preserve"> information to the CTS_DTS CT or change the CT type to RTS_CTS_CTS2Self.</w:t>
            </w:r>
          </w:p>
        </w:tc>
      </w:tr>
    </w:tbl>
    <w:p w:rsidR="006069D5" w:rsidRDefault="006069D5" w:rsidP="006069D5">
      <w:pPr>
        <w:rPr>
          <w:b/>
          <w:color w:val="000000" w:themeColor="text1"/>
          <w:szCs w:val="22"/>
          <w:lang w:val="en-US" w:eastAsia="zh-CN"/>
        </w:rPr>
      </w:pPr>
      <w:r>
        <w:rPr>
          <w:rFonts w:hint="eastAsia"/>
          <w:b/>
          <w:color w:val="000000" w:themeColor="text1"/>
          <w:szCs w:val="22"/>
          <w:lang w:val="en-US" w:eastAsia="zh-CN"/>
        </w:rPr>
        <w:t>D</w:t>
      </w:r>
      <w:r>
        <w:rPr>
          <w:b/>
          <w:color w:val="000000" w:themeColor="text1"/>
          <w:szCs w:val="22"/>
          <w:lang w:val="en-US" w:eastAsia="zh-CN"/>
        </w:rPr>
        <w:t xml:space="preserve">iscussion: </w:t>
      </w:r>
    </w:p>
    <w:p w:rsidR="006069D5" w:rsidRPr="006069D5" w:rsidRDefault="00326B7E" w:rsidP="00326B7E">
      <w:pPr>
        <w:pStyle w:val="ListParagraph"/>
        <w:numPr>
          <w:ilvl w:val="0"/>
          <w:numId w:val="29"/>
        </w:numPr>
        <w:ind w:firstLineChars="0"/>
        <w:rPr>
          <w:color w:val="000000" w:themeColor="text1"/>
          <w:szCs w:val="22"/>
          <w:lang w:val="en-US" w:eastAsia="zh-CN"/>
        </w:rPr>
      </w:pPr>
      <w:r>
        <w:rPr>
          <w:rFonts w:eastAsiaTheme="minorEastAsia"/>
          <w:color w:val="000000" w:themeColor="text1"/>
          <w:szCs w:val="22"/>
          <w:lang w:val="en-US" w:eastAsia="zh-CN"/>
        </w:rPr>
        <w:t xml:space="preserve">The antenna configuration information is already added to CTS_DTS CT as proposed in </w:t>
      </w:r>
      <w:r w:rsidRPr="00326B7E">
        <w:rPr>
          <w:rFonts w:eastAsiaTheme="minorEastAsia"/>
          <w:color w:val="000000" w:themeColor="text1"/>
          <w:szCs w:val="22"/>
          <w:lang w:val="en-US" w:eastAsia="zh-CN"/>
        </w:rPr>
        <w:t>18/0502r0</w:t>
      </w:r>
      <w:r>
        <w:rPr>
          <w:rFonts w:eastAsiaTheme="minorEastAsia"/>
          <w:color w:val="000000" w:themeColor="text1"/>
          <w:szCs w:val="22"/>
          <w:lang w:val="en-US" w:eastAsia="zh-CN"/>
        </w:rPr>
        <w:t xml:space="preserve"> that passed the motion.</w:t>
      </w:r>
    </w:p>
    <w:p w:rsidR="006069D5" w:rsidRDefault="006069D5" w:rsidP="006069D5">
      <w:pPr>
        <w:rPr>
          <w:b/>
          <w:color w:val="000000" w:themeColor="text1"/>
          <w:szCs w:val="22"/>
          <w:lang w:val="en-US" w:eastAsia="zh-CN"/>
        </w:rPr>
      </w:pPr>
    </w:p>
    <w:p w:rsidR="006069D5" w:rsidRPr="00C41092" w:rsidRDefault="006069D5" w:rsidP="006069D5">
      <w:pPr>
        <w:rPr>
          <w:color w:val="000000" w:themeColor="text1"/>
          <w:szCs w:val="22"/>
          <w:lang w:val="en-US" w:eastAsia="zh-CN"/>
        </w:rPr>
      </w:pPr>
      <w:r w:rsidRPr="00C41092">
        <w:rPr>
          <w:b/>
          <w:color w:val="000000" w:themeColor="text1"/>
          <w:szCs w:val="22"/>
          <w:lang w:val="en-US" w:eastAsia="zh-CN"/>
        </w:rPr>
        <w:t>Proposed resolution:</w:t>
      </w:r>
      <w:r w:rsidRPr="00C41092">
        <w:rPr>
          <w:color w:val="000000" w:themeColor="text1"/>
          <w:szCs w:val="22"/>
          <w:lang w:val="en-US" w:eastAsia="zh-CN"/>
        </w:rPr>
        <w:t xml:space="preserve"> </w:t>
      </w:r>
      <w:r w:rsidR="00326B7E">
        <w:rPr>
          <w:color w:val="000000" w:themeColor="text1"/>
          <w:szCs w:val="22"/>
          <w:lang w:val="en-US" w:eastAsia="zh-CN"/>
        </w:rPr>
        <w:t>Revised</w:t>
      </w:r>
    </w:p>
    <w:p w:rsidR="006069D5" w:rsidRPr="00910026" w:rsidRDefault="006069D5" w:rsidP="006069D5">
      <w:pPr>
        <w:rPr>
          <w:rFonts w:eastAsia="Batang"/>
          <w:color w:val="000000" w:themeColor="text1"/>
          <w:szCs w:val="22"/>
          <w:lang w:eastAsia="zh-CN"/>
        </w:rPr>
      </w:pPr>
    </w:p>
    <w:p w:rsidR="004F03D3" w:rsidRPr="006069D5" w:rsidRDefault="004F03D3" w:rsidP="006803D3">
      <w:pPr>
        <w:rPr>
          <w:color w:val="00B0F0"/>
          <w:u w:val="single"/>
        </w:rPr>
      </w:pPr>
    </w:p>
    <w:p w:rsidR="00E12375" w:rsidRDefault="00E12375" w:rsidP="004B566B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49"/>
        <w:gridCol w:w="3578"/>
      </w:tblGrid>
      <w:tr w:rsidR="00D236A6" w:rsidRPr="00D236A6" w:rsidTr="00083167">
        <w:trPr>
          <w:trHeight w:val="841"/>
        </w:trPr>
        <w:tc>
          <w:tcPr>
            <w:tcW w:w="663" w:type="dxa"/>
          </w:tcPr>
          <w:p w:rsidR="006069D5" w:rsidRPr="009820DC" w:rsidRDefault="006069D5" w:rsidP="00083167">
            <w:pPr>
              <w:rPr>
                <w:color w:val="000000" w:themeColor="text1"/>
              </w:rPr>
            </w:pPr>
            <w:r w:rsidRPr="009820DC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6069D5" w:rsidRPr="009820DC" w:rsidRDefault="006069D5" w:rsidP="00083167">
            <w:pPr>
              <w:rPr>
                <w:color w:val="000000" w:themeColor="text1"/>
              </w:rPr>
            </w:pPr>
            <w:r w:rsidRPr="009820DC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49" w:type="dxa"/>
          </w:tcPr>
          <w:p w:rsidR="006069D5" w:rsidRPr="009820DC" w:rsidRDefault="006069D5" w:rsidP="00083167">
            <w:pPr>
              <w:rPr>
                <w:color w:val="000000" w:themeColor="text1"/>
              </w:rPr>
            </w:pPr>
            <w:r w:rsidRPr="009820DC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8" w:type="dxa"/>
          </w:tcPr>
          <w:p w:rsidR="006069D5" w:rsidRPr="009820DC" w:rsidRDefault="006069D5" w:rsidP="00083167">
            <w:pPr>
              <w:rPr>
                <w:color w:val="000000" w:themeColor="text1"/>
              </w:rPr>
            </w:pPr>
            <w:r w:rsidRPr="009820DC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D236A6" w:rsidRPr="00D236A6" w:rsidTr="00083167">
        <w:trPr>
          <w:trHeight w:val="841"/>
        </w:trPr>
        <w:tc>
          <w:tcPr>
            <w:tcW w:w="663" w:type="dxa"/>
          </w:tcPr>
          <w:p w:rsidR="006069D5" w:rsidRPr="009820DC" w:rsidRDefault="006069D5" w:rsidP="006069D5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9820DC">
              <w:rPr>
                <w:rFonts w:ascii="Times New Roman" w:eastAsia="Batang" w:hAnsi="Times New Roman" w:cs="Times New Roman"/>
                <w:color w:val="000000" w:themeColor="text1"/>
              </w:rPr>
              <w:t>1973</w:t>
            </w:r>
          </w:p>
        </w:tc>
        <w:tc>
          <w:tcPr>
            <w:tcW w:w="1219" w:type="dxa"/>
          </w:tcPr>
          <w:p w:rsidR="006069D5" w:rsidRPr="009820DC" w:rsidRDefault="006069D5" w:rsidP="006069D5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9820DC">
              <w:rPr>
                <w:rFonts w:ascii="Times New Roman" w:eastAsia="Batang" w:hAnsi="Times New Roman" w:cs="Times New Roman"/>
                <w:color w:val="000000" w:themeColor="text1"/>
              </w:rPr>
              <w:t>9.4.2.252</w:t>
            </w:r>
          </w:p>
        </w:tc>
        <w:tc>
          <w:tcPr>
            <w:tcW w:w="3749" w:type="dxa"/>
          </w:tcPr>
          <w:p w:rsidR="006069D5" w:rsidRPr="009820DC" w:rsidRDefault="006069D5" w:rsidP="006069D5">
            <w:pPr>
              <w:rPr>
                <w:color w:val="000000" w:themeColor="text1"/>
                <w:lang w:val="en-US"/>
              </w:rPr>
            </w:pPr>
            <w:r w:rsidRPr="009820DC">
              <w:rPr>
                <w:rFonts w:hint="eastAsia"/>
                <w:color w:val="000000" w:themeColor="text1"/>
                <w:lang w:val="en-US"/>
              </w:rPr>
              <w:t>Receive Direction subfield format - the number of bits for Sector ID and DMG antenna ID are not commensurate with what is used in the rest of the spec.</w:t>
            </w:r>
          </w:p>
        </w:tc>
        <w:tc>
          <w:tcPr>
            <w:tcW w:w="3578" w:type="dxa"/>
          </w:tcPr>
          <w:p w:rsidR="006069D5" w:rsidRPr="009820DC" w:rsidRDefault="006069D5" w:rsidP="006069D5">
            <w:pPr>
              <w:rPr>
                <w:color w:val="000000" w:themeColor="text1"/>
                <w:lang w:val="en-US"/>
              </w:rPr>
            </w:pPr>
            <w:r w:rsidRPr="009820DC">
              <w:rPr>
                <w:rFonts w:hint="eastAsia"/>
                <w:color w:val="000000" w:themeColor="text1"/>
                <w:lang w:val="en-US"/>
              </w:rPr>
              <w:t>Increase number of bits for sector ID to 11 and number of bits for DMG antenna ID to 3</w:t>
            </w:r>
          </w:p>
        </w:tc>
      </w:tr>
    </w:tbl>
    <w:p w:rsidR="006069D5" w:rsidRPr="00D236A6" w:rsidRDefault="006069D5" w:rsidP="006069D5">
      <w:pPr>
        <w:rPr>
          <w:b/>
          <w:color w:val="FF0000"/>
          <w:szCs w:val="22"/>
          <w:lang w:val="en-US" w:eastAsia="zh-CN"/>
        </w:rPr>
      </w:pPr>
    </w:p>
    <w:p w:rsidR="006069D5" w:rsidRPr="00E84349" w:rsidRDefault="006069D5" w:rsidP="006069D5">
      <w:pPr>
        <w:rPr>
          <w:szCs w:val="22"/>
          <w:lang w:val="en-US" w:eastAsia="zh-CN"/>
        </w:rPr>
      </w:pPr>
      <w:r w:rsidRPr="00E84349">
        <w:rPr>
          <w:b/>
          <w:szCs w:val="22"/>
          <w:lang w:val="en-US" w:eastAsia="zh-CN"/>
        </w:rPr>
        <w:t>Proposed resolution:</w:t>
      </w:r>
      <w:r w:rsidRPr="00E84349">
        <w:rPr>
          <w:szCs w:val="22"/>
          <w:lang w:val="en-US" w:eastAsia="zh-CN"/>
        </w:rPr>
        <w:t xml:space="preserve"> </w:t>
      </w:r>
      <w:r w:rsidR="00E84349" w:rsidRPr="00E84349">
        <w:rPr>
          <w:szCs w:val="22"/>
          <w:lang w:val="en-US" w:eastAsia="zh-CN"/>
        </w:rPr>
        <w:t>Accepted</w:t>
      </w:r>
    </w:p>
    <w:p w:rsidR="002B3BC4" w:rsidRDefault="002B3BC4" w:rsidP="004B566B">
      <w:pPr>
        <w:rPr>
          <w:szCs w:val="22"/>
        </w:rPr>
      </w:pPr>
    </w:p>
    <w:p w:rsidR="002B3BC4" w:rsidRDefault="002B3BC4" w:rsidP="004B566B">
      <w:pPr>
        <w:rPr>
          <w:szCs w:val="22"/>
        </w:rPr>
      </w:pPr>
    </w:p>
    <w:p w:rsidR="002B3BC4" w:rsidRDefault="002B3BC4" w:rsidP="004B566B">
      <w:pPr>
        <w:rPr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3"/>
        <w:gridCol w:w="1219"/>
        <w:gridCol w:w="3749"/>
        <w:gridCol w:w="3578"/>
      </w:tblGrid>
      <w:tr w:rsidR="002B3BC4" w:rsidRPr="000079B8" w:rsidTr="00083167">
        <w:trPr>
          <w:trHeight w:val="841"/>
        </w:trPr>
        <w:tc>
          <w:tcPr>
            <w:tcW w:w="663" w:type="dxa"/>
          </w:tcPr>
          <w:p w:rsidR="002B3BC4" w:rsidRPr="000079B8" w:rsidRDefault="002B3BC4" w:rsidP="00083167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CID</w:t>
            </w:r>
          </w:p>
        </w:tc>
        <w:tc>
          <w:tcPr>
            <w:tcW w:w="1219" w:type="dxa"/>
          </w:tcPr>
          <w:p w:rsidR="002B3BC4" w:rsidRPr="000079B8" w:rsidRDefault="002B3BC4" w:rsidP="00083167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Clause</w:t>
            </w:r>
          </w:p>
        </w:tc>
        <w:tc>
          <w:tcPr>
            <w:tcW w:w="3749" w:type="dxa"/>
          </w:tcPr>
          <w:p w:rsidR="002B3BC4" w:rsidRPr="000079B8" w:rsidRDefault="002B3BC4" w:rsidP="00083167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Comment</w:t>
            </w:r>
          </w:p>
        </w:tc>
        <w:tc>
          <w:tcPr>
            <w:tcW w:w="3578" w:type="dxa"/>
          </w:tcPr>
          <w:p w:rsidR="002B3BC4" w:rsidRPr="000079B8" w:rsidRDefault="002B3BC4" w:rsidP="00083167">
            <w:pPr>
              <w:rPr>
                <w:color w:val="000000" w:themeColor="text1"/>
              </w:rPr>
            </w:pPr>
            <w:r w:rsidRPr="000079B8">
              <w:rPr>
                <w:rFonts w:hint="eastAsia"/>
                <w:color w:val="000000" w:themeColor="text1"/>
              </w:rPr>
              <w:t>Proposed change</w:t>
            </w:r>
          </w:p>
        </w:tc>
      </w:tr>
      <w:tr w:rsidR="002B3BC4" w:rsidRPr="00B86E0D" w:rsidTr="00083167">
        <w:trPr>
          <w:trHeight w:val="841"/>
        </w:trPr>
        <w:tc>
          <w:tcPr>
            <w:tcW w:w="663" w:type="dxa"/>
          </w:tcPr>
          <w:p w:rsidR="002B3BC4" w:rsidRPr="00F45220" w:rsidRDefault="002B3BC4" w:rsidP="002B3BC4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</w:rPr>
              <w:t>2236</w:t>
            </w:r>
          </w:p>
        </w:tc>
        <w:tc>
          <w:tcPr>
            <w:tcW w:w="1219" w:type="dxa"/>
          </w:tcPr>
          <w:p w:rsidR="002B3BC4" w:rsidRPr="00F45220" w:rsidRDefault="002B3BC4" w:rsidP="002B3BC4">
            <w:pPr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2B3BC4">
              <w:rPr>
                <w:rFonts w:ascii="Times New Roman" w:eastAsia="Batang" w:hAnsi="Times New Roman" w:cs="Times New Roman"/>
                <w:color w:val="000000" w:themeColor="text1"/>
              </w:rPr>
              <w:t>9.4.2.252</w:t>
            </w:r>
          </w:p>
        </w:tc>
        <w:tc>
          <w:tcPr>
            <w:tcW w:w="3749" w:type="dxa"/>
          </w:tcPr>
          <w:p w:rsidR="002B3BC4" w:rsidRPr="002B3BC4" w:rsidRDefault="002B3BC4" w:rsidP="002B3BC4">
            <w:pPr>
              <w:rPr>
                <w:color w:val="000000" w:themeColor="text1"/>
                <w:lang w:val="en-US"/>
              </w:rPr>
            </w:pPr>
            <w:r w:rsidRPr="002B3BC4">
              <w:rPr>
                <w:rFonts w:hint="eastAsia"/>
                <w:color w:val="000000" w:themeColor="text1"/>
                <w:lang w:val="en-US"/>
              </w:rPr>
              <w:t>Need to restrict BW and Channel Aggregation settings when Asymmetric Beamforming Training is set to 1</w:t>
            </w:r>
          </w:p>
        </w:tc>
        <w:tc>
          <w:tcPr>
            <w:tcW w:w="3578" w:type="dxa"/>
          </w:tcPr>
          <w:p w:rsidR="002B3BC4" w:rsidRPr="002B3BC4" w:rsidRDefault="002B3BC4" w:rsidP="002B3BC4">
            <w:pPr>
              <w:rPr>
                <w:color w:val="000000" w:themeColor="text1"/>
                <w:lang w:val="en-US"/>
              </w:rPr>
            </w:pPr>
            <w:r w:rsidRPr="002B3BC4">
              <w:rPr>
                <w:rFonts w:hint="eastAsia"/>
                <w:color w:val="000000" w:themeColor="text1"/>
                <w:lang w:val="en-US"/>
              </w:rPr>
              <w:t>specify that BW, Channel Aggregation, Scheduling Type subfields are reserved when Asymmetric Beamforming Training is set to 1</w:t>
            </w:r>
          </w:p>
        </w:tc>
      </w:tr>
    </w:tbl>
    <w:p w:rsidR="002B3BC4" w:rsidRDefault="002B3BC4" w:rsidP="002B3BC4">
      <w:pPr>
        <w:rPr>
          <w:b/>
          <w:color w:val="000000" w:themeColor="text1"/>
          <w:szCs w:val="22"/>
          <w:lang w:val="en-US" w:eastAsia="zh-CN"/>
        </w:rPr>
      </w:pPr>
    </w:p>
    <w:p w:rsidR="002B3BC4" w:rsidRDefault="002B3BC4" w:rsidP="002B3BC4">
      <w:pPr>
        <w:rPr>
          <w:b/>
          <w:color w:val="000000" w:themeColor="text1"/>
          <w:szCs w:val="22"/>
          <w:lang w:val="en-US" w:eastAsia="zh-CN"/>
        </w:rPr>
      </w:pPr>
      <w:r>
        <w:rPr>
          <w:rFonts w:hint="eastAsia"/>
          <w:b/>
          <w:color w:val="000000" w:themeColor="text1"/>
          <w:szCs w:val="22"/>
          <w:lang w:val="en-US" w:eastAsia="zh-CN"/>
        </w:rPr>
        <w:t>D</w:t>
      </w:r>
      <w:r>
        <w:rPr>
          <w:b/>
          <w:color w:val="000000" w:themeColor="text1"/>
          <w:szCs w:val="22"/>
          <w:lang w:val="en-US" w:eastAsia="zh-CN"/>
        </w:rPr>
        <w:t xml:space="preserve">iscussion: </w:t>
      </w:r>
    </w:p>
    <w:p w:rsidR="002B3BC4" w:rsidRPr="0011039A" w:rsidRDefault="0011039A" w:rsidP="0011039A">
      <w:pPr>
        <w:pStyle w:val="ListParagraph"/>
        <w:numPr>
          <w:ilvl w:val="0"/>
          <w:numId w:val="31"/>
        </w:numPr>
        <w:ind w:firstLineChars="0"/>
        <w:rPr>
          <w:color w:val="000000" w:themeColor="text1"/>
          <w:szCs w:val="22"/>
          <w:lang w:val="en-US" w:eastAsia="zh-CN"/>
        </w:rPr>
      </w:pPr>
      <w:r w:rsidRPr="0011039A">
        <w:rPr>
          <w:rFonts w:eastAsiaTheme="minorEastAsia" w:hint="eastAsia"/>
          <w:color w:val="000000" w:themeColor="text1"/>
          <w:szCs w:val="22"/>
          <w:lang w:val="en-US" w:eastAsia="zh-CN"/>
        </w:rPr>
        <w:t>A</w:t>
      </w:r>
      <w:r w:rsidRPr="0011039A">
        <w:rPr>
          <w:rFonts w:eastAsiaTheme="minorEastAsia"/>
          <w:color w:val="000000" w:themeColor="text1"/>
          <w:szCs w:val="22"/>
          <w:lang w:val="en-US" w:eastAsia="zh-CN"/>
        </w:rPr>
        <w:t xml:space="preserve">gree that BW and Channel Aggregation subfields should be reserved when Asymmetric Beamforming </w:t>
      </w:r>
      <w:proofErr w:type="spellStart"/>
      <w:r w:rsidRPr="0011039A">
        <w:rPr>
          <w:rFonts w:eastAsiaTheme="minorEastAsia"/>
          <w:color w:val="000000" w:themeColor="text1"/>
          <w:szCs w:val="22"/>
          <w:lang w:val="en-US" w:eastAsia="zh-CN"/>
        </w:rPr>
        <w:t>Traing</w:t>
      </w:r>
      <w:proofErr w:type="spellEnd"/>
      <w:r w:rsidRPr="0011039A">
        <w:rPr>
          <w:rFonts w:eastAsiaTheme="minorEastAsia"/>
          <w:color w:val="000000" w:themeColor="text1"/>
          <w:szCs w:val="22"/>
          <w:lang w:val="en-US" w:eastAsia="zh-CN"/>
        </w:rPr>
        <w:t xml:space="preserve"> is set to 1, because asymmetric beamforming is basically used to establish a control PHY link between two STAs. After this control PHY link is established, they can proceed to communication in</w:t>
      </w:r>
      <w:r w:rsidR="00E84349">
        <w:rPr>
          <w:rFonts w:eastAsiaTheme="minorEastAsia"/>
          <w:color w:val="000000" w:themeColor="text1"/>
          <w:szCs w:val="22"/>
          <w:lang w:val="en-US" w:eastAsia="zh-CN"/>
        </w:rPr>
        <w:t xml:space="preserve"> a</w:t>
      </w:r>
      <w:r w:rsidRPr="0011039A">
        <w:rPr>
          <w:rFonts w:eastAsiaTheme="minorEastAsia"/>
          <w:color w:val="000000" w:themeColor="text1"/>
          <w:szCs w:val="22"/>
          <w:lang w:val="en-US" w:eastAsia="zh-CN"/>
        </w:rPr>
        <w:t xml:space="preserve"> bonded or </w:t>
      </w:r>
      <w:r w:rsidR="00E84349">
        <w:rPr>
          <w:rFonts w:eastAsiaTheme="minorEastAsia"/>
          <w:color w:val="000000" w:themeColor="text1"/>
          <w:szCs w:val="22"/>
          <w:lang w:val="en-US" w:eastAsia="zh-CN"/>
        </w:rPr>
        <w:t>an aggregated channel</w:t>
      </w:r>
      <w:r w:rsidRPr="0011039A">
        <w:rPr>
          <w:rFonts w:eastAsiaTheme="minorEastAsia"/>
          <w:color w:val="000000" w:themeColor="text1"/>
          <w:szCs w:val="22"/>
          <w:lang w:val="en-US" w:eastAsia="zh-CN"/>
        </w:rPr>
        <w:t>.</w:t>
      </w:r>
    </w:p>
    <w:p w:rsidR="0011039A" w:rsidRPr="0011039A" w:rsidRDefault="0011039A" w:rsidP="0011039A">
      <w:pPr>
        <w:pStyle w:val="ListParagraph"/>
        <w:numPr>
          <w:ilvl w:val="0"/>
          <w:numId w:val="31"/>
        </w:numPr>
        <w:ind w:firstLineChars="0"/>
        <w:rPr>
          <w:color w:val="000000" w:themeColor="text1"/>
          <w:szCs w:val="22"/>
          <w:lang w:val="en-US" w:eastAsia="zh-CN"/>
        </w:rPr>
      </w:pPr>
      <w:r w:rsidRPr="0011039A">
        <w:rPr>
          <w:rFonts w:eastAsiaTheme="minorEastAsia"/>
          <w:color w:val="000000" w:themeColor="text1"/>
          <w:szCs w:val="22"/>
          <w:lang w:val="en-US" w:eastAsia="zh-CN"/>
        </w:rPr>
        <w:t xml:space="preserve">The Asymmetric Beamforming Training subfield is only present when Scheduling Type field is set to 1. </w:t>
      </w:r>
      <w:r w:rsidR="00E84349">
        <w:rPr>
          <w:rFonts w:eastAsiaTheme="minorEastAsia"/>
          <w:color w:val="000000" w:themeColor="text1"/>
          <w:szCs w:val="22"/>
          <w:lang w:val="en-US" w:eastAsia="zh-CN"/>
        </w:rPr>
        <w:t>As a result, when Asymmetric Beamforming Training subfield is set to 1, it means the Scheduling Type field can only be set to 1.</w:t>
      </w:r>
    </w:p>
    <w:p w:rsidR="0011039A" w:rsidRDefault="0011039A" w:rsidP="002B3BC4">
      <w:pPr>
        <w:rPr>
          <w:b/>
          <w:color w:val="000000" w:themeColor="text1"/>
          <w:szCs w:val="22"/>
          <w:lang w:val="en-US" w:eastAsia="zh-CN"/>
        </w:rPr>
      </w:pPr>
    </w:p>
    <w:p w:rsidR="002B3BC4" w:rsidRPr="00C41092" w:rsidRDefault="002B3BC4" w:rsidP="002B3BC4">
      <w:pPr>
        <w:rPr>
          <w:color w:val="000000" w:themeColor="text1"/>
          <w:szCs w:val="22"/>
          <w:lang w:val="en-US" w:eastAsia="zh-CN"/>
        </w:rPr>
      </w:pPr>
      <w:r w:rsidRPr="00C41092">
        <w:rPr>
          <w:b/>
          <w:color w:val="000000" w:themeColor="text1"/>
          <w:szCs w:val="22"/>
          <w:lang w:val="en-US" w:eastAsia="zh-CN"/>
        </w:rPr>
        <w:t>Proposed resolution:</w:t>
      </w:r>
      <w:r w:rsidRPr="00C41092">
        <w:rPr>
          <w:color w:val="000000" w:themeColor="text1"/>
          <w:szCs w:val="22"/>
          <w:lang w:val="en-US" w:eastAsia="zh-CN"/>
        </w:rPr>
        <w:t xml:space="preserve"> </w:t>
      </w:r>
      <w:r w:rsidR="00E84349">
        <w:rPr>
          <w:color w:val="000000" w:themeColor="text1"/>
          <w:szCs w:val="22"/>
          <w:lang w:val="en-US" w:eastAsia="zh-CN"/>
        </w:rPr>
        <w:t>Revised</w:t>
      </w:r>
    </w:p>
    <w:p w:rsidR="002B3BC4" w:rsidRDefault="002B3BC4" w:rsidP="004B566B">
      <w:pPr>
        <w:rPr>
          <w:szCs w:val="22"/>
        </w:rPr>
      </w:pPr>
    </w:p>
    <w:p w:rsidR="002B3BC4" w:rsidRDefault="00E84349" w:rsidP="004B566B">
      <w:pPr>
        <w:rPr>
          <w:i/>
          <w:szCs w:val="22"/>
          <w:lang w:eastAsia="zh-CN"/>
        </w:rPr>
      </w:pPr>
      <w:r>
        <w:rPr>
          <w:rFonts w:hint="eastAsia"/>
          <w:i/>
          <w:szCs w:val="22"/>
          <w:lang w:eastAsia="zh-CN"/>
        </w:rPr>
        <w:t>I</w:t>
      </w:r>
      <w:r>
        <w:rPr>
          <w:i/>
          <w:szCs w:val="22"/>
          <w:lang w:eastAsia="zh-CN"/>
        </w:rPr>
        <w:t xml:space="preserve">nsert the following paragraph after Figure </w:t>
      </w:r>
      <w:r w:rsidR="0023026E">
        <w:rPr>
          <w:i/>
          <w:szCs w:val="22"/>
          <w:lang w:eastAsia="zh-CN"/>
        </w:rPr>
        <w:t>60 in D1.3</w:t>
      </w:r>
    </w:p>
    <w:p w:rsidR="00E84349" w:rsidRPr="00E84349" w:rsidRDefault="00E84349" w:rsidP="004B566B">
      <w:pPr>
        <w:rPr>
          <w:i/>
          <w:color w:val="FF0000"/>
          <w:szCs w:val="22"/>
          <w:u w:val="single"/>
          <w:lang w:eastAsia="zh-CN"/>
        </w:rPr>
      </w:pPr>
      <w:r w:rsidRPr="00E84349">
        <w:rPr>
          <w:color w:val="FF0000"/>
          <w:sz w:val="20"/>
          <w:u w:val="single"/>
        </w:rPr>
        <w:t xml:space="preserve">The Channel Aggregation and BW subfields are defined in Table </w:t>
      </w:r>
      <w:r w:rsidR="0023026E">
        <w:rPr>
          <w:color w:val="FF0000"/>
          <w:sz w:val="20"/>
          <w:u w:val="single"/>
        </w:rPr>
        <w:t>50</w:t>
      </w:r>
      <w:r w:rsidRPr="00E84349">
        <w:rPr>
          <w:color w:val="FF0000"/>
          <w:sz w:val="20"/>
          <w:u w:val="single"/>
        </w:rPr>
        <w:t>. These fields specify the channel(s) over which the allocation is scheduled on.</w:t>
      </w:r>
      <w:r>
        <w:rPr>
          <w:color w:val="FF0000"/>
          <w:sz w:val="20"/>
          <w:u w:val="single"/>
        </w:rPr>
        <w:t xml:space="preserve"> The Channel Aggregation and BW subfields are reserved when the Asymmetric Beamforming Training subfield is set to 1.</w:t>
      </w:r>
    </w:p>
    <w:p w:rsidR="002B3BC4" w:rsidRDefault="002B3BC4" w:rsidP="004B566B">
      <w:pPr>
        <w:rPr>
          <w:szCs w:val="22"/>
        </w:rPr>
      </w:pPr>
    </w:p>
    <w:p w:rsidR="00E84349" w:rsidRDefault="00E84349" w:rsidP="004B566B">
      <w:pPr>
        <w:rPr>
          <w:szCs w:val="22"/>
        </w:rPr>
      </w:pPr>
    </w:p>
    <w:p w:rsidR="00E84349" w:rsidRPr="00146351" w:rsidRDefault="00E84349" w:rsidP="004B566B">
      <w:pPr>
        <w:rPr>
          <w:szCs w:val="22"/>
        </w:rPr>
      </w:pPr>
    </w:p>
    <w:p w:rsidR="00090D80" w:rsidRPr="00146351" w:rsidRDefault="00090D80" w:rsidP="00090D80">
      <w:pPr>
        <w:pStyle w:val="IEEEStdsParagraph"/>
        <w:tabs>
          <w:tab w:val="left" w:pos="1260"/>
        </w:tabs>
        <w:jc w:val="left"/>
        <w:rPr>
          <w:b/>
          <w:sz w:val="22"/>
          <w:szCs w:val="22"/>
        </w:rPr>
      </w:pPr>
      <w:r w:rsidRPr="00146351">
        <w:rPr>
          <w:b/>
          <w:sz w:val="22"/>
          <w:szCs w:val="22"/>
        </w:rPr>
        <w:t>Straw Poll:</w:t>
      </w:r>
    </w:p>
    <w:p w:rsidR="00CA09B2" w:rsidRPr="00E84349" w:rsidRDefault="00090D80" w:rsidP="004B566B">
      <w:pPr>
        <w:pStyle w:val="ListParagraph"/>
        <w:numPr>
          <w:ilvl w:val="0"/>
          <w:numId w:val="4"/>
        </w:numPr>
        <w:ind w:firstLineChars="0"/>
        <w:contextualSpacing/>
        <w:rPr>
          <w:szCs w:val="22"/>
          <w:lang w:val="en-US" w:eastAsia="ja-JP"/>
        </w:rPr>
      </w:pPr>
      <w:r w:rsidRPr="00146351">
        <w:rPr>
          <w:b/>
          <w:bCs/>
          <w:szCs w:val="22"/>
          <w:lang w:val="en-US" w:eastAsia="ja-JP"/>
        </w:rPr>
        <w:t>D</w:t>
      </w:r>
      <w:r w:rsidRPr="00146351">
        <w:rPr>
          <w:b/>
          <w:bCs/>
          <w:szCs w:val="22"/>
        </w:rPr>
        <w:t xml:space="preserve">o you agree </w:t>
      </w:r>
      <w:r w:rsidRPr="00146351">
        <w:rPr>
          <w:b/>
          <w:bCs/>
          <w:szCs w:val="22"/>
          <w:lang w:eastAsia="ja-JP"/>
        </w:rPr>
        <w:t xml:space="preserve">to accept comment resolutions as proposed in doc </w:t>
      </w:r>
      <w:r w:rsidR="00B80F99" w:rsidRPr="00146351">
        <w:rPr>
          <w:b/>
          <w:bCs/>
          <w:szCs w:val="22"/>
          <w:lang w:val="en-US" w:eastAsia="ja-JP"/>
        </w:rPr>
        <w:t>11-1</w:t>
      </w:r>
      <w:r w:rsidR="007B6BA8" w:rsidRPr="00146351">
        <w:rPr>
          <w:b/>
          <w:bCs/>
          <w:szCs w:val="22"/>
          <w:lang w:val="en-US" w:eastAsia="ja-JP"/>
        </w:rPr>
        <w:t>8</w:t>
      </w:r>
      <w:r w:rsidR="00B80F99" w:rsidRPr="00146351">
        <w:rPr>
          <w:b/>
          <w:bCs/>
          <w:szCs w:val="22"/>
          <w:lang w:val="en-US" w:eastAsia="ja-JP"/>
        </w:rPr>
        <w:t>/</w:t>
      </w:r>
      <w:r w:rsidR="00DA1EA7">
        <w:rPr>
          <w:b/>
          <w:bCs/>
          <w:szCs w:val="22"/>
          <w:lang w:val="en-US" w:eastAsia="ja-JP"/>
        </w:rPr>
        <w:t>1108</w:t>
      </w:r>
      <w:r w:rsidR="00326B7E">
        <w:rPr>
          <w:b/>
          <w:bCs/>
          <w:szCs w:val="22"/>
          <w:lang w:val="en-US" w:eastAsia="ja-JP"/>
        </w:rPr>
        <w:t>r1</w:t>
      </w:r>
      <w:r w:rsidRPr="00146351">
        <w:rPr>
          <w:b/>
          <w:bCs/>
          <w:szCs w:val="22"/>
          <w:lang w:val="en-US" w:eastAsia="ja-JP"/>
        </w:rPr>
        <w:t>?</w:t>
      </w:r>
    </w:p>
    <w:sectPr w:rsidR="00CA09B2" w:rsidRPr="00E84349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019" w:rsidRDefault="00E93019">
      <w:r>
        <w:separator/>
      </w:r>
    </w:p>
  </w:endnote>
  <w:endnote w:type="continuationSeparator" w:id="0">
    <w:p w:rsidR="00E93019" w:rsidRDefault="00E9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93" w:rsidRDefault="0027297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E0793">
        <w:t>Submission</w:t>
      </w:r>
    </w:fldSimple>
    <w:r w:rsidR="000E0793">
      <w:tab/>
      <w:t xml:space="preserve">page </w:t>
    </w:r>
    <w:r w:rsidR="000E0793">
      <w:fldChar w:fldCharType="begin"/>
    </w:r>
    <w:r w:rsidR="000E0793">
      <w:instrText xml:space="preserve">page </w:instrText>
    </w:r>
    <w:r w:rsidR="000E0793">
      <w:fldChar w:fldCharType="separate"/>
    </w:r>
    <w:r w:rsidR="008B677F">
      <w:rPr>
        <w:noProof/>
      </w:rPr>
      <w:t>4</w:t>
    </w:r>
    <w:r w:rsidR="000E0793">
      <w:fldChar w:fldCharType="end"/>
    </w:r>
    <w:r w:rsidR="000E0793">
      <w:tab/>
    </w:r>
    <w:fldSimple w:instr=" COMMENTS  \* MERGEFORMAT ">
      <w:r w:rsidR="000E0793">
        <w:t>Cheng Chen, Intel</w:t>
      </w:r>
    </w:fldSimple>
  </w:p>
  <w:p w:rsidR="000E0793" w:rsidRDefault="000E07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019" w:rsidRDefault="00E93019">
      <w:r>
        <w:separator/>
      </w:r>
    </w:p>
  </w:footnote>
  <w:footnote w:type="continuationSeparator" w:id="0">
    <w:p w:rsidR="00E93019" w:rsidRDefault="00E93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93" w:rsidRDefault="0027297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B677F">
        <w:t>July 2018</w:t>
      </w:r>
    </w:fldSimple>
    <w:r w:rsidR="000E0793">
      <w:tab/>
    </w:r>
    <w:r w:rsidR="000E0793">
      <w:tab/>
    </w:r>
    <w:fldSimple w:instr=" TITLE  \* MERGEFORMAT ">
      <w:r w:rsidR="008B677F">
        <w:t>doc.: IEEE 802.11-18/1108r1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68EF"/>
    <w:multiLevelType w:val="hybridMultilevel"/>
    <w:tmpl w:val="1B70F1AC"/>
    <w:lvl w:ilvl="0" w:tplc="B99C2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1F1074"/>
    <w:multiLevelType w:val="hybridMultilevel"/>
    <w:tmpl w:val="2E9EC530"/>
    <w:lvl w:ilvl="0" w:tplc="6C100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DB3B3A"/>
    <w:multiLevelType w:val="hybridMultilevel"/>
    <w:tmpl w:val="7398FCE6"/>
    <w:lvl w:ilvl="0" w:tplc="A45E2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164E21"/>
    <w:multiLevelType w:val="hybridMultilevel"/>
    <w:tmpl w:val="C0B43394"/>
    <w:lvl w:ilvl="0" w:tplc="9D44D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596DB5"/>
    <w:multiLevelType w:val="hybridMultilevel"/>
    <w:tmpl w:val="65107C22"/>
    <w:lvl w:ilvl="0" w:tplc="6D802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0D4944"/>
    <w:multiLevelType w:val="hybridMultilevel"/>
    <w:tmpl w:val="65643680"/>
    <w:lvl w:ilvl="0" w:tplc="74846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916715"/>
    <w:multiLevelType w:val="hybridMultilevel"/>
    <w:tmpl w:val="028400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15281"/>
    <w:multiLevelType w:val="hybridMultilevel"/>
    <w:tmpl w:val="1CA66D26"/>
    <w:lvl w:ilvl="0" w:tplc="1D5E1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634BAC"/>
    <w:multiLevelType w:val="hybridMultilevel"/>
    <w:tmpl w:val="BC5EEB8E"/>
    <w:lvl w:ilvl="0" w:tplc="C6682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13E04A1"/>
    <w:multiLevelType w:val="hybridMultilevel"/>
    <w:tmpl w:val="EDBE29DE"/>
    <w:lvl w:ilvl="0" w:tplc="D750C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3506C2"/>
    <w:multiLevelType w:val="hybridMultilevel"/>
    <w:tmpl w:val="049A0B54"/>
    <w:lvl w:ilvl="0" w:tplc="CCC2E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8E1C8F"/>
    <w:multiLevelType w:val="hybridMultilevel"/>
    <w:tmpl w:val="CB7C11F4"/>
    <w:lvl w:ilvl="0" w:tplc="76B2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6D596A"/>
    <w:multiLevelType w:val="hybridMultilevel"/>
    <w:tmpl w:val="A22280BA"/>
    <w:lvl w:ilvl="0" w:tplc="3E606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3310AB"/>
    <w:multiLevelType w:val="hybridMultilevel"/>
    <w:tmpl w:val="A0EC200E"/>
    <w:lvl w:ilvl="0" w:tplc="49387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CF62129"/>
    <w:multiLevelType w:val="hybridMultilevel"/>
    <w:tmpl w:val="C810BD70"/>
    <w:lvl w:ilvl="0" w:tplc="82381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954396"/>
    <w:multiLevelType w:val="hybridMultilevel"/>
    <w:tmpl w:val="B42A1E8C"/>
    <w:lvl w:ilvl="0" w:tplc="BA26E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C448EB"/>
    <w:multiLevelType w:val="hybridMultilevel"/>
    <w:tmpl w:val="D316A990"/>
    <w:lvl w:ilvl="0" w:tplc="DDA6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692311B"/>
    <w:multiLevelType w:val="hybridMultilevel"/>
    <w:tmpl w:val="20A227EE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107856"/>
    <w:multiLevelType w:val="hybridMultilevel"/>
    <w:tmpl w:val="C82842E0"/>
    <w:lvl w:ilvl="0" w:tplc="F09AF7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1D13104"/>
    <w:multiLevelType w:val="hybridMultilevel"/>
    <w:tmpl w:val="20A8259A"/>
    <w:lvl w:ilvl="0" w:tplc="A36CD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7EA16FC"/>
    <w:multiLevelType w:val="hybridMultilevel"/>
    <w:tmpl w:val="B304355A"/>
    <w:lvl w:ilvl="0" w:tplc="C674E9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06D1FE4"/>
    <w:multiLevelType w:val="hybridMultilevel"/>
    <w:tmpl w:val="59FA694A"/>
    <w:lvl w:ilvl="0" w:tplc="EE84D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22110C4"/>
    <w:multiLevelType w:val="hybridMultilevel"/>
    <w:tmpl w:val="89FE389A"/>
    <w:lvl w:ilvl="0" w:tplc="FF32AD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2BA5E97"/>
    <w:multiLevelType w:val="hybridMultilevel"/>
    <w:tmpl w:val="204C8ADC"/>
    <w:lvl w:ilvl="0" w:tplc="20EEC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3E94D58"/>
    <w:multiLevelType w:val="hybridMultilevel"/>
    <w:tmpl w:val="440ABC8C"/>
    <w:lvl w:ilvl="0" w:tplc="C410466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A3B4796"/>
    <w:multiLevelType w:val="hybridMultilevel"/>
    <w:tmpl w:val="15BE9332"/>
    <w:lvl w:ilvl="0" w:tplc="B4E678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9CB5D93"/>
    <w:multiLevelType w:val="hybridMultilevel"/>
    <w:tmpl w:val="7EB6A69A"/>
    <w:lvl w:ilvl="0" w:tplc="BDC0F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CE32047"/>
    <w:multiLevelType w:val="hybridMultilevel"/>
    <w:tmpl w:val="DCC05E80"/>
    <w:lvl w:ilvl="0" w:tplc="33466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E632C4F"/>
    <w:multiLevelType w:val="hybridMultilevel"/>
    <w:tmpl w:val="8CF0660C"/>
    <w:lvl w:ilvl="0" w:tplc="245C4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FC94F62"/>
    <w:multiLevelType w:val="hybridMultilevel"/>
    <w:tmpl w:val="D7CE9390"/>
    <w:lvl w:ilvl="0" w:tplc="60062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6090DE6"/>
    <w:multiLevelType w:val="hybridMultilevel"/>
    <w:tmpl w:val="9A8A4A78"/>
    <w:lvl w:ilvl="0" w:tplc="D3A0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F9F56D3"/>
    <w:multiLevelType w:val="hybridMultilevel"/>
    <w:tmpl w:val="2C3AF460"/>
    <w:lvl w:ilvl="0" w:tplc="6A908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24"/>
  </w:num>
  <w:num w:numId="3">
    <w:abstractNumId w:val="31"/>
  </w:num>
  <w:num w:numId="4">
    <w:abstractNumId w:val="25"/>
  </w:num>
  <w:num w:numId="5">
    <w:abstractNumId w:val="12"/>
  </w:num>
  <w:num w:numId="6">
    <w:abstractNumId w:val="17"/>
  </w:num>
  <w:num w:numId="7">
    <w:abstractNumId w:val="13"/>
  </w:num>
  <w:num w:numId="8">
    <w:abstractNumId w:val="5"/>
  </w:num>
  <w:num w:numId="9">
    <w:abstractNumId w:val="27"/>
  </w:num>
  <w:num w:numId="10">
    <w:abstractNumId w:val="15"/>
  </w:num>
  <w:num w:numId="11">
    <w:abstractNumId w:val="16"/>
  </w:num>
  <w:num w:numId="12">
    <w:abstractNumId w:val="4"/>
  </w:num>
  <w:num w:numId="13">
    <w:abstractNumId w:val="21"/>
  </w:num>
  <w:num w:numId="14">
    <w:abstractNumId w:val="11"/>
  </w:num>
  <w:num w:numId="15">
    <w:abstractNumId w:val="19"/>
  </w:num>
  <w:num w:numId="16">
    <w:abstractNumId w:val="0"/>
  </w:num>
  <w:num w:numId="17">
    <w:abstractNumId w:val="2"/>
  </w:num>
  <w:num w:numId="18">
    <w:abstractNumId w:val="1"/>
  </w:num>
  <w:num w:numId="19">
    <w:abstractNumId w:val="28"/>
  </w:num>
  <w:num w:numId="20">
    <w:abstractNumId w:val="14"/>
  </w:num>
  <w:num w:numId="21">
    <w:abstractNumId w:val="20"/>
  </w:num>
  <w:num w:numId="22">
    <w:abstractNumId w:val="18"/>
  </w:num>
  <w:num w:numId="23">
    <w:abstractNumId w:val="7"/>
  </w:num>
  <w:num w:numId="24">
    <w:abstractNumId w:val="8"/>
  </w:num>
  <w:num w:numId="25">
    <w:abstractNumId w:val="3"/>
  </w:num>
  <w:num w:numId="26">
    <w:abstractNumId w:val="32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0"/>
  </w:num>
  <w:num w:numId="31">
    <w:abstractNumId w:val="9"/>
  </w:num>
  <w:num w:numId="32">
    <w:abstractNumId w:val="22"/>
  </w:num>
  <w:num w:numId="33">
    <w:abstractNumId w:val="2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0F8E"/>
    <w:rsid w:val="000302DB"/>
    <w:rsid w:val="00057546"/>
    <w:rsid w:val="00064C75"/>
    <w:rsid w:val="000771C7"/>
    <w:rsid w:val="00090D80"/>
    <w:rsid w:val="0009459F"/>
    <w:rsid w:val="000C02E5"/>
    <w:rsid w:val="000D5D7B"/>
    <w:rsid w:val="000E0793"/>
    <w:rsid w:val="000E307E"/>
    <w:rsid w:val="000F181D"/>
    <w:rsid w:val="0011039A"/>
    <w:rsid w:val="00112C74"/>
    <w:rsid w:val="0011783C"/>
    <w:rsid w:val="00146351"/>
    <w:rsid w:val="00157F26"/>
    <w:rsid w:val="00166474"/>
    <w:rsid w:val="0019196C"/>
    <w:rsid w:val="001B602B"/>
    <w:rsid w:val="001D723B"/>
    <w:rsid w:val="001E0947"/>
    <w:rsid w:val="001E3A3B"/>
    <w:rsid w:val="002150CB"/>
    <w:rsid w:val="00222A64"/>
    <w:rsid w:val="0023026E"/>
    <w:rsid w:val="00237E2A"/>
    <w:rsid w:val="0024723F"/>
    <w:rsid w:val="00255DA9"/>
    <w:rsid w:val="00261D7D"/>
    <w:rsid w:val="00261F02"/>
    <w:rsid w:val="00264552"/>
    <w:rsid w:val="00264ECD"/>
    <w:rsid w:val="00272977"/>
    <w:rsid w:val="00272BD4"/>
    <w:rsid w:val="002860A5"/>
    <w:rsid w:val="0029020B"/>
    <w:rsid w:val="00290927"/>
    <w:rsid w:val="002B3BC4"/>
    <w:rsid w:val="002C033F"/>
    <w:rsid w:val="002C0800"/>
    <w:rsid w:val="002D3CCB"/>
    <w:rsid w:val="002D44BE"/>
    <w:rsid w:val="00312431"/>
    <w:rsid w:val="0032234B"/>
    <w:rsid w:val="00326B7E"/>
    <w:rsid w:val="00343E67"/>
    <w:rsid w:val="00385E90"/>
    <w:rsid w:val="003A2D2E"/>
    <w:rsid w:val="003A3DAA"/>
    <w:rsid w:val="003B6894"/>
    <w:rsid w:val="003C5D0D"/>
    <w:rsid w:val="003D26C5"/>
    <w:rsid w:val="00442037"/>
    <w:rsid w:val="00452B17"/>
    <w:rsid w:val="004B064B"/>
    <w:rsid w:val="004B566B"/>
    <w:rsid w:val="004C36F4"/>
    <w:rsid w:val="004D4B32"/>
    <w:rsid w:val="004E1F55"/>
    <w:rsid w:val="004F03D3"/>
    <w:rsid w:val="004F6888"/>
    <w:rsid w:val="00507A3E"/>
    <w:rsid w:val="005115B4"/>
    <w:rsid w:val="00564670"/>
    <w:rsid w:val="005856AD"/>
    <w:rsid w:val="005869AF"/>
    <w:rsid w:val="005C0881"/>
    <w:rsid w:val="005D0B43"/>
    <w:rsid w:val="005E688B"/>
    <w:rsid w:val="005F1A93"/>
    <w:rsid w:val="005F5F86"/>
    <w:rsid w:val="006015AF"/>
    <w:rsid w:val="006069D5"/>
    <w:rsid w:val="0062440B"/>
    <w:rsid w:val="00626B9F"/>
    <w:rsid w:val="00650133"/>
    <w:rsid w:val="00663776"/>
    <w:rsid w:val="006656FD"/>
    <w:rsid w:val="006803D3"/>
    <w:rsid w:val="006A5A9A"/>
    <w:rsid w:val="006B5BE1"/>
    <w:rsid w:val="006C0727"/>
    <w:rsid w:val="006C29EF"/>
    <w:rsid w:val="006D42B4"/>
    <w:rsid w:val="006E145F"/>
    <w:rsid w:val="006E4E87"/>
    <w:rsid w:val="006F0A92"/>
    <w:rsid w:val="00701DD6"/>
    <w:rsid w:val="00704F88"/>
    <w:rsid w:val="00722F0E"/>
    <w:rsid w:val="00741991"/>
    <w:rsid w:val="007419FA"/>
    <w:rsid w:val="00770572"/>
    <w:rsid w:val="00774F4C"/>
    <w:rsid w:val="0078286B"/>
    <w:rsid w:val="00783C21"/>
    <w:rsid w:val="007860D8"/>
    <w:rsid w:val="00790978"/>
    <w:rsid w:val="007B6BA8"/>
    <w:rsid w:val="007C5F57"/>
    <w:rsid w:val="007E1075"/>
    <w:rsid w:val="007F1238"/>
    <w:rsid w:val="00816EE0"/>
    <w:rsid w:val="00843A5A"/>
    <w:rsid w:val="00866190"/>
    <w:rsid w:val="00880ED4"/>
    <w:rsid w:val="008B0301"/>
    <w:rsid w:val="008B3A42"/>
    <w:rsid w:val="008B677F"/>
    <w:rsid w:val="008E4DDC"/>
    <w:rsid w:val="0090175B"/>
    <w:rsid w:val="0090477F"/>
    <w:rsid w:val="00905C9D"/>
    <w:rsid w:val="00910026"/>
    <w:rsid w:val="00913CDB"/>
    <w:rsid w:val="00920659"/>
    <w:rsid w:val="00940267"/>
    <w:rsid w:val="00950BBA"/>
    <w:rsid w:val="00961B54"/>
    <w:rsid w:val="00972CA7"/>
    <w:rsid w:val="00974C79"/>
    <w:rsid w:val="00976936"/>
    <w:rsid w:val="00977994"/>
    <w:rsid w:val="009820DC"/>
    <w:rsid w:val="009E5586"/>
    <w:rsid w:val="009F1274"/>
    <w:rsid w:val="009F2FBC"/>
    <w:rsid w:val="00A02C1F"/>
    <w:rsid w:val="00A04416"/>
    <w:rsid w:val="00A13F86"/>
    <w:rsid w:val="00A259B6"/>
    <w:rsid w:val="00A41C2D"/>
    <w:rsid w:val="00A62766"/>
    <w:rsid w:val="00A660C6"/>
    <w:rsid w:val="00A724DB"/>
    <w:rsid w:val="00A77C26"/>
    <w:rsid w:val="00A83CAD"/>
    <w:rsid w:val="00A927A2"/>
    <w:rsid w:val="00A9392C"/>
    <w:rsid w:val="00AA2A80"/>
    <w:rsid w:val="00AA2B41"/>
    <w:rsid w:val="00AA427C"/>
    <w:rsid w:val="00AB2953"/>
    <w:rsid w:val="00AD7C3D"/>
    <w:rsid w:val="00B10572"/>
    <w:rsid w:val="00B126F0"/>
    <w:rsid w:val="00B80F99"/>
    <w:rsid w:val="00B86E0D"/>
    <w:rsid w:val="00B9376F"/>
    <w:rsid w:val="00BB63B3"/>
    <w:rsid w:val="00BC3B91"/>
    <w:rsid w:val="00BE68C2"/>
    <w:rsid w:val="00C22CB7"/>
    <w:rsid w:val="00C315EC"/>
    <w:rsid w:val="00C32B22"/>
    <w:rsid w:val="00C41092"/>
    <w:rsid w:val="00C415B3"/>
    <w:rsid w:val="00C86428"/>
    <w:rsid w:val="00C92E72"/>
    <w:rsid w:val="00CA01B1"/>
    <w:rsid w:val="00CA09B2"/>
    <w:rsid w:val="00CB0E04"/>
    <w:rsid w:val="00CE1D26"/>
    <w:rsid w:val="00CE6CEA"/>
    <w:rsid w:val="00D236A6"/>
    <w:rsid w:val="00D36595"/>
    <w:rsid w:val="00D43CD3"/>
    <w:rsid w:val="00D63051"/>
    <w:rsid w:val="00DA1EA7"/>
    <w:rsid w:val="00DC5A7B"/>
    <w:rsid w:val="00DC6A98"/>
    <w:rsid w:val="00DD3530"/>
    <w:rsid w:val="00E00611"/>
    <w:rsid w:val="00E12375"/>
    <w:rsid w:val="00E84349"/>
    <w:rsid w:val="00E93019"/>
    <w:rsid w:val="00EC02CD"/>
    <w:rsid w:val="00EC3CF2"/>
    <w:rsid w:val="00EE13C0"/>
    <w:rsid w:val="00F45220"/>
    <w:rsid w:val="00F66037"/>
    <w:rsid w:val="00F67E6F"/>
    <w:rsid w:val="00F70CAC"/>
    <w:rsid w:val="00F71EF0"/>
    <w:rsid w:val="00F96808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4B566B"/>
    <w:rPr>
      <w:rFonts w:asciiTheme="minorHAnsi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TableData-Center">
    <w:name w:val="IEEEStds Table Data - Center"/>
    <w:basedOn w:val="Normal"/>
    <w:rsid w:val="004B566B"/>
    <w:pPr>
      <w:keepNext/>
      <w:keepLines/>
      <w:jc w:val="center"/>
    </w:pPr>
    <w:rPr>
      <w:sz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4B566B"/>
    <w:pPr>
      <w:ind w:firstLineChars="200" w:firstLine="420"/>
    </w:pPr>
    <w:rPr>
      <w:rFonts w:eastAsia="Batang"/>
    </w:rPr>
  </w:style>
  <w:style w:type="paragraph" w:customStyle="1" w:styleId="IEEEStdsParagraph">
    <w:name w:val="IEEEStds Paragraph"/>
    <w:link w:val="IEEEStdsParagraphChar"/>
    <w:rsid w:val="004B566B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4B566B"/>
    <w:rPr>
      <w:lang w:eastAsia="ja-JP"/>
    </w:rPr>
  </w:style>
  <w:style w:type="paragraph" w:customStyle="1" w:styleId="Default">
    <w:name w:val="Default"/>
    <w:rsid w:val="00A927A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E4E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4E87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10437</TotalTime>
  <Pages>4</Pages>
  <Words>889</Words>
  <Characters>4782</Characters>
  <Application>Microsoft Office Word</Application>
  <DocSecurity>0</DocSecurity>
  <Lines>220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802.11-18/1108r1</vt:lpstr>
    </vt:vector>
  </TitlesOfParts>
  <Company>Some Company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802.11-18/1108r1</dc:title>
  <dc:subject>Submission</dc:subject>
  <dc:creator>cheng.chen@intel.com</dc:creator>
  <cp:keywords>July 2018, CTPClassification=CTP_NT</cp:keywords>
  <dc:description>Cheng Chen, Intel</dc:description>
  <cp:lastModifiedBy>Chen, Cheng</cp:lastModifiedBy>
  <cp:revision>66</cp:revision>
  <cp:lastPrinted>2017-02-23T01:37:00Z</cp:lastPrinted>
  <dcterms:created xsi:type="dcterms:W3CDTF">2017-02-23T01:37:00Z</dcterms:created>
  <dcterms:modified xsi:type="dcterms:W3CDTF">2018-07-09T21:57:00Z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085ec4c6-dfb4-44b3-803d-1946503a5b30</vt:lpwstr>
  </property>
  <property fmtid="{D5CDD505-2E9C-101B-9397-08002B2CF9AE}" pid="3" name="CTP_TimeStamp">
    <vt:lpwstr>2018-07-09 21:57:08Z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