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77777777" w:rsidR="006803D3" w:rsidRDefault="006803D3" w:rsidP="00272BD4">
            <w:pPr>
              <w:pStyle w:val="T2"/>
            </w:pPr>
            <w:r>
              <w:t>Resolution to CIDs</w:t>
            </w:r>
            <w:r w:rsidR="00CE6CEA">
              <w:t xml:space="preserve"> related to </w:t>
            </w:r>
            <w:r w:rsidR="00272BD4">
              <w:t>TDD Scheduling</w:t>
            </w:r>
            <w:r w:rsidR="00CB0E04">
              <w:t xml:space="preserve">-Part </w:t>
            </w:r>
            <w:r w:rsidR="00707D9C">
              <w:t>3</w:t>
            </w:r>
          </w:p>
        </w:tc>
      </w:tr>
      <w:tr w:rsidR="006803D3" w14:paraId="4349F02F" w14:textId="77777777" w:rsidTr="0078286B">
        <w:trPr>
          <w:trHeight w:val="359"/>
          <w:jc w:val="center"/>
        </w:trPr>
        <w:tc>
          <w:tcPr>
            <w:tcW w:w="5000" w:type="pct"/>
            <w:gridSpan w:val="5"/>
            <w:vAlign w:val="center"/>
          </w:tcPr>
          <w:p w14:paraId="751F0D30" w14:textId="62C07F0A" w:rsidR="006803D3" w:rsidRDefault="006803D3" w:rsidP="00CB0E04">
            <w:pPr>
              <w:pStyle w:val="T2"/>
              <w:ind w:left="0"/>
              <w:rPr>
                <w:sz w:val="20"/>
              </w:rPr>
            </w:pPr>
            <w:r>
              <w:rPr>
                <w:sz w:val="20"/>
              </w:rPr>
              <w:t>Date:</w:t>
            </w:r>
            <w:r w:rsidR="00343E67">
              <w:rPr>
                <w:b w:val="0"/>
                <w:sz w:val="20"/>
              </w:rPr>
              <w:t xml:space="preserve">  2018-</w:t>
            </w:r>
            <w:r w:rsidR="00C415B3">
              <w:rPr>
                <w:b w:val="0"/>
                <w:sz w:val="20"/>
              </w:rPr>
              <w:t>0</w:t>
            </w:r>
            <w:r w:rsidR="005E141C">
              <w:rPr>
                <w:b w:val="0"/>
                <w:sz w:val="20"/>
              </w:rPr>
              <w:t>7-09</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215258B3" w14:textId="77777777" w:rsidR="000E0793" w:rsidRDefault="000E0793" w:rsidP="006803D3">
                            <w:pPr>
                              <w:jc w:val="both"/>
                            </w:pPr>
                            <w:r>
                              <w:t xml:space="preserve">This submission proposes resolutions to </w:t>
                            </w:r>
                            <w:r w:rsidR="00707D9C">
                              <w:t>7</w:t>
                            </w:r>
                            <w:r>
                              <w:t xml:space="preserve"> CIDs related to TDD scheduling. </w:t>
                            </w:r>
                            <w:r w:rsidR="003E51C2">
                              <w:t>These CIDs</w:t>
                            </w:r>
                            <w:r>
                              <w:t xml:space="preserve"> include: </w:t>
                            </w:r>
                          </w:p>
                          <w:p w14:paraId="6F2194E7" w14:textId="77777777" w:rsidR="000E0793" w:rsidRDefault="003E7E3F" w:rsidP="006803D3">
                            <w:pPr>
                              <w:jc w:val="both"/>
                              <w:rPr>
                                <w:lang w:eastAsia="zh-CN"/>
                              </w:rPr>
                            </w:pPr>
                            <w:r>
                              <w:rPr>
                                <w:rFonts w:hint="eastAsia"/>
                                <w:lang w:eastAsia="zh-CN"/>
                              </w:rPr>
                              <w:t>12</w:t>
                            </w:r>
                            <w:r w:rsidR="00707D9C">
                              <w:rPr>
                                <w:lang w:eastAsia="zh-CN"/>
                              </w:rPr>
                              <w:t>92</w:t>
                            </w:r>
                            <w:r w:rsidR="001D0758">
                              <w:rPr>
                                <w:lang w:eastAsia="zh-CN"/>
                              </w:rPr>
                              <w:t xml:space="preserve">, </w:t>
                            </w:r>
                            <w:r>
                              <w:rPr>
                                <w:lang w:eastAsia="zh-CN"/>
                              </w:rPr>
                              <w:t>1</w:t>
                            </w:r>
                            <w:r w:rsidR="00707D9C">
                              <w:rPr>
                                <w:lang w:eastAsia="zh-CN"/>
                              </w:rPr>
                              <w:t>572</w:t>
                            </w:r>
                            <w:r>
                              <w:rPr>
                                <w:lang w:eastAsia="zh-CN"/>
                              </w:rPr>
                              <w:t>,</w:t>
                            </w:r>
                            <w:r w:rsidR="003E6362">
                              <w:rPr>
                                <w:lang w:eastAsia="zh-CN"/>
                              </w:rPr>
                              <w:t xml:space="preserve"> 1</w:t>
                            </w:r>
                            <w:r w:rsidR="00707D9C">
                              <w:rPr>
                                <w:lang w:eastAsia="zh-CN"/>
                              </w:rPr>
                              <w:t>740</w:t>
                            </w:r>
                            <w:r w:rsidR="003E6362">
                              <w:rPr>
                                <w:lang w:eastAsia="zh-CN"/>
                              </w:rPr>
                              <w:t>, 17</w:t>
                            </w:r>
                            <w:r w:rsidR="00707D9C">
                              <w:rPr>
                                <w:lang w:eastAsia="zh-CN"/>
                              </w:rPr>
                              <w:t>72</w:t>
                            </w:r>
                            <w:r w:rsidR="003E6362">
                              <w:rPr>
                                <w:lang w:eastAsia="zh-CN"/>
                              </w:rPr>
                              <w:t>, 17</w:t>
                            </w:r>
                            <w:r w:rsidR="00707D9C">
                              <w:rPr>
                                <w:lang w:eastAsia="zh-CN"/>
                              </w:rPr>
                              <w:t>73</w:t>
                            </w:r>
                            <w:r w:rsidR="003E6362">
                              <w:rPr>
                                <w:lang w:eastAsia="zh-CN"/>
                              </w:rPr>
                              <w:t xml:space="preserve">, </w:t>
                            </w:r>
                            <w:r w:rsidR="00707D9C">
                              <w:rPr>
                                <w:lang w:eastAsia="zh-CN"/>
                              </w:rPr>
                              <w:t>1775</w:t>
                            </w:r>
                            <w:r w:rsidR="00D1771B">
                              <w:rPr>
                                <w:lang w:eastAsia="zh-CN"/>
                              </w:rPr>
                              <w:t xml:space="preserve">, </w:t>
                            </w:r>
                            <w:r w:rsidR="00707D9C">
                              <w:rPr>
                                <w:lang w:eastAsia="zh-CN"/>
                              </w:rPr>
                              <w:t>1788</w:t>
                            </w:r>
                            <w:r>
                              <w:rPr>
                                <w:lang w:eastAsia="zh-CN"/>
                              </w:rPr>
                              <w:t xml:space="preserve">. </w:t>
                            </w:r>
                          </w:p>
                          <w:p w14:paraId="765A65DD" w14:textId="77777777" w:rsidR="00621638" w:rsidRDefault="00621638" w:rsidP="006803D3">
                            <w:pPr>
                              <w:jc w:val="both"/>
                            </w:pPr>
                          </w:p>
                          <w:p w14:paraId="0502CA8C" w14:textId="65556C9B"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w:t>
                            </w:r>
                            <w:r w:rsidR="00243A88">
                              <w:t>nce to Draft IEEE P802.11ay/D1.3</w:t>
                            </w:r>
                            <w:r>
                              <w:t>.</w:t>
                            </w:r>
                          </w:p>
                          <w:p w14:paraId="572108B1" w14:textId="77777777" w:rsidR="000E0793" w:rsidRPr="00243A88"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215258B3" w14:textId="77777777" w:rsidR="000E0793" w:rsidRDefault="000E0793" w:rsidP="006803D3">
                      <w:pPr>
                        <w:jc w:val="both"/>
                      </w:pPr>
                      <w:r>
                        <w:t xml:space="preserve">This submission proposes resolutions to </w:t>
                      </w:r>
                      <w:r w:rsidR="00707D9C">
                        <w:t>7</w:t>
                      </w:r>
                      <w:r>
                        <w:t xml:space="preserve"> CIDs related to TDD scheduling. </w:t>
                      </w:r>
                      <w:r w:rsidR="003E51C2">
                        <w:t>These CIDs</w:t>
                      </w:r>
                      <w:r>
                        <w:t xml:space="preserve"> include: </w:t>
                      </w:r>
                    </w:p>
                    <w:p w14:paraId="6F2194E7" w14:textId="77777777" w:rsidR="000E0793" w:rsidRDefault="003E7E3F" w:rsidP="006803D3">
                      <w:pPr>
                        <w:jc w:val="both"/>
                        <w:rPr>
                          <w:lang w:eastAsia="zh-CN"/>
                        </w:rPr>
                      </w:pPr>
                      <w:r>
                        <w:rPr>
                          <w:rFonts w:hint="eastAsia"/>
                          <w:lang w:eastAsia="zh-CN"/>
                        </w:rPr>
                        <w:t>12</w:t>
                      </w:r>
                      <w:r w:rsidR="00707D9C">
                        <w:rPr>
                          <w:lang w:eastAsia="zh-CN"/>
                        </w:rPr>
                        <w:t>92</w:t>
                      </w:r>
                      <w:r w:rsidR="001D0758">
                        <w:rPr>
                          <w:lang w:eastAsia="zh-CN"/>
                        </w:rPr>
                        <w:t xml:space="preserve">, </w:t>
                      </w:r>
                      <w:r>
                        <w:rPr>
                          <w:lang w:eastAsia="zh-CN"/>
                        </w:rPr>
                        <w:t>1</w:t>
                      </w:r>
                      <w:r w:rsidR="00707D9C">
                        <w:rPr>
                          <w:lang w:eastAsia="zh-CN"/>
                        </w:rPr>
                        <w:t>572</w:t>
                      </w:r>
                      <w:r>
                        <w:rPr>
                          <w:lang w:eastAsia="zh-CN"/>
                        </w:rPr>
                        <w:t>,</w:t>
                      </w:r>
                      <w:r w:rsidR="003E6362">
                        <w:rPr>
                          <w:lang w:eastAsia="zh-CN"/>
                        </w:rPr>
                        <w:t xml:space="preserve"> 1</w:t>
                      </w:r>
                      <w:r w:rsidR="00707D9C">
                        <w:rPr>
                          <w:lang w:eastAsia="zh-CN"/>
                        </w:rPr>
                        <w:t>740</w:t>
                      </w:r>
                      <w:r w:rsidR="003E6362">
                        <w:rPr>
                          <w:lang w:eastAsia="zh-CN"/>
                        </w:rPr>
                        <w:t>, 17</w:t>
                      </w:r>
                      <w:r w:rsidR="00707D9C">
                        <w:rPr>
                          <w:lang w:eastAsia="zh-CN"/>
                        </w:rPr>
                        <w:t>72</w:t>
                      </w:r>
                      <w:r w:rsidR="003E6362">
                        <w:rPr>
                          <w:lang w:eastAsia="zh-CN"/>
                        </w:rPr>
                        <w:t>, 17</w:t>
                      </w:r>
                      <w:r w:rsidR="00707D9C">
                        <w:rPr>
                          <w:lang w:eastAsia="zh-CN"/>
                        </w:rPr>
                        <w:t>73</w:t>
                      </w:r>
                      <w:r w:rsidR="003E6362">
                        <w:rPr>
                          <w:lang w:eastAsia="zh-CN"/>
                        </w:rPr>
                        <w:t xml:space="preserve">, </w:t>
                      </w:r>
                      <w:r w:rsidR="00707D9C">
                        <w:rPr>
                          <w:lang w:eastAsia="zh-CN"/>
                        </w:rPr>
                        <w:t>1775</w:t>
                      </w:r>
                      <w:r w:rsidR="00D1771B">
                        <w:rPr>
                          <w:lang w:eastAsia="zh-CN"/>
                        </w:rPr>
                        <w:t xml:space="preserve">, </w:t>
                      </w:r>
                      <w:r w:rsidR="00707D9C">
                        <w:rPr>
                          <w:lang w:eastAsia="zh-CN"/>
                        </w:rPr>
                        <w:t>1788</w:t>
                      </w:r>
                      <w:r>
                        <w:rPr>
                          <w:lang w:eastAsia="zh-CN"/>
                        </w:rPr>
                        <w:t xml:space="preserve">. </w:t>
                      </w:r>
                    </w:p>
                    <w:p w14:paraId="765A65DD" w14:textId="77777777" w:rsidR="00621638" w:rsidRDefault="00621638" w:rsidP="006803D3">
                      <w:pPr>
                        <w:jc w:val="both"/>
                      </w:pPr>
                    </w:p>
                    <w:p w14:paraId="0502CA8C" w14:textId="65556C9B" w:rsidR="003E51C2" w:rsidRDefault="003E51C2" w:rsidP="003E51C2">
                      <w:pPr>
                        <w:jc w:val="both"/>
                      </w:pPr>
                      <w:r>
                        <w:t>The</w:t>
                      </w:r>
                      <w:r>
                        <w:rPr>
                          <w:rFonts w:hint="eastAsia"/>
                          <w:lang w:eastAsia="zh-CN"/>
                        </w:rPr>
                        <w:t xml:space="preserve"> CI</w:t>
                      </w:r>
                      <w:r>
                        <w:rPr>
                          <w:lang w:eastAsia="zh-CN"/>
                        </w:rPr>
                        <w:t xml:space="preserve">Ds are in reference to </w:t>
                      </w:r>
                      <w:r>
                        <w:t>Draft IEEE P802.11ay/D1.0. The resolutions are in refere</w:t>
                      </w:r>
                      <w:r w:rsidR="00243A88">
                        <w:t>nce to Draft IEEE P802.11ay/D1.3</w:t>
                      </w:r>
                      <w:r>
                        <w:t>.</w:t>
                      </w:r>
                    </w:p>
                    <w:p w14:paraId="572108B1" w14:textId="77777777" w:rsidR="000E0793" w:rsidRPr="00243A88"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F1414B" w:rsidRPr="00D90530" w14:paraId="42B2ED7B" w14:textId="77777777" w:rsidTr="00272BD4">
        <w:trPr>
          <w:trHeight w:val="841"/>
        </w:trPr>
        <w:tc>
          <w:tcPr>
            <w:tcW w:w="663" w:type="dxa"/>
          </w:tcPr>
          <w:p w14:paraId="1AC101A9" w14:textId="77777777" w:rsidR="00F1414B" w:rsidRPr="00D33DFD" w:rsidRDefault="00F1414B" w:rsidP="00F1414B">
            <w:r w:rsidRPr="00D33DFD">
              <w:t>1292</w:t>
            </w:r>
          </w:p>
        </w:tc>
        <w:tc>
          <w:tcPr>
            <w:tcW w:w="1219" w:type="dxa"/>
          </w:tcPr>
          <w:p w14:paraId="7969721A" w14:textId="77777777" w:rsidR="00F1414B" w:rsidRPr="00D33DFD" w:rsidRDefault="00F1414B" w:rsidP="00F1414B"/>
        </w:tc>
        <w:tc>
          <w:tcPr>
            <w:tcW w:w="3789" w:type="dxa"/>
          </w:tcPr>
          <w:p w14:paraId="5D4B5B1C" w14:textId="77777777" w:rsidR="00F1414B" w:rsidRPr="00D33DFD" w:rsidRDefault="00F1414B" w:rsidP="00F1414B">
            <w:r w:rsidRPr="00D33DFD">
              <w:t>Dynamical Spatial Reuse for transmission in parallel to a TDD network transmission is not defined</w:t>
            </w:r>
          </w:p>
        </w:tc>
        <w:tc>
          <w:tcPr>
            <w:tcW w:w="3538" w:type="dxa"/>
          </w:tcPr>
          <w:p w14:paraId="2EF33131" w14:textId="77777777" w:rsidR="00F1414B" w:rsidRDefault="00F1414B" w:rsidP="00F1414B">
            <w:r w:rsidRPr="00D33DFD">
              <w:t>submission will be provided</w:t>
            </w:r>
          </w:p>
        </w:tc>
      </w:tr>
    </w:tbl>
    <w:p w14:paraId="654D68DD" w14:textId="77777777" w:rsidR="00BB63B3" w:rsidRPr="005A3C19" w:rsidRDefault="00BB63B3" w:rsidP="006803D3">
      <w:pPr>
        <w:rPr>
          <w:szCs w:val="22"/>
        </w:rPr>
      </w:pPr>
    </w:p>
    <w:p w14:paraId="65BCD6AD" w14:textId="77777777"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14:paraId="1884965F" w14:textId="77777777" w:rsidR="00272BD4" w:rsidRDefault="00272BD4" w:rsidP="006803D3">
      <w:pPr>
        <w:rPr>
          <w:color w:val="FF0000"/>
          <w:szCs w:val="22"/>
          <w:u w:val="single"/>
          <w:lang w:eastAsia="zh-CN"/>
        </w:rPr>
      </w:pPr>
    </w:p>
    <w:p w14:paraId="31898717" w14:textId="77777777" w:rsidR="00910026" w:rsidRDefault="00F1414B" w:rsidP="00910026">
      <w:pPr>
        <w:pStyle w:val="ListParagraph"/>
        <w:numPr>
          <w:ilvl w:val="0"/>
          <w:numId w:val="17"/>
        </w:numPr>
        <w:ind w:firstLineChars="0"/>
        <w:rPr>
          <w:color w:val="000000" w:themeColor="text1"/>
          <w:szCs w:val="22"/>
          <w:lang w:eastAsia="zh-CN"/>
        </w:rPr>
      </w:pPr>
      <w:r>
        <w:rPr>
          <w:color w:val="000000" w:themeColor="text1"/>
          <w:szCs w:val="22"/>
          <w:lang w:eastAsia="zh-CN"/>
        </w:rPr>
        <w:t xml:space="preserve">There is an existing spatial sharing and interference mitigation protocol for SPs defined in 11ad (see 11.32). Since TDD </w:t>
      </w:r>
      <w:proofErr w:type="spellStart"/>
      <w:r>
        <w:rPr>
          <w:color w:val="000000" w:themeColor="text1"/>
          <w:szCs w:val="22"/>
          <w:lang w:eastAsia="zh-CN"/>
        </w:rPr>
        <w:t>opeartions</w:t>
      </w:r>
      <w:proofErr w:type="spellEnd"/>
      <w:r>
        <w:rPr>
          <w:color w:val="000000" w:themeColor="text1"/>
          <w:szCs w:val="22"/>
          <w:lang w:eastAsia="zh-CN"/>
        </w:rPr>
        <w:t xml:space="preserve"> happen in TDD SPs, which are also SPs. The existing protocol is also applicable.</w:t>
      </w:r>
    </w:p>
    <w:p w14:paraId="04104943" w14:textId="77777777" w:rsidR="00910026" w:rsidRDefault="00910026" w:rsidP="00910026">
      <w:pPr>
        <w:rPr>
          <w:color w:val="000000" w:themeColor="text1"/>
          <w:lang w:eastAsia="zh-CN"/>
        </w:rPr>
      </w:pPr>
    </w:p>
    <w:p w14:paraId="7FD742E3" w14:textId="77777777" w:rsidR="00910026" w:rsidRPr="00910026" w:rsidRDefault="00910026" w:rsidP="00910026">
      <w:pPr>
        <w:rPr>
          <w:color w:val="000000" w:themeColor="text1"/>
          <w:lang w:eastAsia="zh-CN"/>
        </w:rPr>
      </w:pPr>
    </w:p>
    <w:p w14:paraId="002DFD79" w14:textId="77777777"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F1414B" w:rsidRPr="00D01E3D" w14:paraId="072CFD97" w14:textId="77777777" w:rsidTr="004F03D3">
        <w:tc>
          <w:tcPr>
            <w:tcW w:w="663" w:type="dxa"/>
          </w:tcPr>
          <w:p w14:paraId="32693E50" w14:textId="77777777" w:rsidR="00F1414B" w:rsidRPr="001659F3" w:rsidRDefault="00F1414B" w:rsidP="00F1414B">
            <w:r w:rsidRPr="001659F3">
              <w:t>1572</w:t>
            </w:r>
          </w:p>
        </w:tc>
        <w:tc>
          <w:tcPr>
            <w:tcW w:w="1219" w:type="dxa"/>
          </w:tcPr>
          <w:p w14:paraId="0A884EAB" w14:textId="77777777" w:rsidR="00F1414B" w:rsidRPr="001659F3" w:rsidRDefault="00F1414B" w:rsidP="00F1414B">
            <w:r w:rsidRPr="001659F3">
              <w:t>3.2</w:t>
            </w:r>
          </w:p>
        </w:tc>
        <w:tc>
          <w:tcPr>
            <w:tcW w:w="3752" w:type="dxa"/>
          </w:tcPr>
          <w:p w14:paraId="2A3EB42A" w14:textId="77777777" w:rsidR="00F1414B" w:rsidRPr="001659F3" w:rsidRDefault="00F1414B" w:rsidP="00F1414B">
            <w:r w:rsidRPr="001659F3">
              <w:t>the definition of time division duplex (TDD) is not clear</w:t>
            </w:r>
          </w:p>
        </w:tc>
        <w:tc>
          <w:tcPr>
            <w:tcW w:w="3575" w:type="dxa"/>
          </w:tcPr>
          <w:p w14:paraId="42927205" w14:textId="77777777" w:rsidR="00F1414B" w:rsidRPr="001659F3" w:rsidRDefault="00F1414B" w:rsidP="00F1414B">
            <w:r w:rsidRPr="001659F3">
              <w:t xml:space="preserve">may change to </w:t>
            </w:r>
            <w:proofErr w:type="spellStart"/>
            <w:r w:rsidRPr="001659F3">
              <w:t>subframe</w:t>
            </w:r>
            <w:proofErr w:type="spellEnd"/>
            <w:r w:rsidRPr="001659F3">
              <w:t>-based or slot-based</w:t>
            </w:r>
          </w:p>
        </w:tc>
      </w:tr>
      <w:tr w:rsidR="00F1414B" w:rsidRPr="00D01E3D" w14:paraId="4C8C8C43" w14:textId="77777777" w:rsidTr="004F03D3">
        <w:tc>
          <w:tcPr>
            <w:tcW w:w="663" w:type="dxa"/>
          </w:tcPr>
          <w:p w14:paraId="6409402D" w14:textId="77777777" w:rsidR="00F1414B" w:rsidRPr="001659F3" w:rsidRDefault="00F1414B" w:rsidP="00F1414B">
            <w:r w:rsidRPr="001659F3">
              <w:t>1740</w:t>
            </w:r>
          </w:p>
        </w:tc>
        <w:tc>
          <w:tcPr>
            <w:tcW w:w="1219" w:type="dxa"/>
          </w:tcPr>
          <w:p w14:paraId="51EFF2A3" w14:textId="77777777" w:rsidR="00F1414B" w:rsidRPr="001659F3" w:rsidRDefault="00F1414B" w:rsidP="00F1414B">
            <w:r w:rsidRPr="001659F3">
              <w:t>9.4.2.1</w:t>
            </w:r>
          </w:p>
        </w:tc>
        <w:tc>
          <w:tcPr>
            <w:tcW w:w="3752" w:type="dxa"/>
          </w:tcPr>
          <w:p w14:paraId="7D3C2D74" w14:textId="77777777" w:rsidR="00F1414B" w:rsidRPr="001659F3" w:rsidRDefault="00F1414B" w:rsidP="00F1414B">
            <w:r w:rsidRPr="001659F3">
              <w:t>"TDD Slot Structure" element and "TDD Slot Schedule" element are defined to operate "TDD mode" to enable EDMG Distribution Network. However, TDD is not the appropriate term to describe single directional transmission mode. The naming TDD in this context should be reconsidered.</w:t>
            </w:r>
          </w:p>
        </w:tc>
        <w:tc>
          <w:tcPr>
            <w:tcW w:w="3575" w:type="dxa"/>
          </w:tcPr>
          <w:p w14:paraId="08A8BDF8" w14:textId="77777777" w:rsidR="00F1414B" w:rsidRDefault="00F1414B" w:rsidP="00F1414B">
            <w:r w:rsidRPr="001659F3">
              <w:t>Replace TDD with SDT (single directional transmission mode) or som</w:t>
            </w:r>
            <w:bookmarkStart w:id="0" w:name="_GoBack"/>
            <w:bookmarkEnd w:id="0"/>
            <w:r w:rsidRPr="001659F3">
              <w:t>ething similar.</w:t>
            </w:r>
          </w:p>
        </w:tc>
      </w:tr>
    </w:tbl>
    <w:p w14:paraId="46EDD6E2" w14:textId="77777777" w:rsidR="004F03D3" w:rsidRDefault="004F03D3" w:rsidP="006803D3">
      <w:pPr>
        <w:rPr>
          <w:color w:val="00B0F0"/>
          <w:u w:val="single"/>
        </w:rPr>
      </w:pPr>
    </w:p>
    <w:p w14:paraId="2D596F33" w14:textId="77777777"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w:t>
      </w:r>
      <w:r w:rsidR="00F1414B">
        <w:rPr>
          <w:color w:val="000000" w:themeColor="text1"/>
          <w:szCs w:val="22"/>
          <w:lang w:val="en-US" w:eastAsia="zh-CN"/>
        </w:rPr>
        <w:t>jected</w:t>
      </w:r>
    </w:p>
    <w:p w14:paraId="5B0BBBDC" w14:textId="77777777" w:rsidR="00F1414B" w:rsidRDefault="00F1414B" w:rsidP="00F1414B">
      <w:pPr>
        <w:pStyle w:val="ListParagraph"/>
        <w:numPr>
          <w:ilvl w:val="0"/>
          <w:numId w:val="33"/>
        </w:numPr>
        <w:ind w:firstLineChars="0"/>
        <w:rPr>
          <w:rFonts w:asciiTheme="minorHAnsi" w:eastAsiaTheme="minorEastAsia" w:hAnsiTheme="minorHAnsi" w:cstheme="minorBidi"/>
          <w:szCs w:val="22"/>
          <w:lang w:eastAsia="zh-CN"/>
        </w:rPr>
      </w:pPr>
      <w:proofErr w:type="spellStart"/>
      <w:r>
        <w:rPr>
          <w:rFonts w:asciiTheme="minorHAnsi" w:eastAsiaTheme="minorEastAsia" w:hAnsiTheme="minorHAnsi" w:cstheme="minorBidi" w:hint="eastAsia"/>
          <w:szCs w:val="22"/>
          <w:lang w:eastAsia="zh-CN"/>
        </w:rPr>
        <w:t>S</w:t>
      </w:r>
      <w:r>
        <w:rPr>
          <w:rFonts w:asciiTheme="minorHAnsi" w:eastAsiaTheme="minorEastAsia" w:hAnsiTheme="minorHAnsi" w:cstheme="minorBidi"/>
          <w:szCs w:val="22"/>
          <w:lang w:eastAsia="zh-CN"/>
        </w:rPr>
        <w:t>ubframe</w:t>
      </w:r>
      <w:proofErr w:type="spellEnd"/>
      <w:r>
        <w:rPr>
          <w:rFonts w:asciiTheme="minorHAnsi" w:eastAsiaTheme="minorEastAsia" w:hAnsiTheme="minorHAnsi" w:cstheme="minorBidi"/>
          <w:szCs w:val="22"/>
          <w:lang w:eastAsia="zh-CN"/>
        </w:rPr>
        <w:t xml:space="preserve">-based and slot-based are not accurate since a) </w:t>
      </w:r>
      <w:proofErr w:type="gramStart"/>
      <w:r>
        <w:rPr>
          <w:rFonts w:asciiTheme="minorHAnsi" w:eastAsiaTheme="minorEastAsia" w:hAnsiTheme="minorHAnsi" w:cstheme="minorBidi"/>
          <w:szCs w:val="22"/>
          <w:lang w:eastAsia="zh-CN"/>
        </w:rPr>
        <w:t>We</w:t>
      </w:r>
      <w:proofErr w:type="gramEnd"/>
      <w:r>
        <w:rPr>
          <w:rFonts w:asciiTheme="minorHAnsi" w:eastAsiaTheme="minorEastAsia" w:hAnsiTheme="minorHAnsi" w:cstheme="minorBidi"/>
          <w:szCs w:val="22"/>
          <w:lang w:eastAsia="zh-CN"/>
        </w:rPr>
        <w:t xml:space="preserve"> do not have a definition of </w:t>
      </w:r>
      <w:proofErr w:type="spellStart"/>
      <w:r>
        <w:rPr>
          <w:rFonts w:asciiTheme="minorHAnsi" w:eastAsiaTheme="minorEastAsia" w:hAnsiTheme="minorHAnsi" w:cstheme="minorBidi"/>
          <w:szCs w:val="22"/>
          <w:lang w:eastAsia="zh-CN"/>
        </w:rPr>
        <w:t>subframe</w:t>
      </w:r>
      <w:proofErr w:type="spellEnd"/>
      <w:r>
        <w:rPr>
          <w:rFonts w:asciiTheme="minorHAnsi" w:eastAsiaTheme="minorEastAsia" w:hAnsiTheme="minorHAnsi" w:cstheme="minorBidi"/>
          <w:szCs w:val="22"/>
          <w:lang w:eastAsia="zh-CN"/>
        </w:rPr>
        <w:t xml:space="preserve"> b) slot is also used in many other places in 802.11 spec.</w:t>
      </w:r>
    </w:p>
    <w:p w14:paraId="6C32D9EF" w14:textId="77777777" w:rsidR="00F1414B" w:rsidRPr="00F1414B" w:rsidRDefault="00F1414B" w:rsidP="00F1414B">
      <w:pPr>
        <w:pStyle w:val="ListParagraph"/>
        <w:numPr>
          <w:ilvl w:val="0"/>
          <w:numId w:val="33"/>
        </w:numPr>
        <w:ind w:firstLineChars="0"/>
        <w:rPr>
          <w:rFonts w:asciiTheme="minorHAnsi" w:eastAsiaTheme="minorEastAsia" w:hAnsiTheme="minorHAnsi" w:cstheme="minorBidi"/>
          <w:szCs w:val="22"/>
          <w:lang w:eastAsia="zh-CN"/>
        </w:rPr>
      </w:pPr>
      <w:r w:rsidRPr="00F1414B">
        <w:rPr>
          <w:rFonts w:asciiTheme="minorHAnsi" w:eastAsiaTheme="minorEastAsia" w:hAnsiTheme="minorHAnsi" w:cstheme="minorBidi"/>
          <w:szCs w:val="22"/>
          <w:lang w:eastAsia="zh-CN"/>
        </w:rPr>
        <w:t xml:space="preserve">SDT is confusing since although in a single TDD slot it is unidirectional, overall the transmission direction can change from </w:t>
      </w:r>
      <w:r>
        <w:rPr>
          <w:rFonts w:asciiTheme="minorHAnsi" w:eastAsiaTheme="minorEastAsia" w:hAnsiTheme="minorHAnsi" w:cstheme="minorBidi"/>
          <w:szCs w:val="22"/>
          <w:lang w:eastAsia="zh-CN"/>
        </w:rPr>
        <w:t xml:space="preserve">a </w:t>
      </w:r>
      <w:r w:rsidRPr="00F1414B">
        <w:rPr>
          <w:rFonts w:asciiTheme="minorHAnsi" w:eastAsiaTheme="minorEastAsia" w:hAnsiTheme="minorHAnsi" w:cstheme="minorBidi"/>
          <w:szCs w:val="22"/>
          <w:lang w:eastAsia="zh-CN"/>
        </w:rPr>
        <w:t>TDD slot to</w:t>
      </w:r>
      <w:r>
        <w:rPr>
          <w:rFonts w:asciiTheme="minorHAnsi" w:eastAsiaTheme="minorEastAsia" w:hAnsiTheme="minorHAnsi" w:cstheme="minorBidi"/>
          <w:szCs w:val="22"/>
          <w:lang w:eastAsia="zh-CN"/>
        </w:rPr>
        <w:t xml:space="preserve"> another</w:t>
      </w:r>
      <w:r w:rsidRPr="00F1414B">
        <w:rPr>
          <w:rFonts w:asciiTheme="minorHAnsi" w:eastAsiaTheme="minorEastAsia" w:hAnsiTheme="minorHAnsi" w:cstheme="minorBidi"/>
          <w:szCs w:val="22"/>
          <w:lang w:eastAsia="zh-CN"/>
        </w:rPr>
        <w:t xml:space="preserve"> TDD slot.</w:t>
      </w:r>
      <w:r w:rsidR="00311699">
        <w:rPr>
          <w:rFonts w:asciiTheme="minorHAnsi" w:eastAsiaTheme="minorEastAsia" w:hAnsiTheme="minorHAnsi" w:cstheme="minorBidi"/>
          <w:szCs w:val="22"/>
          <w:lang w:eastAsia="zh-CN"/>
        </w:rPr>
        <w:t xml:space="preserve"> So, it is not a permanent “</w:t>
      </w:r>
      <w:r w:rsidR="00311699" w:rsidRPr="00B1227A">
        <w:rPr>
          <w:rFonts w:asciiTheme="minorHAnsi" w:eastAsiaTheme="minorEastAsia" w:hAnsiTheme="minorHAnsi" w:cstheme="minorBidi"/>
          <w:szCs w:val="22"/>
          <w:lang w:eastAsia="zh-CN"/>
        </w:rPr>
        <w:t>single directional transmission mode</w:t>
      </w:r>
      <w:r w:rsidR="00311699">
        <w:rPr>
          <w:rFonts w:asciiTheme="minorHAnsi" w:eastAsiaTheme="minorEastAsia" w:hAnsiTheme="minorHAnsi" w:cstheme="minorBidi"/>
          <w:szCs w:val="22"/>
          <w:lang w:eastAsia="zh-CN"/>
        </w:rPr>
        <w:t>”</w:t>
      </w:r>
    </w:p>
    <w:p w14:paraId="75DF9F0E" w14:textId="77777777" w:rsidR="00A83CAD" w:rsidRDefault="00A83CAD" w:rsidP="00A83CAD">
      <w:pPr>
        <w:rPr>
          <w:lang w:eastAsia="zh-CN"/>
        </w:rPr>
      </w:pPr>
    </w:p>
    <w:p w14:paraId="1EE5D865" w14:textId="77777777" w:rsidR="00F1414B" w:rsidRDefault="00F1414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219"/>
        <w:gridCol w:w="3754"/>
        <w:gridCol w:w="3573"/>
      </w:tblGrid>
      <w:tr w:rsidR="00120F2D" w:rsidRPr="00146351" w14:paraId="2C7B86C1" w14:textId="77777777" w:rsidTr="004E020B">
        <w:trPr>
          <w:trHeight w:val="841"/>
        </w:trPr>
        <w:tc>
          <w:tcPr>
            <w:tcW w:w="663" w:type="dxa"/>
          </w:tcPr>
          <w:p w14:paraId="32DC8288" w14:textId="77777777" w:rsidR="00120F2D" w:rsidRPr="00146351" w:rsidRDefault="00120F2D" w:rsidP="004E020B">
            <w:r w:rsidRPr="00146351">
              <w:rPr>
                <w:rFonts w:hint="eastAsia"/>
              </w:rPr>
              <w:t>CID</w:t>
            </w:r>
          </w:p>
        </w:tc>
        <w:tc>
          <w:tcPr>
            <w:tcW w:w="1219" w:type="dxa"/>
          </w:tcPr>
          <w:p w14:paraId="5088788B" w14:textId="77777777" w:rsidR="00120F2D" w:rsidRPr="00146351" w:rsidRDefault="00120F2D" w:rsidP="004E020B">
            <w:r w:rsidRPr="00146351">
              <w:rPr>
                <w:rFonts w:hint="eastAsia"/>
              </w:rPr>
              <w:t>Clause</w:t>
            </w:r>
          </w:p>
        </w:tc>
        <w:tc>
          <w:tcPr>
            <w:tcW w:w="3754" w:type="dxa"/>
          </w:tcPr>
          <w:p w14:paraId="1E853DDF" w14:textId="77777777" w:rsidR="00120F2D" w:rsidRPr="00146351" w:rsidRDefault="00120F2D" w:rsidP="004E020B">
            <w:r w:rsidRPr="00146351">
              <w:rPr>
                <w:rFonts w:hint="eastAsia"/>
              </w:rPr>
              <w:t>Comment</w:t>
            </w:r>
          </w:p>
        </w:tc>
        <w:tc>
          <w:tcPr>
            <w:tcW w:w="3573" w:type="dxa"/>
          </w:tcPr>
          <w:p w14:paraId="78A35186" w14:textId="77777777" w:rsidR="00120F2D" w:rsidRPr="00146351" w:rsidRDefault="00120F2D" w:rsidP="004E020B">
            <w:r w:rsidRPr="00146351">
              <w:rPr>
                <w:rFonts w:hint="eastAsia"/>
              </w:rPr>
              <w:t>Proposed change</w:t>
            </w:r>
          </w:p>
        </w:tc>
      </w:tr>
      <w:tr w:rsidR="00F1414B" w:rsidRPr="00146351" w14:paraId="4AA82826" w14:textId="77777777" w:rsidTr="004E020B">
        <w:trPr>
          <w:trHeight w:val="841"/>
        </w:trPr>
        <w:tc>
          <w:tcPr>
            <w:tcW w:w="663" w:type="dxa"/>
          </w:tcPr>
          <w:p w14:paraId="19ED645F" w14:textId="77777777" w:rsidR="00F1414B" w:rsidRPr="00F1414B" w:rsidRDefault="00F1414B" w:rsidP="00F1414B">
            <w:r w:rsidRPr="00F1414B">
              <w:rPr>
                <w:rFonts w:hint="eastAsia"/>
              </w:rPr>
              <w:t>1772</w:t>
            </w:r>
          </w:p>
        </w:tc>
        <w:tc>
          <w:tcPr>
            <w:tcW w:w="1219" w:type="dxa"/>
          </w:tcPr>
          <w:p w14:paraId="43304436" w14:textId="77777777" w:rsidR="00F1414B" w:rsidRPr="00F1414B" w:rsidRDefault="00F1414B" w:rsidP="00F1414B">
            <w:r w:rsidRPr="00F1414B">
              <w:t>10.36.6.2.2</w:t>
            </w:r>
          </w:p>
        </w:tc>
        <w:tc>
          <w:tcPr>
            <w:tcW w:w="3754" w:type="dxa"/>
          </w:tcPr>
          <w:p w14:paraId="2DB5B232" w14:textId="77777777" w:rsidR="00F1414B" w:rsidRPr="00F1414B" w:rsidRDefault="00F1414B" w:rsidP="00F1414B">
            <w:r w:rsidRPr="00F1414B">
              <w:t xml:space="preserve">If TDD channel access is operated as shown in 11-17/1321, all STAs in the network should be time synchronized. However, it is very unclear how the STAs maintain time synchronization. Some may say that STA will utilize external clock source such as GPS signal to enable global synchronization. However, there is no guarantee that STA can receive GPS signal and it will </w:t>
            </w:r>
            <w:r w:rsidRPr="00F1414B">
              <w:lastRenderedPageBreak/>
              <w:t>not be a robust protocol design if the STA solely relies on external clock source.</w:t>
            </w:r>
          </w:p>
        </w:tc>
        <w:tc>
          <w:tcPr>
            <w:tcW w:w="3573" w:type="dxa"/>
          </w:tcPr>
          <w:p w14:paraId="2E81F531" w14:textId="77777777" w:rsidR="00F1414B" w:rsidRPr="00F1414B" w:rsidRDefault="00F1414B" w:rsidP="00F1414B">
            <w:r w:rsidRPr="00F1414B">
              <w:lastRenderedPageBreak/>
              <w:t>Please clarify how STAs maintain time synchronization in TDD channel access mode that operates similar to 11-17/1321. There should be a way to enable it leveraging existing framework such as S-AP/S-PCP.</w:t>
            </w:r>
          </w:p>
        </w:tc>
      </w:tr>
    </w:tbl>
    <w:p w14:paraId="3019215B" w14:textId="77777777" w:rsidR="00120F2D" w:rsidRDefault="00120F2D" w:rsidP="00120F2D">
      <w:pPr>
        <w:rPr>
          <w:b/>
          <w:color w:val="000000" w:themeColor="text1"/>
          <w:szCs w:val="22"/>
          <w:lang w:eastAsia="zh-CN"/>
        </w:rPr>
      </w:pPr>
    </w:p>
    <w:p w14:paraId="4F217AF2" w14:textId="77777777"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52767C6A" w14:textId="77777777" w:rsidR="00F1414B" w:rsidRDefault="00F1414B" w:rsidP="00120F2D">
      <w:pPr>
        <w:rPr>
          <w:color w:val="000000" w:themeColor="text1"/>
          <w:szCs w:val="22"/>
          <w:lang w:val="en-US" w:eastAsia="zh-CN"/>
        </w:rPr>
      </w:pPr>
    </w:p>
    <w:p w14:paraId="268FDAEE" w14:textId="77777777" w:rsidR="00F1414B" w:rsidRPr="00F1414B" w:rsidRDefault="00F1414B" w:rsidP="00F1414B">
      <w:pPr>
        <w:pStyle w:val="ListParagraph"/>
        <w:numPr>
          <w:ilvl w:val="0"/>
          <w:numId w:val="34"/>
        </w:numPr>
        <w:ind w:firstLineChars="0"/>
        <w:rPr>
          <w:color w:val="000000" w:themeColor="text1"/>
          <w:szCs w:val="22"/>
          <w:lang w:val="en-US" w:eastAsia="zh-CN"/>
        </w:rPr>
      </w:pPr>
      <w:r>
        <w:rPr>
          <w:rFonts w:eastAsiaTheme="minorEastAsia" w:hint="eastAsia"/>
          <w:color w:val="000000" w:themeColor="text1"/>
          <w:szCs w:val="22"/>
          <w:lang w:val="en-US" w:eastAsia="zh-CN"/>
        </w:rPr>
        <w:t xml:space="preserve">This </w:t>
      </w:r>
      <w:r>
        <w:rPr>
          <w:rFonts w:eastAsiaTheme="minorEastAsia"/>
          <w:color w:val="000000" w:themeColor="text1"/>
          <w:szCs w:val="22"/>
          <w:lang w:val="en-US" w:eastAsia="zh-CN"/>
        </w:rPr>
        <w:t xml:space="preserve">is already resolved in </w:t>
      </w:r>
      <w:r w:rsidR="000B454A">
        <w:rPr>
          <w:rFonts w:eastAsiaTheme="minorEastAsia"/>
          <w:color w:val="000000" w:themeColor="text1"/>
          <w:szCs w:val="22"/>
          <w:lang w:val="en-US" w:eastAsia="zh-CN"/>
        </w:rPr>
        <w:t>0786r3 “Draft text for protocol and frames for TDD link maintenance” with the introduced TDD Synchronization element, which passed the motion in May IEEE meeting.</w:t>
      </w:r>
    </w:p>
    <w:p w14:paraId="77CEAFEE" w14:textId="77777777" w:rsidR="00C22CB7" w:rsidRPr="000C3D51" w:rsidRDefault="00C22CB7" w:rsidP="00CE6CEA">
      <w:pPr>
        <w:rPr>
          <w:color w:val="FF0000"/>
          <w:szCs w:val="22"/>
          <w:u w:val="single"/>
          <w:lang w:eastAsia="zh-CN"/>
        </w:rPr>
      </w:pPr>
    </w:p>
    <w:p w14:paraId="4F4024A3" w14:textId="77777777" w:rsidR="008B3A42" w:rsidRPr="00D36595" w:rsidRDefault="008B3A42" w:rsidP="00CE6CEA">
      <w:pPr>
        <w:rPr>
          <w:color w:val="FF0000"/>
          <w:szCs w:val="22"/>
          <w:u w:val="single"/>
          <w:lang w:eastAsia="zh-CN"/>
        </w:rPr>
      </w:pPr>
    </w:p>
    <w:p w14:paraId="6ACA5FB2" w14:textId="77777777"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14:paraId="3E2206ED" w14:textId="77777777" w:rsidTr="00CE6CEA">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219"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3754"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3573"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0B454A" w:rsidRPr="00C315EC" w14:paraId="14F4E90A" w14:textId="77777777" w:rsidTr="00CE6CEA">
        <w:trPr>
          <w:trHeight w:val="841"/>
        </w:trPr>
        <w:tc>
          <w:tcPr>
            <w:tcW w:w="663" w:type="dxa"/>
          </w:tcPr>
          <w:p w14:paraId="3A709048" w14:textId="77777777" w:rsidR="000B454A" w:rsidRPr="00122FF4" w:rsidRDefault="000B454A" w:rsidP="000B454A">
            <w:r w:rsidRPr="00122FF4">
              <w:t>1773</w:t>
            </w:r>
          </w:p>
        </w:tc>
        <w:tc>
          <w:tcPr>
            <w:tcW w:w="1219" w:type="dxa"/>
          </w:tcPr>
          <w:p w14:paraId="0B5C005D" w14:textId="77777777" w:rsidR="000B454A" w:rsidRPr="00122FF4" w:rsidRDefault="000B454A" w:rsidP="000B454A">
            <w:r w:rsidRPr="00122FF4">
              <w:t>10.36.6.2.2</w:t>
            </w:r>
          </w:p>
        </w:tc>
        <w:tc>
          <w:tcPr>
            <w:tcW w:w="3754" w:type="dxa"/>
          </w:tcPr>
          <w:p w14:paraId="638699F8" w14:textId="77777777" w:rsidR="000B454A" w:rsidRPr="00122FF4" w:rsidRDefault="000B454A" w:rsidP="000B454A">
            <w:r w:rsidRPr="00122FF4">
              <w:t xml:space="preserve">There is a concern on coexistence with </w:t>
            </w:r>
            <w:proofErr w:type="spellStart"/>
            <w:r w:rsidRPr="00122FF4">
              <w:t>neighboring</w:t>
            </w:r>
            <w:proofErr w:type="spellEnd"/>
            <w:r w:rsidRPr="00122FF4">
              <w:t xml:space="preserve"> BSS if STAs operate TDD channel access. If the network is operating as shown in 11-17/1321, AP/PCP does not transmit Beacon frame regularly. This means </w:t>
            </w:r>
            <w:proofErr w:type="spellStart"/>
            <w:r w:rsidRPr="00122FF4">
              <w:t>neighboring</w:t>
            </w:r>
            <w:proofErr w:type="spellEnd"/>
            <w:r w:rsidRPr="00122FF4">
              <w:t xml:space="preserve"> STAs cannot detect the existence of the TDD mode EDMG BSSs in the </w:t>
            </w:r>
            <w:proofErr w:type="spellStart"/>
            <w:r w:rsidRPr="00122FF4">
              <w:t>neighborhood</w:t>
            </w:r>
            <w:proofErr w:type="spellEnd"/>
            <w:r w:rsidRPr="00122FF4">
              <w:t xml:space="preserve">, and STAs in </w:t>
            </w:r>
            <w:proofErr w:type="spellStart"/>
            <w:r w:rsidRPr="00122FF4">
              <w:t>neighboring</w:t>
            </w:r>
            <w:proofErr w:type="spellEnd"/>
            <w:r w:rsidRPr="00122FF4">
              <w:t xml:space="preserve"> BSSs may start interfering each other. This could result in poor user experience of 60GHz channel usage, which is very harmful. At least, all BSSs should have a mean to signal existence of the network and open an opportunity for the coordination among </w:t>
            </w:r>
            <w:proofErr w:type="spellStart"/>
            <w:r w:rsidRPr="00122FF4">
              <w:t>neighboring</w:t>
            </w:r>
            <w:proofErr w:type="spellEnd"/>
            <w:r w:rsidRPr="00122FF4">
              <w:t xml:space="preserve"> STAs.</w:t>
            </w:r>
          </w:p>
        </w:tc>
        <w:tc>
          <w:tcPr>
            <w:tcW w:w="3573" w:type="dxa"/>
          </w:tcPr>
          <w:p w14:paraId="3DCDA30C" w14:textId="77777777" w:rsidR="000B454A" w:rsidRPr="00122FF4" w:rsidRDefault="000B454A" w:rsidP="000B454A">
            <w:r w:rsidRPr="00122FF4">
              <w:t>Please define a scheme to enable co-channel interference coordination among TDD channel access mode and regular mode. IEEE802.11ay is a specification for license exempt band. It should mandate minimal coordination opportunity among BSSs.</w:t>
            </w:r>
          </w:p>
        </w:tc>
      </w:tr>
    </w:tbl>
    <w:p w14:paraId="129CEAC5" w14:textId="77777777" w:rsidR="00CE6CEA" w:rsidRPr="008179AB" w:rsidRDefault="00CE6CEA" w:rsidP="00CE6CEA">
      <w:pPr>
        <w:rPr>
          <w:b/>
          <w:szCs w:val="22"/>
          <w:lang w:eastAsia="zh-CN"/>
        </w:rPr>
      </w:pPr>
    </w:p>
    <w:p w14:paraId="28E73BA5" w14:textId="77777777" w:rsidR="00B126F0" w:rsidRDefault="00CE6CEA" w:rsidP="00C315EC">
      <w:pPr>
        <w:rPr>
          <w:szCs w:val="22"/>
        </w:rPr>
      </w:pPr>
      <w:r w:rsidRPr="006D42B4">
        <w:rPr>
          <w:b/>
          <w:szCs w:val="22"/>
        </w:rPr>
        <w:t>Proposed resolution:</w:t>
      </w:r>
      <w:r w:rsidRPr="006D42B4">
        <w:rPr>
          <w:szCs w:val="22"/>
        </w:rPr>
        <w:t xml:space="preserve"> </w:t>
      </w:r>
      <w:r w:rsidR="00157F26">
        <w:rPr>
          <w:szCs w:val="22"/>
        </w:rPr>
        <w:t>Rejected</w:t>
      </w:r>
    </w:p>
    <w:p w14:paraId="49E7E5A2" w14:textId="77777777" w:rsidR="00157F26" w:rsidRDefault="00157F26" w:rsidP="00C315EC">
      <w:pPr>
        <w:rPr>
          <w:szCs w:val="22"/>
        </w:rPr>
      </w:pPr>
    </w:p>
    <w:p w14:paraId="606156A2" w14:textId="77777777" w:rsidR="00CE6CEA" w:rsidRDefault="000B454A" w:rsidP="000B454A">
      <w:pPr>
        <w:pStyle w:val="ListParagraph"/>
        <w:numPr>
          <w:ilvl w:val="0"/>
          <w:numId w:val="35"/>
        </w:numPr>
        <w:ind w:firstLineChars="0"/>
      </w:pPr>
      <w:r w:rsidRPr="000B454A">
        <w:rPr>
          <w:color w:val="000000" w:themeColor="text1"/>
        </w:rPr>
        <w:t xml:space="preserve">“AP/PCP does not transmit Beacon frame regularly.”---This </w:t>
      </w:r>
      <w:r>
        <w:rPr>
          <w:color w:val="000000" w:themeColor="text1"/>
        </w:rPr>
        <w:t xml:space="preserve">assumption </w:t>
      </w:r>
      <w:r w:rsidRPr="000B454A">
        <w:rPr>
          <w:color w:val="000000" w:themeColor="text1"/>
        </w:rPr>
        <w:t>is not true.</w:t>
      </w:r>
      <w:r w:rsidR="00311699">
        <w:rPr>
          <w:color w:val="000000" w:themeColor="text1"/>
        </w:rPr>
        <w:t xml:space="preserve"> Beacon transmissions are still required in BSSs that use TDD channel access. As such, the conclusions and proposed resolution from the commenter are not needed.</w:t>
      </w:r>
    </w:p>
    <w:p w14:paraId="11457C71" w14:textId="77777777" w:rsidR="00C22CB7" w:rsidRPr="00B126F0" w:rsidRDefault="00C22CB7" w:rsidP="004B566B"/>
    <w:p w14:paraId="31C3AAA2" w14:textId="77777777" w:rsidR="00CE6CEA" w:rsidRDefault="00CE6CEA" w:rsidP="004B566B"/>
    <w:p w14:paraId="3A75C971" w14:textId="77777777" w:rsidR="00B96811" w:rsidRPr="00B96811" w:rsidRDefault="00B96811"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14:paraId="45A8BB66" w14:textId="77777777" w:rsidTr="0078286B">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219"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754"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73"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0B454A" w:rsidRPr="000079B8" w14:paraId="30F18742" w14:textId="77777777" w:rsidTr="0078286B">
        <w:trPr>
          <w:trHeight w:val="841"/>
        </w:trPr>
        <w:tc>
          <w:tcPr>
            <w:tcW w:w="663" w:type="dxa"/>
          </w:tcPr>
          <w:p w14:paraId="752A077A" w14:textId="77777777" w:rsidR="000B454A" w:rsidRPr="00AC51F5" w:rsidRDefault="000B454A" w:rsidP="000B454A">
            <w:r w:rsidRPr="00AC51F5">
              <w:t>1775</w:t>
            </w:r>
          </w:p>
        </w:tc>
        <w:tc>
          <w:tcPr>
            <w:tcW w:w="1219" w:type="dxa"/>
          </w:tcPr>
          <w:p w14:paraId="686DC1D6" w14:textId="77777777" w:rsidR="000B454A" w:rsidRPr="00AC51F5" w:rsidRDefault="000B454A" w:rsidP="000B454A">
            <w:r w:rsidRPr="00AC51F5">
              <w:t>10.36.6.2.2</w:t>
            </w:r>
          </w:p>
        </w:tc>
        <w:tc>
          <w:tcPr>
            <w:tcW w:w="3754" w:type="dxa"/>
          </w:tcPr>
          <w:p w14:paraId="55B22BF2" w14:textId="77777777" w:rsidR="000B454A" w:rsidRPr="00AC51F5" w:rsidRDefault="000B454A" w:rsidP="000B454A">
            <w:r w:rsidRPr="00AC51F5">
              <w:t>If the network is operating as shown in 11-17/1321, how a new STA joining the BSS with TDD channel access mode transmit association request and/or authentication frames?</w:t>
            </w:r>
          </w:p>
        </w:tc>
        <w:tc>
          <w:tcPr>
            <w:tcW w:w="3573" w:type="dxa"/>
          </w:tcPr>
          <w:p w14:paraId="2F4CD0C3" w14:textId="77777777" w:rsidR="000B454A" w:rsidRDefault="000B454A" w:rsidP="000B454A">
            <w:r w:rsidRPr="00AC51F5">
              <w:t>Please clarify.</w:t>
            </w:r>
          </w:p>
        </w:tc>
      </w:tr>
    </w:tbl>
    <w:p w14:paraId="3CDEAE37" w14:textId="77777777" w:rsidR="00157F26" w:rsidRPr="00C315EC" w:rsidRDefault="00157F26" w:rsidP="006D42B4">
      <w:pPr>
        <w:rPr>
          <w:b/>
          <w:szCs w:val="22"/>
          <w:lang w:eastAsia="zh-CN"/>
        </w:rPr>
      </w:pPr>
    </w:p>
    <w:p w14:paraId="45CE5982" w14:textId="7F5EB6A7"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evi</w:t>
      </w:r>
      <w:r w:rsidR="00AD6B39">
        <w:rPr>
          <w:szCs w:val="22"/>
          <w:lang w:eastAsia="zh-CN"/>
        </w:rPr>
        <w:t>sed</w:t>
      </w:r>
    </w:p>
    <w:p w14:paraId="184CAECA" w14:textId="77777777" w:rsidR="000B454A" w:rsidRDefault="000B454A" w:rsidP="00CE6CEA">
      <w:pPr>
        <w:rPr>
          <w:szCs w:val="22"/>
        </w:rPr>
      </w:pPr>
    </w:p>
    <w:p w14:paraId="50DA37B3" w14:textId="77777777" w:rsidR="000B454A" w:rsidRPr="000B454A" w:rsidRDefault="000B454A" w:rsidP="000B454A">
      <w:pPr>
        <w:pStyle w:val="ListParagraph"/>
        <w:numPr>
          <w:ilvl w:val="0"/>
          <w:numId w:val="36"/>
        </w:numPr>
        <w:ind w:firstLineChars="0"/>
        <w:rPr>
          <w:szCs w:val="22"/>
        </w:rPr>
      </w:pPr>
      <w:r w:rsidRPr="000B454A">
        <w:rPr>
          <w:szCs w:val="22"/>
        </w:rPr>
        <w:lastRenderedPageBreak/>
        <w:t xml:space="preserve">The AP and STA </w:t>
      </w:r>
      <w:r>
        <w:rPr>
          <w:szCs w:val="22"/>
        </w:rPr>
        <w:t>perform</w:t>
      </w:r>
      <w:r w:rsidRPr="000B454A">
        <w:rPr>
          <w:szCs w:val="22"/>
        </w:rPr>
        <w:t xml:space="preserve"> association and authentication after TDD beamforming</w:t>
      </w:r>
      <w:r>
        <w:rPr>
          <w:szCs w:val="22"/>
        </w:rPr>
        <w:t xml:space="preserve"> (10.39.10)</w:t>
      </w:r>
      <w:r w:rsidRPr="000B454A">
        <w:rPr>
          <w:szCs w:val="22"/>
        </w:rPr>
        <w:t xml:space="preserve"> is done</w:t>
      </w:r>
      <w:r>
        <w:rPr>
          <w:szCs w:val="22"/>
        </w:rPr>
        <w:t xml:space="preserve">, </w:t>
      </w:r>
      <w:r w:rsidRPr="000B454A">
        <w:rPr>
          <w:szCs w:val="22"/>
        </w:rPr>
        <w:t xml:space="preserve"> when they</w:t>
      </w:r>
      <w:r>
        <w:rPr>
          <w:szCs w:val="22"/>
        </w:rPr>
        <w:t xml:space="preserve"> have</w:t>
      </w:r>
      <w:r w:rsidRPr="000B454A">
        <w:rPr>
          <w:szCs w:val="22"/>
        </w:rPr>
        <w:t xml:space="preserve"> establish</w:t>
      </w:r>
      <w:r>
        <w:rPr>
          <w:szCs w:val="22"/>
        </w:rPr>
        <w:t>ed</w:t>
      </w:r>
      <w:r w:rsidRPr="000B454A">
        <w:rPr>
          <w:szCs w:val="22"/>
        </w:rPr>
        <w:t xml:space="preserve"> a link and exchange</w:t>
      </w:r>
      <w:r>
        <w:rPr>
          <w:szCs w:val="22"/>
        </w:rPr>
        <w:t>d</w:t>
      </w:r>
      <w:r w:rsidRPr="000B454A">
        <w:rPr>
          <w:szCs w:val="22"/>
        </w:rPr>
        <w:t xml:space="preserve"> related scheduling information</w:t>
      </w:r>
    </w:p>
    <w:p w14:paraId="5E97B055" w14:textId="77777777" w:rsidR="00A143B8" w:rsidRPr="00A143B8" w:rsidRDefault="00A143B8" w:rsidP="00CE6CEA">
      <w:pPr>
        <w:rPr>
          <w:i/>
          <w:szCs w:val="22"/>
        </w:rPr>
      </w:pPr>
    </w:p>
    <w:p w14:paraId="42375F67" w14:textId="77777777" w:rsidR="00AD6B39" w:rsidRDefault="00AD6B39" w:rsidP="00CE6CEA">
      <w:pPr>
        <w:rPr>
          <w:i/>
          <w:szCs w:val="22"/>
          <w:lang w:eastAsia="zh-CN"/>
        </w:rPr>
      </w:pPr>
      <w:r>
        <w:rPr>
          <w:rFonts w:hint="eastAsia"/>
          <w:i/>
          <w:szCs w:val="22"/>
          <w:lang w:eastAsia="zh-CN"/>
        </w:rPr>
        <w:t>Insert</w:t>
      </w:r>
      <w:r>
        <w:rPr>
          <w:i/>
          <w:szCs w:val="22"/>
          <w:lang w:eastAsia="zh-CN"/>
        </w:rPr>
        <w:t xml:space="preserve"> the following sentence at the end of the first paragraph of 10.39.10.1</w:t>
      </w:r>
    </w:p>
    <w:p w14:paraId="7C5492B4" w14:textId="184056BD" w:rsidR="00CE6CEA" w:rsidRPr="005E141C" w:rsidRDefault="00AD6B39" w:rsidP="00CE6CEA">
      <w:pPr>
        <w:rPr>
          <w:color w:val="FF0000"/>
          <w:szCs w:val="22"/>
          <w:u w:val="single"/>
        </w:rPr>
      </w:pPr>
      <w:r w:rsidRPr="005E141C">
        <w:rPr>
          <w:i/>
          <w:color w:val="FF0000"/>
          <w:szCs w:val="22"/>
          <w:u w:val="single"/>
          <w:lang w:eastAsia="zh-CN"/>
        </w:rPr>
        <w:t xml:space="preserve">After the completion of TDD beamforming and the exchange of Announce frames consisting of STA capabilities and network configuration, the AP and STA may perform the </w:t>
      </w:r>
      <w:proofErr w:type="spellStart"/>
      <w:r w:rsidRPr="005E141C">
        <w:rPr>
          <w:i/>
          <w:color w:val="FF0000"/>
          <w:szCs w:val="22"/>
          <w:u w:val="single"/>
          <w:lang w:eastAsia="zh-CN"/>
        </w:rPr>
        <w:t>authenticaltion</w:t>
      </w:r>
      <w:proofErr w:type="spellEnd"/>
      <w:r w:rsidRPr="005E141C">
        <w:rPr>
          <w:i/>
          <w:color w:val="FF0000"/>
          <w:szCs w:val="22"/>
          <w:u w:val="single"/>
          <w:lang w:eastAsia="zh-CN"/>
        </w:rPr>
        <w:t xml:space="preserve"> and association as described in 11.3.  </w:t>
      </w:r>
    </w:p>
    <w:p w14:paraId="2BA1A249" w14:textId="77777777" w:rsidR="00AD6B39" w:rsidRPr="000B454A" w:rsidRDefault="00AD6B39" w:rsidP="00CE6CEA">
      <w:pPr>
        <w:rPr>
          <w:szCs w:val="22"/>
        </w:rPr>
      </w:pPr>
    </w:p>
    <w:p w14:paraId="538CFDD3" w14:textId="77777777"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14:paraId="155B77AB" w14:textId="77777777" w:rsidTr="0078286B">
        <w:trPr>
          <w:trHeight w:val="841"/>
        </w:trPr>
        <w:tc>
          <w:tcPr>
            <w:tcW w:w="663" w:type="dxa"/>
          </w:tcPr>
          <w:p w14:paraId="62F259FF" w14:textId="77777777" w:rsidR="00CE6CEA" w:rsidRPr="00146351" w:rsidRDefault="00CE6CEA" w:rsidP="0078286B">
            <w:pPr>
              <w:rPr>
                <w:color w:val="000000" w:themeColor="text1"/>
              </w:rPr>
            </w:pPr>
            <w:r w:rsidRPr="00146351">
              <w:rPr>
                <w:rFonts w:hint="eastAsia"/>
                <w:color w:val="000000" w:themeColor="text1"/>
              </w:rPr>
              <w:t>CID</w:t>
            </w:r>
          </w:p>
        </w:tc>
        <w:tc>
          <w:tcPr>
            <w:tcW w:w="1219" w:type="dxa"/>
          </w:tcPr>
          <w:p w14:paraId="06737D62" w14:textId="77777777" w:rsidR="00CE6CEA" w:rsidRPr="00146351" w:rsidRDefault="00CE6CEA" w:rsidP="0078286B">
            <w:pPr>
              <w:rPr>
                <w:color w:val="000000" w:themeColor="text1"/>
              </w:rPr>
            </w:pPr>
            <w:r w:rsidRPr="00146351">
              <w:rPr>
                <w:rFonts w:hint="eastAsia"/>
                <w:color w:val="000000" w:themeColor="text1"/>
              </w:rPr>
              <w:t>Clause</w:t>
            </w:r>
          </w:p>
        </w:tc>
        <w:tc>
          <w:tcPr>
            <w:tcW w:w="3754" w:type="dxa"/>
          </w:tcPr>
          <w:p w14:paraId="179DC1BD" w14:textId="77777777" w:rsidR="00CE6CEA" w:rsidRPr="00146351" w:rsidRDefault="00CE6CEA" w:rsidP="0078286B">
            <w:pPr>
              <w:rPr>
                <w:color w:val="000000" w:themeColor="text1"/>
              </w:rPr>
            </w:pPr>
            <w:r w:rsidRPr="00146351">
              <w:rPr>
                <w:rFonts w:hint="eastAsia"/>
                <w:color w:val="000000" w:themeColor="text1"/>
              </w:rPr>
              <w:t>Comment</w:t>
            </w:r>
          </w:p>
        </w:tc>
        <w:tc>
          <w:tcPr>
            <w:tcW w:w="3573" w:type="dxa"/>
          </w:tcPr>
          <w:p w14:paraId="1A1E3EC9" w14:textId="77777777" w:rsidR="00CE6CEA" w:rsidRPr="00146351" w:rsidRDefault="00CE6CEA" w:rsidP="0078286B">
            <w:pPr>
              <w:rPr>
                <w:color w:val="000000" w:themeColor="text1"/>
              </w:rPr>
            </w:pPr>
            <w:r w:rsidRPr="00146351">
              <w:rPr>
                <w:rFonts w:hint="eastAsia"/>
                <w:color w:val="000000" w:themeColor="text1"/>
              </w:rPr>
              <w:t>Proposed change</w:t>
            </w:r>
          </w:p>
        </w:tc>
      </w:tr>
      <w:tr w:rsidR="000B454A" w:rsidRPr="00146351" w14:paraId="31AF498D" w14:textId="77777777" w:rsidTr="0078286B">
        <w:trPr>
          <w:trHeight w:val="841"/>
        </w:trPr>
        <w:tc>
          <w:tcPr>
            <w:tcW w:w="663" w:type="dxa"/>
          </w:tcPr>
          <w:p w14:paraId="710A9C02" w14:textId="77777777" w:rsidR="000B454A" w:rsidRPr="00835217" w:rsidRDefault="000B454A" w:rsidP="000B454A">
            <w:r w:rsidRPr="00835217">
              <w:t>1788</w:t>
            </w:r>
          </w:p>
        </w:tc>
        <w:tc>
          <w:tcPr>
            <w:tcW w:w="1219" w:type="dxa"/>
          </w:tcPr>
          <w:p w14:paraId="3F0FDE1B" w14:textId="77777777" w:rsidR="000B454A" w:rsidRPr="00835217" w:rsidRDefault="000B454A" w:rsidP="000B454A">
            <w:r w:rsidRPr="00835217">
              <w:t>10.36.6.4</w:t>
            </w:r>
          </w:p>
        </w:tc>
        <w:tc>
          <w:tcPr>
            <w:tcW w:w="3754" w:type="dxa"/>
          </w:tcPr>
          <w:p w14:paraId="5EC88281" w14:textId="77777777" w:rsidR="000B454A" w:rsidRPr="00835217" w:rsidRDefault="000B454A" w:rsidP="000B454A">
            <w:r w:rsidRPr="00835217">
              <w:t>If TDD channel access is operated, beam refinement procedure defined in the current standard cannot be used as it requires immediate handshakes. We have to define a procedure to enable beam refinement without immediate response.</w:t>
            </w:r>
          </w:p>
        </w:tc>
        <w:tc>
          <w:tcPr>
            <w:tcW w:w="3573" w:type="dxa"/>
          </w:tcPr>
          <w:p w14:paraId="4D4380C1" w14:textId="77777777" w:rsidR="000B454A" w:rsidRDefault="000B454A" w:rsidP="000B454A">
            <w:r w:rsidRPr="00835217">
              <w:t>Please consider to integrate beam refinement protocol for TDD channel access.</w:t>
            </w:r>
          </w:p>
        </w:tc>
      </w:tr>
    </w:tbl>
    <w:p w14:paraId="2CA56D1B" w14:textId="77777777" w:rsidR="00CE6CEA" w:rsidRPr="00146351" w:rsidRDefault="00CE6CEA" w:rsidP="00CE6CEA">
      <w:pPr>
        <w:rPr>
          <w:b/>
          <w:color w:val="000000" w:themeColor="text1"/>
          <w:szCs w:val="22"/>
          <w:lang w:eastAsia="zh-CN"/>
        </w:rPr>
      </w:pPr>
    </w:p>
    <w:p w14:paraId="61577834" w14:textId="77777777" w:rsidR="0011783C" w:rsidRDefault="00CE6CEA" w:rsidP="00157F2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143B8">
        <w:rPr>
          <w:color w:val="000000" w:themeColor="text1"/>
          <w:szCs w:val="22"/>
        </w:rPr>
        <w:t>Rejected</w:t>
      </w:r>
    </w:p>
    <w:p w14:paraId="73AB4319" w14:textId="77777777" w:rsidR="00A143B8" w:rsidRDefault="00A143B8" w:rsidP="00157F26">
      <w:pPr>
        <w:rPr>
          <w:color w:val="000000" w:themeColor="text1"/>
          <w:szCs w:val="22"/>
        </w:rPr>
      </w:pPr>
    </w:p>
    <w:p w14:paraId="0C39F89E" w14:textId="77777777" w:rsidR="00A143B8" w:rsidRPr="00A143B8" w:rsidRDefault="00A143B8" w:rsidP="00A143B8">
      <w:pPr>
        <w:pStyle w:val="ListParagraph"/>
        <w:numPr>
          <w:ilvl w:val="0"/>
          <w:numId w:val="29"/>
        </w:numPr>
        <w:ind w:firstLineChars="0"/>
        <w:rPr>
          <w:i/>
          <w:color w:val="000000" w:themeColor="text1"/>
          <w:szCs w:val="22"/>
        </w:rPr>
      </w:pPr>
      <w:r>
        <w:rPr>
          <w:rFonts w:eastAsiaTheme="minorEastAsia"/>
          <w:color w:val="000000" w:themeColor="text1"/>
          <w:szCs w:val="22"/>
          <w:lang w:eastAsia="zh-CN"/>
        </w:rPr>
        <w:t>Th</w:t>
      </w:r>
      <w:r w:rsidR="000B454A">
        <w:rPr>
          <w:rFonts w:eastAsiaTheme="minorEastAsia"/>
          <w:color w:val="000000" w:themeColor="text1"/>
          <w:szCs w:val="22"/>
          <w:lang w:eastAsia="zh-CN"/>
        </w:rPr>
        <w:t xml:space="preserve">is is already resolved in 0410r1 “Draft text for BRP Request and Response frame transmission in </w:t>
      </w:r>
      <w:proofErr w:type="spellStart"/>
      <w:r w:rsidR="000B454A">
        <w:rPr>
          <w:rFonts w:eastAsiaTheme="minorEastAsia"/>
          <w:color w:val="000000" w:themeColor="text1"/>
          <w:szCs w:val="22"/>
          <w:lang w:eastAsia="zh-CN"/>
        </w:rPr>
        <w:t>mmWave</w:t>
      </w:r>
      <w:proofErr w:type="spellEnd"/>
      <w:r w:rsidR="000B454A">
        <w:rPr>
          <w:rFonts w:eastAsiaTheme="minorEastAsia"/>
          <w:color w:val="000000" w:themeColor="text1"/>
          <w:szCs w:val="22"/>
          <w:lang w:eastAsia="zh-CN"/>
        </w:rPr>
        <w:t xml:space="preserve"> Distribution Networks”.</w:t>
      </w:r>
    </w:p>
    <w:p w14:paraId="2703737B" w14:textId="77777777" w:rsidR="007B6BA8" w:rsidRPr="000B454A" w:rsidRDefault="007B6BA8" w:rsidP="00CE6CEA">
      <w:pPr>
        <w:rPr>
          <w:color w:val="FF0000"/>
          <w:szCs w:val="22"/>
        </w:rPr>
      </w:pPr>
    </w:p>
    <w:p w14:paraId="4A72045C" w14:textId="77777777" w:rsidR="00CE6CEA" w:rsidRPr="00146351" w:rsidRDefault="00CE6CEA" w:rsidP="00CE6CEA">
      <w:pPr>
        <w:rPr>
          <w:szCs w:val="22"/>
        </w:rPr>
      </w:pPr>
    </w:p>
    <w:p w14:paraId="131E0CA0" w14:textId="77777777" w:rsidR="00A143B8" w:rsidRPr="000B454A" w:rsidRDefault="00A143B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36941B6D"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5E141C">
        <w:rPr>
          <w:b/>
          <w:bCs/>
          <w:szCs w:val="22"/>
          <w:lang w:val="en-US" w:eastAsia="ja-JP"/>
        </w:rPr>
        <w:t>1107</w:t>
      </w:r>
      <w:r w:rsidR="00AB2953" w:rsidRPr="00146351">
        <w:rPr>
          <w:b/>
          <w:bCs/>
          <w:szCs w:val="22"/>
          <w:lang w:val="en-US" w:eastAsia="ja-JP"/>
        </w:rPr>
        <w:t>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5A1E" w14:textId="77777777" w:rsidR="00992BE5" w:rsidRDefault="00992BE5">
      <w:r>
        <w:separator/>
      </w:r>
    </w:p>
  </w:endnote>
  <w:endnote w:type="continuationSeparator" w:id="0">
    <w:p w14:paraId="49A93C55" w14:textId="77777777" w:rsidR="00992BE5" w:rsidRDefault="0099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0E0793" w:rsidRDefault="00992BE5">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B1227A">
      <w:rPr>
        <w:noProof/>
      </w:rPr>
      <w:t>3</w:t>
    </w:r>
    <w:r w:rsidR="000E0793">
      <w:fldChar w:fldCharType="end"/>
    </w:r>
    <w:r w:rsidR="000E0793">
      <w:tab/>
    </w:r>
    <w:r>
      <w:fldChar w:fldCharType="begin"/>
    </w:r>
    <w:r>
      <w:instrText xml:space="preserve"> COMMENTS  \* MERGEFORMAT </w:instrText>
    </w:r>
    <w:r>
      <w:fldChar w:fldCharType="separate"/>
    </w:r>
    <w:r w:rsidR="000E0793">
      <w:t>Cheng Chen, Intel</w:t>
    </w:r>
    <w:r>
      <w:fldChar w:fldCharType="end"/>
    </w:r>
  </w:p>
  <w:p w14:paraId="51BBBB8F" w14:textId="77777777"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EE5D" w14:textId="77777777" w:rsidR="00992BE5" w:rsidRDefault="00992BE5">
      <w:r>
        <w:separator/>
      </w:r>
    </w:p>
  </w:footnote>
  <w:footnote w:type="continuationSeparator" w:id="0">
    <w:p w14:paraId="152358C2" w14:textId="77777777" w:rsidR="00992BE5" w:rsidRDefault="00992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0E0793" w:rsidRDefault="00992BE5">
    <w:pPr>
      <w:pStyle w:val="Header"/>
      <w:tabs>
        <w:tab w:val="clear" w:pos="6480"/>
        <w:tab w:val="center" w:pos="4680"/>
        <w:tab w:val="right" w:pos="9360"/>
      </w:tabs>
    </w:pPr>
    <w:r>
      <w:fldChar w:fldCharType="begin"/>
    </w:r>
    <w:r>
      <w:instrText xml:space="preserve"> KEYWORDS  \* MERGEFORMAT </w:instrText>
    </w:r>
    <w:r>
      <w:fldChar w:fldCharType="separate"/>
    </w:r>
    <w:r w:rsidR="005E141C">
      <w:t>Jul 2018</w:t>
    </w:r>
    <w:r>
      <w:fldChar w:fldCharType="end"/>
    </w:r>
    <w:r w:rsidR="000E0793">
      <w:tab/>
    </w:r>
    <w:r w:rsidR="000E0793">
      <w:tab/>
    </w:r>
    <w:r>
      <w:fldChar w:fldCharType="begin"/>
    </w:r>
    <w:r>
      <w:instrText xml:space="preserve"> TITLE  \* MERGEFORMAT </w:instrText>
    </w:r>
    <w:r>
      <w:fldChar w:fldCharType="separate"/>
    </w:r>
    <w:r w:rsidR="005E141C">
      <w:t>doc.: IEEE 802.11-18/1107r0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436AC"/>
    <w:rsid w:val="00052CDA"/>
    <w:rsid w:val="00057546"/>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43E67"/>
    <w:rsid w:val="00385E90"/>
    <w:rsid w:val="003A3DAA"/>
    <w:rsid w:val="003B7E31"/>
    <w:rsid w:val="003C5D0D"/>
    <w:rsid w:val="003D26C5"/>
    <w:rsid w:val="003E51C2"/>
    <w:rsid w:val="003E6362"/>
    <w:rsid w:val="003E7E3F"/>
    <w:rsid w:val="00442037"/>
    <w:rsid w:val="00452B17"/>
    <w:rsid w:val="004A2ED5"/>
    <w:rsid w:val="004B064B"/>
    <w:rsid w:val="004B566B"/>
    <w:rsid w:val="004C36F4"/>
    <w:rsid w:val="004D4B32"/>
    <w:rsid w:val="004E1F55"/>
    <w:rsid w:val="004F03D3"/>
    <w:rsid w:val="004F6888"/>
    <w:rsid w:val="00507A3E"/>
    <w:rsid w:val="005115B4"/>
    <w:rsid w:val="00537F72"/>
    <w:rsid w:val="00564670"/>
    <w:rsid w:val="005856AD"/>
    <w:rsid w:val="005869AF"/>
    <w:rsid w:val="005D0B43"/>
    <w:rsid w:val="005D6C83"/>
    <w:rsid w:val="005E141C"/>
    <w:rsid w:val="005E688B"/>
    <w:rsid w:val="006015AF"/>
    <w:rsid w:val="0062110B"/>
    <w:rsid w:val="00621638"/>
    <w:rsid w:val="0062440B"/>
    <w:rsid w:val="00626B9F"/>
    <w:rsid w:val="00650133"/>
    <w:rsid w:val="006803D3"/>
    <w:rsid w:val="006A5A9A"/>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66190"/>
    <w:rsid w:val="00880ED4"/>
    <w:rsid w:val="008B0301"/>
    <w:rsid w:val="008B3A42"/>
    <w:rsid w:val="008B3EF1"/>
    <w:rsid w:val="008E4DDC"/>
    <w:rsid w:val="0090175B"/>
    <w:rsid w:val="0090477F"/>
    <w:rsid w:val="00910026"/>
    <w:rsid w:val="00940267"/>
    <w:rsid w:val="00940A4F"/>
    <w:rsid w:val="00972CA7"/>
    <w:rsid w:val="00974C79"/>
    <w:rsid w:val="00977994"/>
    <w:rsid w:val="00992BE5"/>
    <w:rsid w:val="00995E31"/>
    <w:rsid w:val="009E5586"/>
    <w:rsid w:val="009F1274"/>
    <w:rsid w:val="009F2FBC"/>
    <w:rsid w:val="00A02C1F"/>
    <w:rsid w:val="00A04416"/>
    <w:rsid w:val="00A13F86"/>
    <w:rsid w:val="00A143B8"/>
    <w:rsid w:val="00A259B6"/>
    <w:rsid w:val="00A62766"/>
    <w:rsid w:val="00A660C6"/>
    <w:rsid w:val="00A724DB"/>
    <w:rsid w:val="00A747D9"/>
    <w:rsid w:val="00A77C26"/>
    <w:rsid w:val="00A83CAD"/>
    <w:rsid w:val="00A927A2"/>
    <w:rsid w:val="00A9392C"/>
    <w:rsid w:val="00AA2A80"/>
    <w:rsid w:val="00AA2B41"/>
    <w:rsid w:val="00AA427C"/>
    <w:rsid w:val="00AB2953"/>
    <w:rsid w:val="00AD6B39"/>
    <w:rsid w:val="00B1227A"/>
    <w:rsid w:val="00B126F0"/>
    <w:rsid w:val="00B40197"/>
    <w:rsid w:val="00B80F99"/>
    <w:rsid w:val="00B9376F"/>
    <w:rsid w:val="00B96811"/>
    <w:rsid w:val="00BB63B3"/>
    <w:rsid w:val="00BC3B91"/>
    <w:rsid w:val="00BE68C2"/>
    <w:rsid w:val="00C22CB7"/>
    <w:rsid w:val="00C315EC"/>
    <w:rsid w:val="00C32B22"/>
    <w:rsid w:val="00C41092"/>
    <w:rsid w:val="00C415B3"/>
    <w:rsid w:val="00C7093F"/>
    <w:rsid w:val="00C86428"/>
    <w:rsid w:val="00CA01B1"/>
    <w:rsid w:val="00CA09B2"/>
    <w:rsid w:val="00CB0E04"/>
    <w:rsid w:val="00CE1D26"/>
    <w:rsid w:val="00CE6CEA"/>
    <w:rsid w:val="00D1771B"/>
    <w:rsid w:val="00D36595"/>
    <w:rsid w:val="00D43CD3"/>
    <w:rsid w:val="00D723A4"/>
    <w:rsid w:val="00DC5A7B"/>
    <w:rsid w:val="00DC6A98"/>
    <w:rsid w:val="00DD3530"/>
    <w:rsid w:val="00E12375"/>
    <w:rsid w:val="00E841D2"/>
    <w:rsid w:val="00EC02CD"/>
    <w:rsid w:val="00EC3CF2"/>
    <w:rsid w:val="00EE5778"/>
    <w:rsid w:val="00F1414B"/>
    <w:rsid w:val="00F45220"/>
    <w:rsid w:val="00F66037"/>
    <w:rsid w:val="00F67E6F"/>
    <w:rsid w:val="00F70CAC"/>
    <w:rsid w:val="00F71EF0"/>
    <w:rsid w:val="00F8757E"/>
    <w:rsid w:val="00F96808"/>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8398</TotalTime>
  <Pages>4</Pages>
  <Words>767</Words>
  <Characters>4239</Characters>
  <Application>Microsoft Office Word</Application>
  <DocSecurity>0</DocSecurity>
  <Lines>205</Lines>
  <Paragraphs>83</Paragraphs>
  <ScaleCrop>false</ScaleCrop>
  <HeadingPairs>
    <vt:vector size="2" baseType="variant">
      <vt:variant>
        <vt:lpstr>Title</vt:lpstr>
      </vt:variant>
      <vt:variant>
        <vt:i4>1</vt:i4>
      </vt:variant>
    </vt:vector>
  </HeadingPairs>
  <TitlesOfParts>
    <vt:vector size="1" baseType="lpstr">
      <vt:lpstr>doc.: IEEE 802.11-18/1107r0</vt:lpstr>
    </vt:vector>
  </TitlesOfParts>
  <Company>Some Company</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802.11-18/1107r0</dc:title>
  <dc:subject>Submission</dc:subject>
  <dc:creator>cheng.chen@intel.com</dc:creator>
  <cp:keywords>Jul 2018, CTPClassification=CTP_NT</cp:keywords>
  <dc:description>Cheng Chen, Intel</dc:description>
  <cp:lastModifiedBy>Chen, Cheng</cp:lastModifiedBy>
  <cp:revision>67</cp:revision>
  <cp:lastPrinted>2017-02-23T01:37:00Z</cp:lastPrinted>
  <dcterms:created xsi:type="dcterms:W3CDTF">2017-02-23T01:37:00Z</dcterms:created>
  <dcterms:modified xsi:type="dcterms:W3CDTF">2018-07-05T21:11:00Z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2018-07-05 21:11:25Z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