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32"/>
        <w:gridCol w:w="2814"/>
        <w:gridCol w:w="982"/>
        <w:gridCol w:w="2380"/>
      </w:tblGrid>
      <w:tr w:rsidR="00CA09B2">
        <w:trPr>
          <w:trHeight w:val="485"/>
          <w:jc w:val="center"/>
        </w:trPr>
        <w:tc>
          <w:tcPr>
            <w:tcW w:w="9576" w:type="dxa"/>
            <w:gridSpan w:val="5"/>
            <w:vAlign w:val="center"/>
          </w:tcPr>
          <w:p w:rsidR="00CA09B2" w:rsidRDefault="00984D54">
            <w:pPr>
              <w:pStyle w:val="T2"/>
            </w:pPr>
            <w:r>
              <w:t xml:space="preserve">EHT TIG </w:t>
            </w:r>
            <w:r w:rsidR="00226E23">
              <w:t>Teleconference</w:t>
            </w:r>
            <w:r>
              <w:t xml:space="preserve"> Minutes, June 2018</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984D54">
              <w:rPr>
                <w:b w:val="0"/>
                <w:sz w:val="20"/>
              </w:rPr>
              <w:t>2018</w:t>
            </w:r>
            <w:r>
              <w:rPr>
                <w:b w:val="0"/>
                <w:sz w:val="20"/>
              </w:rPr>
              <w:t>-</w:t>
            </w:r>
            <w:r w:rsidR="00984D54">
              <w:rPr>
                <w:b w:val="0"/>
                <w:sz w:val="20"/>
              </w:rPr>
              <w:t>06</w:t>
            </w:r>
            <w:r>
              <w:rPr>
                <w:b w:val="0"/>
                <w:sz w:val="20"/>
              </w:rPr>
              <w:t>-</w:t>
            </w:r>
            <w:r w:rsidR="00984D54">
              <w:rPr>
                <w:b w:val="0"/>
                <w:sz w:val="20"/>
              </w:rPr>
              <w:t>18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84D54">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1732"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982" w:type="dxa"/>
            <w:vAlign w:val="center"/>
          </w:tcPr>
          <w:p w:rsidR="00CA09B2" w:rsidRDefault="00CA09B2">
            <w:pPr>
              <w:pStyle w:val="T2"/>
              <w:spacing w:after="0"/>
              <w:ind w:left="0" w:right="0"/>
              <w:jc w:val="left"/>
              <w:rPr>
                <w:sz w:val="20"/>
              </w:rPr>
            </w:pPr>
            <w:r>
              <w:rPr>
                <w:sz w:val="20"/>
              </w:rPr>
              <w:t>Phone</w:t>
            </w:r>
          </w:p>
        </w:tc>
        <w:tc>
          <w:tcPr>
            <w:tcW w:w="2380" w:type="dxa"/>
            <w:vAlign w:val="center"/>
          </w:tcPr>
          <w:p w:rsidR="00CA09B2" w:rsidRDefault="00CA09B2">
            <w:pPr>
              <w:pStyle w:val="T2"/>
              <w:spacing w:after="0"/>
              <w:ind w:left="0" w:right="0"/>
              <w:jc w:val="left"/>
              <w:rPr>
                <w:sz w:val="20"/>
              </w:rPr>
            </w:pPr>
            <w:r>
              <w:rPr>
                <w:sz w:val="20"/>
              </w:rPr>
              <w:t>email</w:t>
            </w:r>
          </w:p>
        </w:tc>
      </w:tr>
      <w:tr w:rsidR="00CA09B2" w:rsidTr="00984D54">
        <w:trPr>
          <w:jc w:val="center"/>
        </w:trPr>
        <w:tc>
          <w:tcPr>
            <w:tcW w:w="1668" w:type="dxa"/>
            <w:vAlign w:val="center"/>
          </w:tcPr>
          <w:p w:rsidR="00CA09B2" w:rsidRDefault="00984D54">
            <w:pPr>
              <w:pStyle w:val="T2"/>
              <w:spacing w:after="0"/>
              <w:ind w:left="0" w:right="0"/>
              <w:rPr>
                <w:b w:val="0"/>
                <w:sz w:val="20"/>
              </w:rPr>
            </w:pPr>
            <w:r>
              <w:rPr>
                <w:b w:val="0"/>
                <w:sz w:val="20"/>
              </w:rPr>
              <w:t>Dennis Sundman</w:t>
            </w:r>
          </w:p>
        </w:tc>
        <w:tc>
          <w:tcPr>
            <w:tcW w:w="1732" w:type="dxa"/>
            <w:vAlign w:val="center"/>
          </w:tcPr>
          <w:p w:rsidR="00CA09B2" w:rsidRDefault="00984D54">
            <w:pPr>
              <w:pStyle w:val="T2"/>
              <w:spacing w:after="0"/>
              <w:ind w:left="0" w:right="0"/>
              <w:rPr>
                <w:b w:val="0"/>
                <w:sz w:val="20"/>
              </w:rPr>
            </w:pPr>
            <w:r>
              <w:rPr>
                <w:b w:val="0"/>
                <w:sz w:val="20"/>
              </w:rPr>
              <w:t>Ericsson AB</w:t>
            </w:r>
          </w:p>
        </w:tc>
        <w:tc>
          <w:tcPr>
            <w:tcW w:w="2814" w:type="dxa"/>
            <w:vAlign w:val="center"/>
          </w:tcPr>
          <w:p w:rsidR="00CA09B2" w:rsidRDefault="00CA09B2">
            <w:pPr>
              <w:pStyle w:val="T2"/>
              <w:spacing w:after="0"/>
              <w:ind w:left="0" w:right="0"/>
              <w:rPr>
                <w:b w:val="0"/>
                <w:sz w:val="20"/>
              </w:rPr>
            </w:pPr>
          </w:p>
        </w:tc>
        <w:tc>
          <w:tcPr>
            <w:tcW w:w="982" w:type="dxa"/>
            <w:vAlign w:val="center"/>
          </w:tcPr>
          <w:p w:rsidR="00CA09B2" w:rsidRDefault="00CA09B2">
            <w:pPr>
              <w:pStyle w:val="T2"/>
              <w:spacing w:after="0"/>
              <w:ind w:left="0" w:right="0"/>
              <w:rPr>
                <w:b w:val="0"/>
                <w:sz w:val="20"/>
              </w:rPr>
            </w:pPr>
          </w:p>
        </w:tc>
        <w:tc>
          <w:tcPr>
            <w:tcW w:w="2380" w:type="dxa"/>
            <w:vAlign w:val="center"/>
          </w:tcPr>
          <w:p w:rsidR="00CA09B2" w:rsidRDefault="00984D54">
            <w:pPr>
              <w:pStyle w:val="T2"/>
              <w:spacing w:after="0"/>
              <w:ind w:left="0" w:right="0"/>
              <w:rPr>
                <w:b w:val="0"/>
                <w:sz w:val="16"/>
              </w:rPr>
            </w:pPr>
            <w:r>
              <w:rPr>
                <w:b w:val="0"/>
                <w:sz w:val="16"/>
              </w:rPr>
              <w:t>dennis.sundman@ericsson.com</w:t>
            </w:r>
          </w:p>
        </w:tc>
      </w:tr>
      <w:tr w:rsidR="00CA09B2" w:rsidTr="00984D54">
        <w:trPr>
          <w:jc w:val="center"/>
        </w:trPr>
        <w:tc>
          <w:tcPr>
            <w:tcW w:w="1668" w:type="dxa"/>
            <w:vAlign w:val="center"/>
          </w:tcPr>
          <w:p w:rsidR="00CA09B2" w:rsidRDefault="00CA09B2">
            <w:pPr>
              <w:pStyle w:val="T2"/>
              <w:spacing w:after="0"/>
              <w:ind w:left="0" w:right="0"/>
              <w:rPr>
                <w:b w:val="0"/>
                <w:sz w:val="20"/>
              </w:rPr>
            </w:pPr>
          </w:p>
        </w:tc>
        <w:tc>
          <w:tcPr>
            <w:tcW w:w="1732"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982" w:type="dxa"/>
            <w:vAlign w:val="center"/>
          </w:tcPr>
          <w:p w:rsidR="00CA09B2" w:rsidRDefault="00CA09B2">
            <w:pPr>
              <w:pStyle w:val="T2"/>
              <w:spacing w:after="0"/>
              <w:ind w:left="0" w:right="0"/>
              <w:rPr>
                <w:b w:val="0"/>
                <w:sz w:val="20"/>
              </w:rPr>
            </w:pPr>
          </w:p>
        </w:tc>
        <w:tc>
          <w:tcPr>
            <w:tcW w:w="2380" w:type="dxa"/>
            <w:vAlign w:val="center"/>
          </w:tcPr>
          <w:p w:rsidR="00CA09B2" w:rsidRDefault="00CA09B2">
            <w:pPr>
              <w:pStyle w:val="T2"/>
              <w:spacing w:after="0"/>
              <w:ind w:left="0" w:right="0"/>
              <w:rPr>
                <w:b w:val="0"/>
                <w:sz w:val="16"/>
              </w:rPr>
            </w:pPr>
          </w:p>
        </w:tc>
      </w:tr>
    </w:tbl>
    <w:p w:rsidR="00CA09B2" w:rsidRDefault="00D91A49">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984D54">
                            <w:pPr>
                              <w:jc w:val="both"/>
                            </w:pPr>
                            <w:r>
                              <w:t>This document contains minutes from the telephone conference held in June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984D54">
                      <w:pPr>
                        <w:jc w:val="both"/>
                      </w:pPr>
                      <w:r>
                        <w:t>This document contains minutes from the telephone conference held in June 2018.</w:t>
                      </w:r>
                    </w:p>
                  </w:txbxContent>
                </v:textbox>
              </v:shape>
            </w:pict>
          </mc:Fallback>
        </mc:AlternateContent>
      </w:r>
    </w:p>
    <w:p w:rsidR="00CA09B2" w:rsidRDefault="00CA09B2" w:rsidP="00984D54">
      <w:r>
        <w:br w:type="page"/>
      </w:r>
      <w:bookmarkStart w:id="0" w:name="_GoBack"/>
      <w:bookmarkEnd w:id="0"/>
    </w:p>
    <w:p w:rsidR="00CA09B2" w:rsidRDefault="00CA09B2"/>
    <w:p w:rsidR="00CA09B2" w:rsidRDefault="00CA09B2"/>
    <w:p w:rsidR="00984D54" w:rsidRDefault="00984D54" w:rsidP="00984D54">
      <w:pPr>
        <w:pStyle w:val="Heading1"/>
      </w:pPr>
      <w:r>
        <w:t>Teleconference Monday, May 18</w:t>
      </w:r>
      <w:r w:rsidRPr="00984D54">
        <w:rPr>
          <w:vertAlign w:val="superscript"/>
        </w:rPr>
        <w:t>th</w:t>
      </w:r>
      <w:r>
        <w:t xml:space="preserve"> , 2018, </w:t>
      </w:r>
      <w:r w:rsidR="00226E23">
        <w:t>10:00</w:t>
      </w:r>
      <w:r>
        <w:t>-</w:t>
      </w:r>
      <w:r w:rsidR="00226E23">
        <w:t>11:00</w:t>
      </w:r>
      <w:r>
        <w:t xml:space="preserve"> (ET)</w:t>
      </w:r>
    </w:p>
    <w:p w:rsidR="00984D54" w:rsidRDefault="00984D54" w:rsidP="00984D54">
      <w:pPr>
        <w:pStyle w:val="Heading2"/>
      </w:pPr>
      <w:r w:rsidRPr="00984D54">
        <w:t>Agenda:</w:t>
      </w:r>
    </w:p>
    <w:p w:rsidR="00984D54" w:rsidRDefault="00984D54" w:rsidP="00984D54">
      <w:pPr>
        <w:pStyle w:val="m-4890597653018465012gmail-msolistparagraph"/>
        <w:rPr>
          <w:rFonts w:ascii="Calibri" w:hAnsi="Calibri" w:cs="Calibri"/>
          <w:sz w:val="22"/>
          <w:szCs w:val="22"/>
        </w:rPr>
      </w:pPr>
      <w:r>
        <w:rPr>
          <w:rFonts w:ascii="Calibri" w:hAnsi="Calibri" w:cs="Calibri"/>
          <w:sz w:val="22"/>
          <w:szCs w:val="22"/>
        </w:rPr>
        <w:t>0.     Appoint a recording secretary.</w:t>
      </w:r>
    </w:p>
    <w:p w:rsidR="00984D54" w:rsidRDefault="00984D54" w:rsidP="00984D54">
      <w:pPr>
        <w:pStyle w:val="m-4890597653018465012gmail-msolistparagraph"/>
        <w:rPr>
          <w:sz w:val="14"/>
          <w:szCs w:val="14"/>
        </w:rPr>
      </w:pPr>
      <w:r>
        <w:rPr>
          <w:rFonts w:ascii="Calibri" w:hAnsi="Calibri" w:cs="Calibri"/>
          <w:sz w:val="22"/>
          <w:szCs w:val="22"/>
        </w:rPr>
        <w:t>1.</w:t>
      </w:r>
      <w:r>
        <w:rPr>
          <w:sz w:val="14"/>
          <w:szCs w:val="14"/>
        </w:rPr>
        <w:t xml:space="preserve">       </w:t>
      </w:r>
      <w:r>
        <w:rPr>
          <w:rFonts w:ascii="Calibri" w:hAnsi="Calibri" w:cs="Calibri"/>
          <w:sz w:val="22"/>
          <w:szCs w:val="22"/>
        </w:rPr>
        <w:t>Call to order, attendance, and patent policy</w:t>
      </w:r>
    </w:p>
    <w:p w:rsidR="00984D54" w:rsidRDefault="00984D54" w:rsidP="00984D54">
      <w:pPr>
        <w:pStyle w:val="m-4890597653018465012gmail-msolistparagraph"/>
        <w:ind w:left="1440"/>
        <w:contextualSpacing/>
      </w:pPr>
      <w:r>
        <w:rPr>
          <w:rFonts w:ascii="Calibri" w:hAnsi="Calibri" w:cs="Calibri"/>
          <w:sz w:val="22"/>
          <w:szCs w:val="22"/>
        </w:rPr>
        <w:t>a.</w:t>
      </w:r>
      <w:r>
        <w:rPr>
          <w:sz w:val="14"/>
          <w:szCs w:val="14"/>
        </w:rPr>
        <w:t xml:space="preserve">       </w:t>
      </w:r>
      <w:r>
        <w:rPr>
          <w:rFonts w:ascii="Calibri" w:hAnsi="Calibri" w:cs="Calibri"/>
          <w:sz w:val="22"/>
          <w:szCs w:val="22"/>
        </w:rPr>
        <w:t xml:space="preserve">Call for potentially essential patents: </w:t>
      </w:r>
      <w:r>
        <w:rPr>
          <w:rFonts w:ascii="Calibri" w:hAnsi="Calibri" w:cs="Calibri"/>
          <w:b/>
          <w:bCs/>
          <w:sz w:val="22"/>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984D54" w:rsidRDefault="00984D54" w:rsidP="00984D54">
      <w:pPr>
        <w:pStyle w:val="m-4890597653018465012gmail-msolistparagraph"/>
        <w:ind w:left="2160"/>
        <w:contextualSpacing/>
      </w:pPr>
      <w:r>
        <w:rPr>
          <w:sz w:val="14"/>
          <w:szCs w:val="14"/>
        </w:rPr>
        <w:t xml:space="preserve">                                                               </w:t>
      </w:r>
      <w:r>
        <w:rPr>
          <w:rFonts w:ascii="Calibri" w:hAnsi="Calibri" w:cs="Calibri"/>
          <w:sz w:val="22"/>
          <w:szCs w:val="22"/>
        </w:rPr>
        <w:t>i.</w:t>
      </w:r>
      <w:r>
        <w:rPr>
          <w:sz w:val="14"/>
          <w:szCs w:val="14"/>
        </w:rPr>
        <w:t xml:space="preserve">      </w:t>
      </w:r>
      <w:r>
        <w:rPr>
          <w:rFonts w:ascii="Calibri" w:hAnsi="Calibri" w:cs="Calibri"/>
          <w:sz w:val="22"/>
          <w:szCs w:val="22"/>
        </w:rPr>
        <w:t>Either speak up now or</w:t>
      </w:r>
    </w:p>
    <w:p w:rsidR="00984D54" w:rsidRDefault="00984D54" w:rsidP="00984D54">
      <w:pPr>
        <w:pStyle w:val="m-4890597653018465012gmail-msolistparagraph"/>
        <w:ind w:left="2160"/>
        <w:contextualSpacing/>
      </w:pPr>
      <w:r>
        <w:rPr>
          <w:sz w:val="14"/>
          <w:szCs w:val="14"/>
        </w:rPr>
        <w:t xml:space="preserve">                                                             </w:t>
      </w:r>
      <w:r>
        <w:rPr>
          <w:rFonts w:ascii="Calibri" w:hAnsi="Calibri" w:cs="Calibri"/>
          <w:sz w:val="22"/>
          <w:szCs w:val="22"/>
        </w:rPr>
        <w:t>ii.</w:t>
      </w:r>
      <w:r>
        <w:rPr>
          <w:sz w:val="14"/>
          <w:szCs w:val="14"/>
        </w:rPr>
        <w:t xml:space="preserve">      </w:t>
      </w:r>
      <w:r>
        <w:rPr>
          <w:rFonts w:ascii="Calibri" w:hAnsi="Calibri" w:cs="Calibri"/>
          <w:sz w:val="22"/>
          <w:szCs w:val="22"/>
        </w:rPr>
        <w:t>Provide the chair of this group with the identity of the holder(s) of any and all such claims as soon as possible or</w:t>
      </w:r>
    </w:p>
    <w:p w:rsidR="00984D54" w:rsidRDefault="00984D54" w:rsidP="00984D54">
      <w:pPr>
        <w:pStyle w:val="m-4890597653018465012gmail-msolistparagraph"/>
        <w:ind w:left="2160"/>
        <w:contextualSpacing/>
      </w:pPr>
      <w:r>
        <w:rPr>
          <w:sz w:val="14"/>
          <w:szCs w:val="14"/>
        </w:rPr>
        <w:t xml:space="preserve">                                                           </w:t>
      </w:r>
      <w:r>
        <w:rPr>
          <w:rFonts w:ascii="Calibri" w:hAnsi="Calibri" w:cs="Calibri"/>
          <w:sz w:val="22"/>
          <w:szCs w:val="22"/>
        </w:rPr>
        <w:t>iii.</w:t>
      </w:r>
      <w:r>
        <w:rPr>
          <w:sz w:val="14"/>
          <w:szCs w:val="14"/>
        </w:rPr>
        <w:t xml:space="preserve">      </w:t>
      </w:r>
      <w:r>
        <w:rPr>
          <w:rFonts w:ascii="Calibri" w:hAnsi="Calibri" w:cs="Calibri"/>
          <w:sz w:val="22"/>
          <w:szCs w:val="22"/>
        </w:rPr>
        <w:t>Cause an LOA to be submitted</w:t>
      </w:r>
    </w:p>
    <w:p w:rsidR="00984D54" w:rsidRDefault="00984D54" w:rsidP="00984D54">
      <w:pPr>
        <w:pStyle w:val="m-4890597653018465012gmail-msolistparagraph"/>
        <w:spacing w:beforeAutospacing="0" w:after="240" w:afterAutospacing="0"/>
        <w:ind w:left="1440"/>
        <w:contextualSpacing/>
      </w:pPr>
      <w:r>
        <w:rPr>
          <w:rFonts w:ascii="Calibri" w:hAnsi="Calibri" w:cs="Calibri"/>
          <w:sz w:val="22"/>
          <w:szCs w:val="22"/>
        </w:rPr>
        <w:t>b.</w:t>
      </w:r>
      <w:r>
        <w:rPr>
          <w:sz w:val="14"/>
          <w:szCs w:val="14"/>
        </w:rPr>
        <w:t xml:space="preserve">      </w:t>
      </w:r>
      <w:hyperlink r:id="rId8" w:tgtFrame="_blank" w:history="1">
        <w:r>
          <w:rPr>
            <w:rStyle w:val="Hyperlink"/>
            <w:rFonts w:ascii="Calibri" w:hAnsi="Calibri" w:cs="Calibri"/>
            <w:sz w:val="22"/>
            <w:szCs w:val="22"/>
            <w:lang w:val="en-US"/>
          </w:rPr>
          <w:t>https://mentor.ieee.org/802-ec/dcn/16/ec-16-0180-05-00EC-ieee-802-participation-slide.pptx</w:t>
        </w:r>
      </w:hyperlink>
    </w:p>
    <w:p w:rsidR="00984D54" w:rsidRDefault="00984D54" w:rsidP="00984D54">
      <w:pPr>
        <w:pStyle w:val="m-4890597653018465012gmail-msolistparagraph"/>
        <w:rPr>
          <w:rFonts w:ascii="Calibri" w:hAnsi="Calibri" w:cs="Calibri"/>
          <w:sz w:val="22"/>
          <w:szCs w:val="22"/>
        </w:rPr>
      </w:pPr>
      <w:r>
        <w:rPr>
          <w:rFonts w:ascii="Calibri" w:hAnsi="Calibri" w:cs="Calibri"/>
          <w:sz w:val="22"/>
          <w:szCs w:val="22"/>
        </w:rPr>
        <w:t>2.</w:t>
      </w:r>
      <w:r>
        <w:rPr>
          <w:sz w:val="14"/>
          <w:szCs w:val="14"/>
        </w:rPr>
        <w:t xml:space="preserve">       </w:t>
      </w:r>
      <w:r>
        <w:rPr>
          <w:rFonts w:ascii="Calibri" w:hAnsi="Calibri" w:cs="Calibri"/>
          <w:sz w:val="22"/>
          <w:szCs w:val="22"/>
        </w:rPr>
        <w:t xml:space="preserve">Introductions </w:t>
      </w:r>
    </w:p>
    <w:p w:rsidR="00984D54" w:rsidRDefault="00984D54" w:rsidP="00984D54">
      <w:pPr>
        <w:pStyle w:val="m-4890597653018465012gmail-msolistparagraph"/>
        <w:rPr>
          <w:rFonts w:ascii="Calibri" w:hAnsi="Calibri" w:cs="Calibri"/>
          <w:sz w:val="22"/>
          <w:szCs w:val="22"/>
        </w:rPr>
      </w:pPr>
      <w:r>
        <w:rPr>
          <w:rFonts w:ascii="Calibri" w:hAnsi="Calibri" w:cs="Calibri"/>
          <w:sz w:val="22"/>
          <w:szCs w:val="22"/>
        </w:rPr>
        <w:t>3.     Review operating rules for a TIG</w:t>
      </w:r>
    </w:p>
    <w:p w:rsidR="00984D54" w:rsidRDefault="00984D54" w:rsidP="00984D54">
      <w:pPr>
        <w:ind w:left="720"/>
      </w:pPr>
      <w:r>
        <w:t>“A “topic interest group” (TIG) is a standing committee of the 802.11 working group that is formed to progress a specific topic.</w:t>
      </w:r>
    </w:p>
    <w:p w:rsidR="00984D54" w:rsidRDefault="00984D54" w:rsidP="00984D54">
      <w:pPr>
        <w:ind w:left="720"/>
      </w:pPr>
    </w:p>
    <w:p w:rsidR="00984D54" w:rsidRDefault="00984D54" w:rsidP="00984D54">
      <w:pPr>
        <w:ind w:left="720"/>
      </w:pPr>
      <w:r>
        <w:t>A TIG might be used prior to a formal study group to raise awareness and understanding of a potential study group.</w:t>
      </w:r>
    </w:p>
    <w:p w:rsidR="00984D54" w:rsidRDefault="00984D54" w:rsidP="00984D54">
      <w:pPr>
        <w:ind w:left="720"/>
      </w:pPr>
    </w:p>
    <w:p w:rsidR="00984D54" w:rsidRDefault="00984D54" w:rsidP="00984D54">
      <w:pPr>
        <w:ind w:left="720"/>
      </w:pPr>
      <w:r>
        <w:t>A TIG follows all the rules for a WG11 standing committee.</w:t>
      </w:r>
    </w:p>
    <w:p w:rsidR="00984D54" w:rsidRDefault="00984D54" w:rsidP="00984D54">
      <w:pPr>
        <w:ind w:left="720"/>
      </w:pPr>
    </w:p>
    <w:p w:rsidR="00984D54" w:rsidRDefault="00984D54" w:rsidP="00984D54">
      <w:pPr>
        <w:ind w:left="720"/>
      </w:pPr>
      <w:r>
        <w:t>A TIG is formed by WG motion and dissolved as determined by the WG chair.</w:t>
      </w:r>
    </w:p>
    <w:p w:rsidR="00984D54" w:rsidRDefault="00984D54" w:rsidP="00984D54">
      <w:pPr>
        <w:ind w:left="720"/>
      </w:pPr>
    </w:p>
    <w:p w:rsidR="00984D54" w:rsidRDefault="00984D54" w:rsidP="00984D54">
      <w:pPr>
        <w:ind w:left="720"/>
      </w:pPr>
      <w:r>
        <w:t xml:space="preserve">A TIG group is formed after discussion during a WG plenary during which the goals of the TIG are identified, and a motion to form the TIG achieves a simple majority. </w:t>
      </w:r>
    </w:p>
    <w:p w:rsidR="00984D54" w:rsidRDefault="00984D54" w:rsidP="00984D54">
      <w:pPr>
        <w:ind w:left="720"/>
      </w:pPr>
    </w:p>
    <w:p w:rsidR="00984D54" w:rsidRDefault="00984D54" w:rsidP="00984D54">
      <w:pPr>
        <w:ind w:left="720"/>
      </w:pPr>
      <w:r>
        <w:t>Typically a TIG will exist for no more than 6 months.”</w:t>
      </w:r>
    </w:p>
    <w:p w:rsidR="00984D54" w:rsidRDefault="00984D54" w:rsidP="00984D54">
      <w:pPr>
        <w:ind w:left="720"/>
      </w:pPr>
    </w:p>
    <w:p w:rsidR="00984D54" w:rsidRPr="00984D54" w:rsidRDefault="00984D54" w:rsidP="00984D54">
      <w:pPr>
        <w:rPr>
          <w:rFonts w:ascii="Calibri" w:hAnsi="Calibri" w:cs="Calibri"/>
        </w:rPr>
      </w:pPr>
      <w:r>
        <w:t>4</w:t>
      </w:r>
      <w:r w:rsidRPr="00984D54">
        <w:rPr>
          <w:rFonts w:ascii="Calibri" w:hAnsi="Calibri" w:cs="Calibri"/>
        </w:rPr>
        <w:t>.    EHT TIG objectives</w:t>
      </w:r>
    </w:p>
    <w:p w:rsidR="00984D54" w:rsidRDefault="00984D54" w:rsidP="00984D54">
      <w:pPr>
        <w:ind w:left="720"/>
      </w:pPr>
    </w:p>
    <w:p w:rsidR="00984D54" w:rsidRPr="00984D54" w:rsidRDefault="00984D54" w:rsidP="00984D54">
      <w:pPr>
        <w:pStyle w:val="ListParagraph"/>
        <w:numPr>
          <w:ilvl w:val="0"/>
          <w:numId w:val="1"/>
        </w:numPr>
        <w:rPr>
          <w:rFonts w:ascii="Calibri" w:hAnsi="Calibri" w:cs="Calibri"/>
          <w:sz w:val="22"/>
          <w:szCs w:val="22"/>
        </w:rPr>
      </w:pPr>
      <w:r w:rsidRPr="00984D54">
        <w:rPr>
          <w:rFonts w:ascii="Calibri" w:hAnsi="Calibri" w:cs="Calibri"/>
          <w:sz w:val="22"/>
          <w:szCs w:val="22"/>
        </w:rPr>
        <w:t>Motion that approved the EHT TIG:</w:t>
      </w:r>
    </w:p>
    <w:p w:rsidR="00984D54" w:rsidRPr="00984D54" w:rsidRDefault="00984D54" w:rsidP="00984D54">
      <w:pPr>
        <w:ind w:left="720"/>
        <w:rPr>
          <w:rFonts w:ascii="Calibri" w:hAnsi="Calibri" w:cs="Calibri"/>
          <w:szCs w:val="22"/>
          <w:lang w:val="en-CA"/>
        </w:rPr>
      </w:pPr>
      <w:r w:rsidRPr="00984D54">
        <w:rPr>
          <w:rFonts w:ascii="Calibri" w:hAnsi="Calibri" w:cs="Calibri"/>
          <w:szCs w:val="22"/>
        </w:rPr>
        <w:t>“</w:t>
      </w:r>
      <w:r w:rsidRPr="00984D54">
        <w:rPr>
          <w:rFonts w:ascii="Calibri" w:hAnsi="Calibri" w:cs="Calibri"/>
          <w:b/>
          <w:bCs/>
          <w:szCs w:val="22"/>
          <w:lang w:val="en-US"/>
        </w:rPr>
        <w:t>Approve formation of an XT TIG to initiate discussion on new 802.11 features for bands between 1 and 7.125 GHz:</w:t>
      </w:r>
      <w:r w:rsidRPr="00984D54">
        <w:rPr>
          <w:rFonts w:ascii="Calibri" w:hAnsi="Calibri" w:cs="Calibri"/>
          <w:szCs w:val="22"/>
          <w:lang w:val="en-US"/>
        </w:rPr>
        <w:t> </w:t>
      </w:r>
      <w:r w:rsidRPr="00984D54">
        <w:rPr>
          <w:rFonts w:ascii="Calibri" w:hAnsi="Calibri" w:cs="Calibri"/>
          <w:b/>
          <w:bCs/>
          <w:szCs w:val="22"/>
          <w:lang w:val="en-US"/>
        </w:rPr>
        <w:t>with the primary objective to increase peak throughput</w:t>
      </w:r>
      <w:r w:rsidRPr="00984D54">
        <w:rPr>
          <w:rFonts w:ascii="Calibri" w:hAnsi="Calibri" w:cs="Calibri"/>
          <w:szCs w:val="22"/>
          <w:lang w:val="en-US"/>
        </w:rPr>
        <w:t> </w:t>
      </w:r>
      <w:r w:rsidRPr="00984D54">
        <w:rPr>
          <w:rFonts w:ascii="Calibri" w:hAnsi="Calibri" w:cs="Calibri"/>
          <w:b/>
          <w:bCs/>
          <w:szCs w:val="22"/>
          <w:lang w:val="en-US"/>
        </w:rPr>
        <w:t>candidate features include but are not limited to: 320 MHz bandwidth, multiband aggregation and operation, and 16 spatial streams, as described in </w:t>
      </w:r>
      <w:hyperlink r:id="rId9" w:tgtFrame="_blank" w:history="1">
        <w:r w:rsidRPr="00984D54">
          <w:rPr>
            <w:rStyle w:val="Hyperlink"/>
            <w:rFonts w:ascii="Calibri" w:hAnsi="Calibri" w:cs="Calibri"/>
            <w:b/>
            <w:bCs/>
            <w:szCs w:val="22"/>
            <w:lang w:val="en-US"/>
          </w:rPr>
          <w:t>https://mentor.ieee.org/802.11/dcn/18/11-18-0789-10-0wng-extreme-throughput-802-11.pptx</w:t>
        </w:r>
      </w:hyperlink>
      <w:r w:rsidRPr="00984D54">
        <w:rPr>
          <w:rFonts w:ascii="Calibri" w:hAnsi="Calibri" w:cs="Calibri"/>
          <w:b/>
          <w:bCs/>
          <w:szCs w:val="22"/>
          <w:lang w:val="en-US"/>
        </w:rPr>
        <w:t>.</w:t>
      </w:r>
      <w:r w:rsidRPr="00984D54">
        <w:rPr>
          <w:rFonts w:ascii="Calibri" w:hAnsi="Calibri" w:cs="Calibri"/>
          <w:szCs w:val="22"/>
          <w:lang w:val="en-US"/>
        </w:rPr>
        <w:t> </w:t>
      </w:r>
      <w:r w:rsidRPr="00984D54">
        <w:rPr>
          <w:rFonts w:ascii="Calibri" w:hAnsi="Calibri" w:cs="Calibri"/>
          <w:b/>
          <w:bCs/>
          <w:szCs w:val="22"/>
          <w:lang w:val="en-US"/>
        </w:rPr>
        <w:t>To support high throughput applications such as video-over-WLAN, AR and VR”</w:t>
      </w:r>
    </w:p>
    <w:p w:rsidR="00984D54" w:rsidRPr="00984D54" w:rsidRDefault="00984D54" w:rsidP="00984D54">
      <w:pPr>
        <w:ind w:left="720"/>
        <w:rPr>
          <w:rFonts w:ascii="Calibri" w:hAnsi="Calibri" w:cs="Calibri"/>
          <w:szCs w:val="22"/>
        </w:rPr>
      </w:pPr>
    </w:p>
    <w:p w:rsidR="00984D54" w:rsidRPr="00984D54" w:rsidRDefault="00984D54" w:rsidP="00984D54">
      <w:pPr>
        <w:pStyle w:val="ListParagraph"/>
        <w:numPr>
          <w:ilvl w:val="0"/>
          <w:numId w:val="1"/>
        </w:numPr>
        <w:rPr>
          <w:rFonts w:ascii="Calibri" w:hAnsi="Calibri" w:cs="Calibri"/>
          <w:sz w:val="22"/>
          <w:szCs w:val="22"/>
        </w:rPr>
      </w:pPr>
      <w:r w:rsidRPr="00984D54">
        <w:rPr>
          <w:rFonts w:ascii="Calibri" w:hAnsi="Calibri" w:cs="Calibri"/>
          <w:sz w:val="22"/>
          <w:szCs w:val="22"/>
        </w:rPr>
        <w:t>The primary purpose of this group is to try to reach consensus on a motion to approve an EHT Study Group.</w:t>
      </w:r>
    </w:p>
    <w:p w:rsidR="00984D54" w:rsidRDefault="00984D54" w:rsidP="00984D54">
      <w:pPr>
        <w:pStyle w:val="m-4890597653018465012gmail-msolistparagraph"/>
        <w:ind w:left="720"/>
        <w:contextualSpacing/>
        <w:rPr>
          <w:rFonts w:ascii="Calibri" w:hAnsi="Calibri" w:cs="Calibri"/>
          <w:sz w:val="22"/>
          <w:szCs w:val="22"/>
        </w:rPr>
      </w:pPr>
    </w:p>
    <w:p w:rsidR="00984D54" w:rsidRDefault="008162B4" w:rsidP="008162B4">
      <w:pPr>
        <w:pStyle w:val="m-4890597653018465012gmail-msolistparagraph"/>
        <w:rPr>
          <w:rFonts w:ascii="Calibri" w:hAnsi="Calibri" w:cs="Calibri"/>
          <w:sz w:val="22"/>
          <w:szCs w:val="22"/>
        </w:rPr>
      </w:pPr>
      <w:r w:rsidRPr="008162B4">
        <w:rPr>
          <w:rFonts w:ascii="Calibri" w:hAnsi="Calibri" w:cs="Calibri"/>
          <w:sz w:val="22"/>
          <w:szCs w:val="22"/>
          <w:highlight w:val="yellow"/>
        </w:rPr>
        <w:t>5</w:t>
      </w:r>
      <w:r w:rsidR="00984D54" w:rsidRPr="008162B4">
        <w:rPr>
          <w:rFonts w:ascii="Calibri" w:hAnsi="Calibri" w:cs="Calibri"/>
          <w:sz w:val="22"/>
          <w:szCs w:val="22"/>
          <w:highlight w:val="yellow"/>
        </w:rPr>
        <w:t>.</w:t>
      </w:r>
      <w:r w:rsidR="00984D54">
        <w:rPr>
          <w:sz w:val="14"/>
          <w:szCs w:val="14"/>
        </w:rPr>
        <w:t xml:space="preserve">       </w:t>
      </w:r>
      <w:r w:rsidR="00984D54">
        <w:rPr>
          <w:rFonts w:ascii="Calibri" w:hAnsi="Calibri" w:cs="Calibri"/>
          <w:sz w:val="22"/>
          <w:szCs w:val="22"/>
        </w:rPr>
        <w:t>Contributions</w:t>
      </w:r>
    </w:p>
    <w:p w:rsidR="00984D54" w:rsidRDefault="008162B4" w:rsidP="008162B4">
      <w:pPr>
        <w:pStyle w:val="m-4890597653018465012gmail-msolistparagraph"/>
        <w:rPr>
          <w:rFonts w:ascii="Calibri" w:hAnsi="Calibri" w:cs="Calibri"/>
          <w:sz w:val="22"/>
          <w:szCs w:val="22"/>
        </w:rPr>
      </w:pPr>
      <w:r w:rsidRPr="008162B4">
        <w:rPr>
          <w:rFonts w:ascii="Calibri" w:hAnsi="Calibri" w:cs="Calibri"/>
          <w:sz w:val="22"/>
          <w:szCs w:val="22"/>
          <w:highlight w:val="yellow"/>
        </w:rPr>
        <w:t>6</w:t>
      </w:r>
      <w:r w:rsidR="00984D54" w:rsidRPr="008162B4">
        <w:rPr>
          <w:rFonts w:ascii="Calibri" w:hAnsi="Calibri" w:cs="Calibri"/>
          <w:sz w:val="22"/>
          <w:szCs w:val="22"/>
          <w:highlight w:val="yellow"/>
        </w:rPr>
        <w:t>.</w:t>
      </w:r>
      <w:r w:rsidR="00984D54">
        <w:rPr>
          <w:rFonts w:ascii="Calibri" w:hAnsi="Calibri" w:cs="Calibri"/>
          <w:sz w:val="22"/>
          <w:szCs w:val="22"/>
        </w:rPr>
        <w:t xml:space="preserve">     Plan for July (2 sessions) (at least 10 minutes prior to the end of the call) </w:t>
      </w:r>
    </w:p>
    <w:p w:rsidR="00984D54" w:rsidRDefault="008162B4" w:rsidP="008162B4">
      <w:pPr>
        <w:pStyle w:val="m-4890597653018465012gmail-msolistparagraph"/>
        <w:rPr>
          <w:rFonts w:ascii="Calibri" w:hAnsi="Calibri" w:cs="Calibri"/>
          <w:sz w:val="22"/>
          <w:szCs w:val="22"/>
        </w:rPr>
      </w:pPr>
      <w:r w:rsidRPr="008162B4">
        <w:rPr>
          <w:rFonts w:ascii="Calibri" w:hAnsi="Calibri" w:cs="Calibri"/>
          <w:sz w:val="22"/>
          <w:szCs w:val="22"/>
          <w:highlight w:val="yellow"/>
        </w:rPr>
        <w:t>7</w:t>
      </w:r>
      <w:r w:rsidR="00984D54" w:rsidRPr="008162B4">
        <w:rPr>
          <w:rFonts w:ascii="Calibri" w:hAnsi="Calibri" w:cs="Calibri"/>
          <w:sz w:val="22"/>
          <w:szCs w:val="22"/>
          <w:highlight w:val="yellow"/>
        </w:rPr>
        <w:t>.</w:t>
      </w:r>
      <w:r w:rsidR="00984D54">
        <w:rPr>
          <w:rFonts w:ascii="Calibri" w:hAnsi="Calibri" w:cs="Calibri"/>
          <w:sz w:val="22"/>
          <w:szCs w:val="22"/>
        </w:rPr>
        <w:t xml:space="preserve">     Adjourn</w:t>
      </w:r>
    </w:p>
    <w:p w:rsidR="00984D54" w:rsidRDefault="00984D54" w:rsidP="00984D54">
      <w:pPr>
        <w:spacing w:before="100" w:beforeAutospacing="1" w:after="100" w:afterAutospacing="1"/>
        <w:contextualSpacing/>
      </w:pPr>
      <w:r w:rsidRPr="00984D54">
        <w:rPr>
          <w:b/>
          <w:bCs/>
          <w:color w:val="808080"/>
        </w:rPr>
        <w:t>      </w:t>
      </w:r>
      <w:r>
        <w:t xml:space="preserve"> </w:t>
      </w:r>
    </w:p>
    <w:p w:rsidR="00984D54" w:rsidRDefault="00984D54" w:rsidP="00984D54">
      <w:pPr>
        <w:spacing w:before="100" w:beforeAutospacing="1" w:after="100" w:afterAutospacing="1"/>
      </w:pPr>
      <w:r>
        <w:rPr>
          <w:rStyle w:val="il"/>
        </w:rPr>
        <w:t>Teleconferences</w:t>
      </w:r>
      <w:r>
        <w:t xml:space="preserve"> are subject to applicable policies and procedures, see below.</w:t>
      </w:r>
    </w:p>
    <w:p w:rsidR="00984D54" w:rsidRDefault="00984D54" w:rsidP="00984D54">
      <w:pPr>
        <w:spacing w:before="100" w:beforeAutospacing="1" w:after="100" w:afterAutospacing="1"/>
      </w:pPr>
      <w:r>
        <w:t>==================================================</w:t>
      </w:r>
    </w:p>
    <w:p w:rsidR="00984D54" w:rsidRDefault="00984D54" w:rsidP="00984D54">
      <w:pPr>
        <w:spacing w:after="160" w:line="254" w:lineRule="auto"/>
        <w:ind w:left="720"/>
        <w:contextualSpacing/>
      </w:pPr>
      <w:r>
        <w:t>•</w:t>
      </w:r>
      <w:r>
        <w:rPr>
          <w:sz w:val="14"/>
          <w:szCs w:val="14"/>
        </w:rPr>
        <w:t xml:space="preserve">       </w:t>
      </w:r>
      <w:r>
        <w:rPr>
          <w:lang w:val="en-US"/>
        </w:rPr>
        <w:t>IEEE Code of Ethics</w:t>
      </w:r>
    </w:p>
    <w:p w:rsidR="00984D54" w:rsidRDefault="00984D54" w:rsidP="00984D54">
      <w:pPr>
        <w:spacing w:after="160" w:line="254" w:lineRule="auto"/>
        <w:ind w:left="1440"/>
        <w:contextualSpacing/>
      </w:pPr>
      <w:r>
        <w:t>–</w:t>
      </w:r>
      <w:r>
        <w:rPr>
          <w:sz w:val="14"/>
          <w:szCs w:val="14"/>
        </w:rPr>
        <w:t xml:space="preserve">       </w:t>
      </w:r>
      <w:hyperlink r:id="rId10" w:tgtFrame="_blank" w:history="1">
        <w:r>
          <w:rPr>
            <w:rStyle w:val="Hyperlink"/>
            <w:lang w:val="en-US"/>
          </w:rPr>
          <w:t>http://www.ieee.org/about/corporate/governance/p7-8.html</w:t>
        </w:r>
      </w:hyperlink>
      <w:r>
        <w:rPr>
          <w:lang w:val="en-US"/>
        </w:rPr>
        <w:t xml:space="preserve"> </w:t>
      </w:r>
    </w:p>
    <w:p w:rsidR="00984D54" w:rsidRDefault="00984D54" w:rsidP="00984D54">
      <w:pPr>
        <w:spacing w:after="160" w:line="254" w:lineRule="auto"/>
        <w:ind w:left="720"/>
        <w:contextualSpacing/>
      </w:pPr>
      <w:r>
        <w:t>•</w:t>
      </w:r>
      <w:r>
        <w:rPr>
          <w:sz w:val="14"/>
          <w:szCs w:val="14"/>
        </w:rPr>
        <w:t xml:space="preserve">       </w:t>
      </w:r>
      <w:r>
        <w:rPr>
          <w:lang w:val="en-US"/>
        </w:rPr>
        <w:t>IEEE Standards Association (IEEE-SA) Affiliation FAQ</w:t>
      </w:r>
    </w:p>
    <w:p w:rsidR="00984D54" w:rsidRDefault="00984D54" w:rsidP="00984D54">
      <w:pPr>
        <w:spacing w:after="160" w:line="254" w:lineRule="auto"/>
        <w:ind w:left="1440"/>
        <w:contextualSpacing/>
      </w:pPr>
      <w:r>
        <w:t>–</w:t>
      </w:r>
      <w:r>
        <w:rPr>
          <w:sz w:val="14"/>
          <w:szCs w:val="14"/>
        </w:rPr>
        <w:t xml:space="preserve">       </w:t>
      </w:r>
      <w:hyperlink r:id="rId11" w:tgtFrame="_blank" w:history="1">
        <w:r>
          <w:rPr>
            <w:rStyle w:val="Hyperlink"/>
            <w:lang w:val="en-US"/>
          </w:rPr>
          <w:t>http</w:t>
        </w:r>
      </w:hyperlink>
      <w:hyperlink r:id="rId12" w:tgtFrame="_blank" w:history="1">
        <w:r>
          <w:rPr>
            <w:rStyle w:val="Hyperlink"/>
            <w:lang w:val="en-US"/>
          </w:rPr>
          <w:t>://</w:t>
        </w:r>
      </w:hyperlink>
      <w:hyperlink r:id="rId13" w:tgtFrame="_blank" w:history="1">
        <w:r>
          <w:rPr>
            <w:rStyle w:val="Hyperlink"/>
            <w:lang w:val="en-US"/>
          </w:rPr>
          <w:t>standards.ieee.org/faqs/affiliation.html</w:t>
        </w:r>
      </w:hyperlink>
      <w:r>
        <w:rPr>
          <w:lang w:val="en-US"/>
        </w:rPr>
        <w:t xml:space="preserve"> </w:t>
      </w:r>
    </w:p>
    <w:p w:rsidR="00984D54" w:rsidRDefault="00984D54" w:rsidP="00984D54">
      <w:pPr>
        <w:spacing w:after="160" w:line="254" w:lineRule="auto"/>
        <w:ind w:left="720"/>
        <w:contextualSpacing/>
      </w:pPr>
      <w:r>
        <w:t>•</w:t>
      </w:r>
      <w:r>
        <w:rPr>
          <w:sz w:val="14"/>
          <w:szCs w:val="14"/>
        </w:rPr>
        <w:t xml:space="preserve">       </w:t>
      </w:r>
      <w:r>
        <w:rPr>
          <w:lang w:val="en-US"/>
        </w:rPr>
        <w:t>Antitrust and Competition Policy</w:t>
      </w:r>
    </w:p>
    <w:p w:rsidR="00984D54" w:rsidRDefault="00984D54" w:rsidP="00984D54">
      <w:pPr>
        <w:spacing w:after="160" w:line="254" w:lineRule="auto"/>
        <w:ind w:left="1440"/>
        <w:contextualSpacing/>
      </w:pPr>
      <w:r>
        <w:t>–</w:t>
      </w:r>
      <w:r>
        <w:rPr>
          <w:sz w:val="14"/>
          <w:szCs w:val="14"/>
        </w:rPr>
        <w:t xml:space="preserve">       </w:t>
      </w:r>
      <w:hyperlink r:id="rId14" w:tgtFrame="_blank" w:history="1">
        <w:r>
          <w:rPr>
            <w:rStyle w:val="Hyperlink"/>
            <w:lang w:val="en-US"/>
          </w:rPr>
          <w:t>http</w:t>
        </w:r>
      </w:hyperlink>
      <w:hyperlink r:id="rId15" w:tgtFrame="_blank" w:history="1">
        <w:r>
          <w:rPr>
            <w:rStyle w:val="Hyperlink"/>
            <w:lang w:val="en-US"/>
          </w:rPr>
          <w:t>://</w:t>
        </w:r>
      </w:hyperlink>
      <w:hyperlink r:id="rId16" w:tgtFrame="_blank" w:history="1">
        <w:r>
          <w:rPr>
            <w:rStyle w:val="Hyperlink"/>
            <w:lang w:val="en-US"/>
          </w:rPr>
          <w:t>standards.ieee.org/resources/antitrust-guidelines.pdf</w:t>
        </w:r>
      </w:hyperlink>
      <w:r>
        <w:rPr>
          <w:lang w:val="en-US"/>
        </w:rPr>
        <w:t xml:space="preserve">  </w:t>
      </w:r>
    </w:p>
    <w:p w:rsidR="00984D54" w:rsidRDefault="00984D54" w:rsidP="00984D54">
      <w:pPr>
        <w:spacing w:before="100" w:beforeAutospacing="1" w:after="100" w:afterAutospacing="1"/>
        <w:ind w:left="720"/>
        <w:contextualSpacing/>
      </w:pPr>
      <w:r>
        <w:t>•</w:t>
      </w:r>
      <w:r>
        <w:rPr>
          <w:sz w:val="14"/>
          <w:szCs w:val="14"/>
        </w:rPr>
        <w:t xml:space="preserve">       </w:t>
      </w:r>
      <w:r>
        <w:rPr>
          <w:lang w:val="en-US"/>
        </w:rPr>
        <w:t>IEEE-SA Patent Policy</w:t>
      </w:r>
    </w:p>
    <w:p w:rsidR="00984D54" w:rsidRDefault="00984D54" w:rsidP="00984D54">
      <w:pPr>
        <w:spacing w:after="160" w:line="254" w:lineRule="auto"/>
        <w:ind w:left="1440"/>
        <w:contextualSpacing/>
      </w:pPr>
      <w:r>
        <w:t>–</w:t>
      </w:r>
      <w:r>
        <w:rPr>
          <w:sz w:val="14"/>
          <w:szCs w:val="14"/>
        </w:rPr>
        <w:t xml:space="preserve">       </w:t>
      </w:r>
      <w:hyperlink r:id="rId17" w:tgtFrame="_blank" w:history="1">
        <w:r>
          <w:rPr>
            <w:rStyle w:val="Hyperlink"/>
            <w:lang w:val="en-US"/>
          </w:rPr>
          <w:t>http://standards.ieee.org/develop/policies/bylaws/sect6-7.html</w:t>
        </w:r>
      </w:hyperlink>
      <w:r>
        <w:rPr>
          <w:lang w:val="en-US"/>
        </w:rPr>
        <w:t xml:space="preserve">  </w:t>
      </w:r>
    </w:p>
    <w:p w:rsidR="00984D54" w:rsidRDefault="00984D54" w:rsidP="00984D54">
      <w:pPr>
        <w:spacing w:after="160" w:line="254" w:lineRule="auto"/>
        <w:ind w:left="1440"/>
        <w:contextualSpacing/>
      </w:pPr>
      <w:r>
        <w:t>–</w:t>
      </w:r>
      <w:r>
        <w:rPr>
          <w:sz w:val="14"/>
          <w:szCs w:val="14"/>
        </w:rPr>
        <w:t xml:space="preserve">       </w:t>
      </w:r>
      <w:hyperlink r:id="rId18" w:tgtFrame="_blank" w:history="1">
        <w:r>
          <w:rPr>
            <w:rStyle w:val="Hyperlink"/>
            <w:lang w:val="en-US"/>
          </w:rPr>
          <w:t>https</w:t>
        </w:r>
      </w:hyperlink>
      <w:hyperlink r:id="rId19" w:tgtFrame="_blank" w:history="1">
        <w:r>
          <w:rPr>
            <w:rStyle w:val="Hyperlink"/>
            <w:lang w:val="en-US"/>
          </w:rPr>
          <w:t>://development.standards.ieee.org/myproject/Public//mytools/mob/loa.pdf</w:t>
        </w:r>
      </w:hyperlink>
    </w:p>
    <w:p w:rsidR="00984D54" w:rsidRDefault="00984D54" w:rsidP="00984D54">
      <w:pPr>
        <w:spacing w:before="100" w:beforeAutospacing="1" w:after="100" w:afterAutospacing="1"/>
        <w:ind w:left="1440"/>
        <w:contextualSpacing/>
      </w:pPr>
      <w:r>
        <w:t>–</w:t>
      </w:r>
      <w:r>
        <w:rPr>
          <w:sz w:val="14"/>
          <w:szCs w:val="14"/>
        </w:rPr>
        <w:t xml:space="preserve">       </w:t>
      </w:r>
      <w:hyperlink r:id="rId20" w:tgtFrame="_blank" w:history="1">
        <w:r>
          <w:rPr>
            <w:rStyle w:val="Hyperlink"/>
            <w:lang w:val="en-US"/>
          </w:rPr>
          <w:t>http</w:t>
        </w:r>
      </w:hyperlink>
      <w:hyperlink r:id="rId21" w:tgtFrame="_blank" w:history="1">
        <w:r>
          <w:rPr>
            <w:rStyle w:val="Hyperlink"/>
            <w:lang w:val="en-US"/>
          </w:rPr>
          <w:t>://</w:t>
        </w:r>
      </w:hyperlink>
      <w:hyperlink r:id="rId22" w:tgtFrame="_blank" w:history="1">
        <w:r>
          <w:rPr>
            <w:rStyle w:val="Hyperlink"/>
            <w:lang w:val="en-US"/>
          </w:rPr>
          <w:t>standards.ieee.org/board/pat/faq.pdf</w:t>
        </w:r>
      </w:hyperlink>
      <w:r>
        <w:rPr>
          <w:lang w:val="en-US"/>
        </w:rPr>
        <w:t xml:space="preserve"> </w:t>
      </w:r>
    </w:p>
    <w:p w:rsidR="00984D54" w:rsidRDefault="00984D54" w:rsidP="00984D54">
      <w:pPr>
        <w:spacing w:after="160" w:line="254" w:lineRule="auto"/>
        <w:ind w:left="1440"/>
        <w:contextualSpacing/>
      </w:pPr>
      <w:r>
        <w:t>–</w:t>
      </w:r>
      <w:r>
        <w:rPr>
          <w:sz w:val="14"/>
          <w:szCs w:val="14"/>
        </w:rPr>
        <w:t xml:space="preserve">       </w:t>
      </w:r>
      <w:hyperlink r:id="rId23" w:tgtFrame="_blank" w:history="1">
        <w:r>
          <w:rPr>
            <w:rStyle w:val="Hyperlink"/>
            <w:lang w:val="en-US"/>
          </w:rPr>
          <w:t>http</w:t>
        </w:r>
      </w:hyperlink>
      <w:hyperlink r:id="rId24" w:tgtFrame="_blank" w:history="1">
        <w:r>
          <w:rPr>
            <w:rStyle w:val="Hyperlink"/>
            <w:lang w:val="en-US"/>
          </w:rPr>
          <w:t>://</w:t>
        </w:r>
      </w:hyperlink>
      <w:hyperlink r:id="rId25" w:tgtFrame="_blank" w:history="1">
        <w:r>
          <w:rPr>
            <w:rStyle w:val="Hyperlink"/>
            <w:lang w:val="en-US"/>
          </w:rPr>
          <w:t>standards.ieee.org/board/pat/pat-slideset.ppt</w:t>
        </w:r>
      </w:hyperlink>
      <w:r>
        <w:rPr>
          <w:lang w:val="en-US"/>
        </w:rPr>
        <w:t xml:space="preserve"> </w:t>
      </w:r>
    </w:p>
    <w:p w:rsidR="00984D54" w:rsidRDefault="00984D54" w:rsidP="00984D54">
      <w:pPr>
        <w:spacing w:after="160" w:line="254" w:lineRule="auto"/>
        <w:ind w:left="720"/>
        <w:contextualSpacing/>
      </w:pPr>
      <w:r>
        <w:t>•</w:t>
      </w:r>
      <w:r>
        <w:rPr>
          <w:sz w:val="14"/>
          <w:szCs w:val="14"/>
        </w:rPr>
        <w:t xml:space="preserve">       </w:t>
      </w:r>
      <w:r>
        <w:rPr>
          <w:lang w:val="en-US"/>
        </w:rPr>
        <w:t xml:space="preserve">IEEE 802 Working Group Policies &amp;Procedures (29 Jul 2016) </w:t>
      </w:r>
    </w:p>
    <w:p w:rsidR="00984D54" w:rsidRDefault="00984D54" w:rsidP="00984D54">
      <w:pPr>
        <w:spacing w:after="160" w:line="254" w:lineRule="auto"/>
        <w:ind w:left="1440"/>
        <w:contextualSpacing/>
      </w:pPr>
      <w:r>
        <w:t>–</w:t>
      </w:r>
      <w:r>
        <w:rPr>
          <w:sz w:val="14"/>
          <w:szCs w:val="14"/>
        </w:rPr>
        <w:t xml:space="preserve">       </w:t>
      </w:r>
      <w:hyperlink r:id="rId26" w:tgtFrame="_blank" w:history="1">
        <w:r>
          <w:rPr>
            <w:rStyle w:val="Hyperlink"/>
            <w:lang w:val="en-US"/>
          </w:rPr>
          <w:t>http://</w:t>
        </w:r>
      </w:hyperlink>
      <w:hyperlink r:id="rId27" w:tgtFrame="_blank" w:history="1">
        <w:r>
          <w:rPr>
            <w:rStyle w:val="Hyperlink"/>
            <w:lang w:val="en-US"/>
          </w:rPr>
          <w:t>www.ieee802.org/PNP/approved/IEEE_802_WG_PandP_v19.pdf</w:t>
        </w:r>
      </w:hyperlink>
      <w:r>
        <w:rPr>
          <w:lang w:val="en-US"/>
        </w:rPr>
        <w:t xml:space="preserve"> </w:t>
      </w:r>
    </w:p>
    <w:p w:rsidR="00984D54" w:rsidRDefault="00984D54" w:rsidP="00984D54">
      <w:pPr>
        <w:spacing w:after="160" w:line="254" w:lineRule="auto"/>
        <w:ind w:left="720"/>
        <w:contextualSpacing/>
      </w:pPr>
      <w:r>
        <w:t>•</w:t>
      </w:r>
      <w:r>
        <w:rPr>
          <w:sz w:val="14"/>
          <w:szCs w:val="14"/>
        </w:rPr>
        <w:t xml:space="preserve">       </w:t>
      </w:r>
      <w:r>
        <w:rPr>
          <w:lang w:val="en-US"/>
        </w:rPr>
        <w:t>IEEE 802 LMSC Chair's Guidelines (Approved 09 Mar 2018)</w:t>
      </w:r>
    </w:p>
    <w:p w:rsidR="00984D54" w:rsidRDefault="00984D54" w:rsidP="00984D54">
      <w:pPr>
        <w:spacing w:after="160" w:line="254" w:lineRule="auto"/>
        <w:ind w:left="1440"/>
        <w:contextualSpacing/>
      </w:pPr>
      <w:r>
        <w:t>–</w:t>
      </w:r>
      <w:r>
        <w:rPr>
          <w:sz w:val="14"/>
          <w:szCs w:val="14"/>
        </w:rPr>
        <w:t xml:space="preserve">       </w:t>
      </w:r>
      <w:hyperlink r:id="rId28" w:history="1">
        <w:r>
          <w:rPr>
            <w:rStyle w:val="Hyperlink"/>
          </w:rPr>
          <w:t>https://mentor.ieee.org/802-ec/dcn/17/ec-17-0120-26-0PNP-ieee-802-lmsc-chairs-guidelines.pdf</w:t>
        </w:r>
      </w:hyperlink>
      <w:r>
        <w:t xml:space="preserve"> </w:t>
      </w:r>
    </w:p>
    <w:p w:rsidR="00984D54" w:rsidRDefault="00984D54" w:rsidP="00984D54">
      <w:pPr>
        <w:spacing w:after="160" w:line="254" w:lineRule="auto"/>
        <w:ind w:left="720"/>
        <w:contextualSpacing/>
      </w:pPr>
      <w:r>
        <w:t>•</w:t>
      </w:r>
      <w:r>
        <w:rPr>
          <w:sz w:val="14"/>
          <w:szCs w:val="14"/>
        </w:rPr>
        <w:t xml:space="preserve">       </w:t>
      </w:r>
      <w:r>
        <w:rPr>
          <w:lang w:val="en-US"/>
        </w:rPr>
        <w:t>Participation in IEEE 802 Meetings</w:t>
      </w:r>
    </w:p>
    <w:p w:rsidR="00984D54" w:rsidRDefault="00984D54" w:rsidP="00984D54">
      <w:pPr>
        <w:spacing w:before="100" w:beforeAutospacing="1" w:after="100" w:afterAutospacing="1"/>
        <w:ind w:left="1440"/>
        <w:contextualSpacing/>
      </w:pPr>
      <w:r>
        <w:t>–</w:t>
      </w:r>
      <w:r>
        <w:rPr>
          <w:sz w:val="14"/>
          <w:szCs w:val="14"/>
        </w:rPr>
        <w:t xml:space="preserve">       </w:t>
      </w:r>
      <w:hyperlink r:id="rId29" w:tgtFrame="_blank" w:history="1">
        <w:r>
          <w:rPr>
            <w:rStyle w:val="Hyperlink"/>
            <w:lang w:val="en-US"/>
          </w:rPr>
          <w:t>https://mentor.ieee.org/802-ec/dcn/16/ec-16-0180-05-00EC-ieee-802-participation-slide.pptx</w:t>
        </w:r>
      </w:hyperlink>
    </w:p>
    <w:p w:rsidR="00984D54" w:rsidRDefault="00984D54" w:rsidP="00984D54">
      <w:pPr>
        <w:spacing w:after="160" w:line="254" w:lineRule="auto"/>
        <w:ind w:left="720"/>
        <w:contextualSpacing/>
      </w:pPr>
      <w:r>
        <w:t>•</w:t>
      </w:r>
      <w:r>
        <w:rPr>
          <w:sz w:val="14"/>
          <w:szCs w:val="14"/>
        </w:rPr>
        <w:t xml:space="preserve">       </w:t>
      </w:r>
      <w:r>
        <w:rPr>
          <w:lang w:val="en-US"/>
        </w:rPr>
        <w:t>IEEE 802.11 WG OM: (Approved 10 Nov 2017)</w:t>
      </w:r>
    </w:p>
    <w:p w:rsidR="00984D54" w:rsidRDefault="00984D54" w:rsidP="00984D54">
      <w:pPr>
        <w:spacing w:after="160" w:line="254" w:lineRule="auto"/>
        <w:ind w:left="1440"/>
        <w:contextualSpacing/>
      </w:pPr>
      <w:r>
        <w:rPr>
          <w:rStyle w:val="m-4890597653018465012gmail-msohyperlink"/>
        </w:rPr>
        <w:t>–</w:t>
      </w:r>
      <w:r>
        <w:rPr>
          <w:rStyle w:val="m-4890597653018465012gmail-msohyperlink"/>
          <w:sz w:val="14"/>
          <w:szCs w:val="14"/>
        </w:rPr>
        <w:t xml:space="preserve">       </w:t>
      </w:r>
      <w:hyperlink r:id="rId30" w:tgtFrame="_blank" w:history="1">
        <w:r>
          <w:rPr>
            <w:rStyle w:val="Hyperlink"/>
            <w:lang w:val="en-US"/>
          </w:rPr>
          <w:t>https://mentor.ieee.org/802.11/dcn/14/11-14-0629-21-0000-802-11-operations-manual.docx</w:t>
        </w:r>
      </w:hyperlink>
    </w:p>
    <w:p w:rsidR="00CA09B2" w:rsidRDefault="00984D54" w:rsidP="00984D54">
      <w:pPr>
        <w:pStyle w:val="Heading2"/>
      </w:pPr>
      <w:r>
        <w:t>Minutes:</w:t>
      </w:r>
    </w:p>
    <w:p w:rsidR="00984D54" w:rsidRPr="00984D54" w:rsidRDefault="00984D54" w:rsidP="00984D54"/>
    <w:p w:rsidR="009657FA" w:rsidRDefault="00CA5ADD" w:rsidP="009657FA">
      <w:pPr>
        <w:pStyle w:val="ListParagraph"/>
        <w:numPr>
          <w:ilvl w:val="0"/>
          <w:numId w:val="2"/>
        </w:numPr>
      </w:pPr>
      <w:r>
        <w:t xml:space="preserve">Dennis Sundman </w:t>
      </w:r>
      <w:r w:rsidR="009657FA">
        <w:t xml:space="preserve">(Ericsson AB) </w:t>
      </w:r>
      <w:r>
        <w:t>appointed secretary.</w:t>
      </w:r>
    </w:p>
    <w:p w:rsidR="009657FA" w:rsidRDefault="00CA5ADD" w:rsidP="009657FA">
      <w:pPr>
        <w:pStyle w:val="ListParagraph"/>
        <w:numPr>
          <w:ilvl w:val="0"/>
          <w:numId w:val="2"/>
        </w:numPr>
      </w:pPr>
      <w:r>
        <w:t>49 people on the call</w:t>
      </w:r>
      <w:r w:rsidR="00F42729">
        <w:t xml:space="preserve"> (probably many duplicates, people being both on phone and computer)</w:t>
      </w:r>
      <w:r w:rsidR="009657FA">
        <w:t xml:space="preserve">. Dennis sends an e-mail to the reflector so that people </w:t>
      </w:r>
      <w:r w:rsidR="008162B4">
        <w:t>can register.</w:t>
      </w:r>
    </w:p>
    <w:p w:rsidR="00CA5ADD" w:rsidRDefault="009657FA" w:rsidP="009657FA">
      <w:pPr>
        <w:pStyle w:val="ListParagraph"/>
        <w:numPr>
          <w:ilvl w:val="1"/>
          <w:numId w:val="2"/>
        </w:numPr>
      </w:pPr>
      <w:r>
        <w:t>Mike goes through the patent policies. No comments.</w:t>
      </w:r>
    </w:p>
    <w:p w:rsidR="001274AF" w:rsidRDefault="001274AF" w:rsidP="009657FA">
      <w:pPr>
        <w:pStyle w:val="ListParagraph"/>
        <w:numPr>
          <w:ilvl w:val="1"/>
          <w:numId w:val="2"/>
        </w:numPr>
      </w:pPr>
      <w:proofErr w:type="spellStart"/>
      <w:r>
        <w:t>Attendence</w:t>
      </w:r>
      <w:proofErr w:type="spellEnd"/>
      <w:r>
        <w:t>:</w:t>
      </w:r>
    </w:p>
    <w:p w:rsidR="0051352A" w:rsidRDefault="0051352A" w:rsidP="0051352A">
      <w:pPr>
        <w:pStyle w:val="ListParagraph"/>
        <w:numPr>
          <w:ilvl w:val="2"/>
          <w:numId w:val="1"/>
        </w:numPr>
      </w:pPr>
      <w:bookmarkStart w:id="1" w:name="_Hlk517182040"/>
      <w:r>
        <w:t>Abhishek Patil (Qualcomm)</w:t>
      </w:r>
    </w:p>
    <w:p w:rsidR="0051352A" w:rsidRDefault="0051352A" w:rsidP="0051352A">
      <w:pPr>
        <w:pStyle w:val="ListParagraph"/>
        <w:numPr>
          <w:ilvl w:val="2"/>
          <w:numId w:val="1"/>
        </w:numPr>
      </w:pPr>
      <w:r>
        <w:t xml:space="preserve">Alfred </w:t>
      </w:r>
      <w:proofErr w:type="spellStart"/>
      <w:r>
        <w:t>Asterjadhi</w:t>
      </w:r>
      <w:proofErr w:type="spellEnd"/>
      <w:r>
        <w:t xml:space="preserve"> (Qualcomm)</w:t>
      </w:r>
    </w:p>
    <w:p w:rsidR="0051352A" w:rsidRDefault="0051352A" w:rsidP="0051352A">
      <w:pPr>
        <w:pStyle w:val="ListParagraph"/>
        <w:numPr>
          <w:ilvl w:val="2"/>
          <w:numId w:val="1"/>
        </w:numPr>
      </w:pPr>
      <w:r>
        <w:t xml:space="preserve">Allen D. </w:t>
      </w:r>
      <w:proofErr w:type="spellStart"/>
      <w:r>
        <w:t>Heberling</w:t>
      </w:r>
      <w:proofErr w:type="spellEnd"/>
      <w:r>
        <w:t xml:space="preserve"> (</w:t>
      </w:r>
      <w:proofErr w:type="spellStart"/>
      <w:r>
        <w:t>GenXcomm</w:t>
      </w:r>
      <w:proofErr w:type="spellEnd"/>
      <w:r>
        <w:t>)</w:t>
      </w:r>
    </w:p>
    <w:p w:rsidR="0051352A" w:rsidRDefault="0051352A" w:rsidP="0051352A">
      <w:pPr>
        <w:pStyle w:val="ListParagraph"/>
        <w:numPr>
          <w:ilvl w:val="2"/>
          <w:numId w:val="1"/>
        </w:numPr>
      </w:pPr>
      <w:r w:rsidRPr="001274AF">
        <w:t xml:space="preserve">Artyom </w:t>
      </w:r>
      <w:proofErr w:type="spellStart"/>
      <w:r w:rsidRPr="001274AF">
        <w:t>Lomayev</w:t>
      </w:r>
      <w:proofErr w:type="spellEnd"/>
      <w:r w:rsidRPr="001274AF">
        <w:t xml:space="preserve"> (Intel)</w:t>
      </w:r>
    </w:p>
    <w:p w:rsidR="0051352A" w:rsidRDefault="0051352A" w:rsidP="0051352A">
      <w:pPr>
        <w:pStyle w:val="ListParagraph"/>
        <w:numPr>
          <w:ilvl w:val="2"/>
          <w:numId w:val="1"/>
        </w:numPr>
      </w:pPr>
      <w:r w:rsidRPr="001274AF">
        <w:t xml:space="preserve">Carol Ansley </w:t>
      </w:r>
      <w:r>
        <w:t>(</w:t>
      </w:r>
      <w:r w:rsidRPr="001274AF">
        <w:t>ARRIS Enterprises</w:t>
      </w:r>
      <w:r>
        <w:t>)</w:t>
      </w:r>
    </w:p>
    <w:p w:rsidR="0051352A" w:rsidRDefault="0051352A" w:rsidP="0051352A">
      <w:pPr>
        <w:pStyle w:val="ListParagraph"/>
        <w:numPr>
          <w:ilvl w:val="2"/>
          <w:numId w:val="1"/>
        </w:numPr>
      </w:pPr>
      <w:r>
        <w:t>Dennis Sundman (Ericsson)</w:t>
      </w:r>
    </w:p>
    <w:p w:rsidR="0051352A" w:rsidRDefault="0051352A" w:rsidP="0051352A">
      <w:pPr>
        <w:pStyle w:val="ListParagraph"/>
        <w:numPr>
          <w:ilvl w:val="2"/>
          <w:numId w:val="1"/>
        </w:numPr>
      </w:pPr>
      <w:r w:rsidRPr="001274AF">
        <w:t>Edward Au (Huawei)</w:t>
      </w:r>
    </w:p>
    <w:p w:rsidR="0051352A" w:rsidRDefault="0051352A" w:rsidP="0051352A">
      <w:pPr>
        <w:pStyle w:val="ListParagraph"/>
        <w:numPr>
          <w:ilvl w:val="2"/>
          <w:numId w:val="1"/>
        </w:numPr>
      </w:pPr>
      <w:r>
        <w:t xml:space="preserve">Gaurav Patwardhan (HPE) </w:t>
      </w:r>
    </w:p>
    <w:p w:rsidR="0051352A" w:rsidRDefault="0051352A" w:rsidP="0051352A">
      <w:pPr>
        <w:pStyle w:val="ListParagraph"/>
        <w:numPr>
          <w:ilvl w:val="2"/>
          <w:numId w:val="1"/>
        </w:numPr>
      </w:pPr>
      <w:r>
        <w:t xml:space="preserve">George </w:t>
      </w:r>
      <w:proofErr w:type="spellStart"/>
      <w:r>
        <w:t>Calcev</w:t>
      </w:r>
      <w:proofErr w:type="spellEnd"/>
      <w:r>
        <w:t xml:space="preserve"> (Huawei) </w:t>
      </w:r>
    </w:p>
    <w:p w:rsidR="0051352A" w:rsidRDefault="0051352A" w:rsidP="0051352A">
      <w:pPr>
        <w:pStyle w:val="ListParagraph"/>
        <w:numPr>
          <w:ilvl w:val="2"/>
          <w:numId w:val="1"/>
        </w:numPr>
      </w:pPr>
      <w:proofErr w:type="spellStart"/>
      <w:r w:rsidRPr="003911DF">
        <w:lastRenderedPageBreak/>
        <w:t>Jeongki</w:t>
      </w:r>
      <w:proofErr w:type="spellEnd"/>
      <w:r w:rsidRPr="003911DF">
        <w:t xml:space="preserve"> Kim</w:t>
      </w:r>
      <w:r>
        <w:t xml:space="preserve"> (</w:t>
      </w:r>
      <w:r w:rsidRPr="003911DF">
        <w:t>LG Electronics</w:t>
      </w:r>
      <w:r>
        <w:t>)</w:t>
      </w:r>
    </w:p>
    <w:p w:rsidR="0051352A" w:rsidRDefault="0051352A" w:rsidP="0051352A">
      <w:pPr>
        <w:pStyle w:val="ListParagraph"/>
        <w:numPr>
          <w:ilvl w:val="2"/>
          <w:numId w:val="1"/>
        </w:numPr>
      </w:pPr>
      <w:r>
        <w:t>Joseph Levy (Interdigital)</w:t>
      </w:r>
    </w:p>
    <w:p w:rsidR="0051352A" w:rsidRDefault="0051352A" w:rsidP="0051352A">
      <w:pPr>
        <w:pStyle w:val="ListParagraph"/>
        <w:numPr>
          <w:ilvl w:val="2"/>
          <w:numId w:val="1"/>
        </w:numPr>
      </w:pPr>
      <w:proofErr w:type="spellStart"/>
      <w:r w:rsidRPr="001274AF">
        <w:t>Junghoon</w:t>
      </w:r>
      <w:proofErr w:type="spellEnd"/>
      <w:r w:rsidRPr="001274AF">
        <w:t xml:space="preserve"> Suh (Huawei)</w:t>
      </w:r>
    </w:p>
    <w:p w:rsidR="0051352A" w:rsidRDefault="0051352A" w:rsidP="0051352A">
      <w:pPr>
        <w:pStyle w:val="ListParagraph"/>
        <w:numPr>
          <w:ilvl w:val="2"/>
          <w:numId w:val="1"/>
        </w:numPr>
      </w:pPr>
      <w:r w:rsidRPr="001274AF">
        <w:t>Kazuto Yano</w:t>
      </w:r>
      <w:r>
        <w:t xml:space="preserve"> (</w:t>
      </w:r>
      <w:r w:rsidRPr="001274AF">
        <w:t>ATR</w:t>
      </w:r>
      <w:r>
        <w:t>)</w:t>
      </w:r>
    </w:p>
    <w:p w:rsidR="0051352A" w:rsidRDefault="0051352A" w:rsidP="0051352A">
      <w:pPr>
        <w:pStyle w:val="ListParagraph"/>
        <w:numPr>
          <w:ilvl w:val="2"/>
          <w:numId w:val="1"/>
        </w:numPr>
      </w:pPr>
      <w:r>
        <w:t xml:space="preserve">Laurent </w:t>
      </w:r>
      <w:proofErr w:type="spellStart"/>
      <w:r>
        <w:t>Cariou</w:t>
      </w:r>
      <w:proofErr w:type="spellEnd"/>
      <w:r>
        <w:t xml:space="preserve"> (Intel)</w:t>
      </w:r>
    </w:p>
    <w:p w:rsidR="0051352A" w:rsidRDefault="0051352A" w:rsidP="0051352A">
      <w:pPr>
        <w:pStyle w:val="ListParagraph"/>
        <w:numPr>
          <w:ilvl w:val="2"/>
          <w:numId w:val="1"/>
        </w:numPr>
      </w:pPr>
      <w:r w:rsidRPr="001274AF">
        <w:t xml:space="preserve">Lili </w:t>
      </w:r>
      <w:proofErr w:type="spellStart"/>
      <w:r w:rsidRPr="001274AF">
        <w:t>Hervieu</w:t>
      </w:r>
      <w:proofErr w:type="spellEnd"/>
      <w:r>
        <w:t xml:space="preserve"> (</w:t>
      </w:r>
      <w:proofErr w:type="spellStart"/>
      <w:r>
        <w:t>CableLabs</w:t>
      </w:r>
      <w:proofErr w:type="spellEnd"/>
      <w:r>
        <w:t>)</w:t>
      </w:r>
    </w:p>
    <w:p w:rsidR="00836DA4" w:rsidRDefault="00836DA4" w:rsidP="00836DA4">
      <w:pPr>
        <w:pStyle w:val="ListParagraph"/>
        <w:numPr>
          <w:ilvl w:val="2"/>
          <w:numId w:val="1"/>
        </w:numPr>
      </w:pPr>
      <w:r w:rsidRPr="00836DA4">
        <w:t>Lisa Ward (Rhode and Schwarz)</w:t>
      </w:r>
    </w:p>
    <w:p w:rsidR="0051352A" w:rsidRDefault="0051352A" w:rsidP="0051352A">
      <w:pPr>
        <w:pStyle w:val="ListParagraph"/>
        <w:numPr>
          <w:ilvl w:val="2"/>
          <w:numId w:val="1"/>
        </w:numPr>
      </w:pPr>
      <w:r>
        <w:t>Mark Rison (Samsung)</w:t>
      </w:r>
    </w:p>
    <w:p w:rsidR="0051352A" w:rsidRDefault="0051352A" w:rsidP="0051352A">
      <w:pPr>
        <w:pStyle w:val="ListParagraph"/>
        <w:numPr>
          <w:ilvl w:val="2"/>
          <w:numId w:val="1"/>
        </w:numPr>
      </w:pPr>
      <w:proofErr w:type="spellStart"/>
      <w:r w:rsidRPr="001274AF">
        <w:t>Massinissa</w:t>
      </w:r>
      <w:proofErr w:type="spellEnd"/>
      <w:r w:rsidRPr="001274AF">
        <w:t xml:space="preserve"> </w:t>
      </w:r>
      <w:proofErr w:type="spellStart"/>
      <w:r w:rsidRPr="001274AF">
        <w:t>Lalam</w:t>
      </w:r>
      <w:proofErr w:type="spellEnd"/>
      <w:r w:rsidRPr="001274AF">
        <w:t xml:space="preserve"> (</w:t>
      </w:r>
      <w:proofErr w:type="spellStart"/>
      <w:r w:rsidRPr="001274AF">
        <w:t>Sagemcom</w:t>
      </w:r>
      <w:proofErr w:type="spellEnd"/>
      <w:r w:rsidRPr="001274AF">
        <w:t>)</w:t>
      </w:r>
    </w:p>
    <w:p w:rsidR="0051352A" w:rsidRDefault="0051352A" w:rsidP="0051352A">
      <w:pPr>
        <w:pStyle w:val="ListParagraph"/>
        <w:numPr>
          <w:ilvl w:val="2"/>
          <w:numId w:val="1"/>
        </w:numPr>
      </w:pPr>
      <w:r w:rsidRPr="001274AF">
        <w:t>Matthew Fischer</w:t>
      </w:r>
      <w:r>
        <w:t xml:space="preserve"> (Broadcom)</w:t>
      </w:r>
    </w:p>
    <w:p w:rsidR="0051352A" w:rsidRDefault="0051352A" w:rsidP="0051352A">
      <w:pPr>
        <w:pStyle w:val="ListParagraph"/>
        <w:numPr>
          <w:ilvl w:val="2"/>
          <w:numId w:val="1"/>
        </w:numPr>
      </w:pPr>
      <w:r>
        <w:t xml:space="preserve">Michael </w:t>
      </w:r>
      <w:proofErr w:type="spellStart"/>
      <w:r>
        <w:t>Montemurro</w:t>
      </w:r>
      <w:proofErr w:type="spellEnd"/>
      <w:r>
        <w:t xml:space="preserve"> (Blackberry)</w:t>
      </w:r>
    </w:p>
    <w:p w:rsidR="0051352A" w:rsidRDefault="0051352A" w:rsidP="0051352A">
      <w:pPr>
        <w:pStyle w:val="ListParagraph"/>
        <w:numPr>
          <w:ilvl w:val="2"/>
          <w:numId w:val="1"/>
        </w:numPr>
      </w:pPr>
      <w:r>
        <w:t xml:space="preserve">Ron </w:t>
      </w:r>
      <w:proofErr w:type="spellStart"/>
      <w:r>
        <w:t>Porat</w:t>
      </w:r>
      <w:proofErr w:type="spellEnd"/>
      <w:r>
        <w:t xml:space="preserve"> (Broadcom) </w:t>
      </w:r>
    </w:p>
    <w:p w:rsidR="0051352A" w:rsidRDefault="0051352A" w:rsidP="0051352A">
      <w:pPr>
        <w:pStyle w:val="ListParagraph"/>
        <w:numPr>
          <w:ilvl w:val="2"/>
          <w:numId w:val="1"/>
        </w:numPr>
      </w:pPr>
      <w:r>
        <w:t>Rui Yang (</w:t>
      </w:r>
      <w:proofErr w:type="spellStart"/>
      <w:r>
        <w:t>InterDigital</w:t>
      </w:r>
      <w:proofErr w:type="spellEnd"/>
      <w:r>
        <w:t>)</w:t>
      </w:r>
    </w:p>
    <w:p w:rsidR="0051352A" w:rsidRDefault="0051352A" w:rsidP="0051352A">
      <w:pPr>
        <w:pStyle w:val="ListParagraph"/>
        <w:numPr>
          <w:ilvl w:val="2"/>
          <w:numId w:val="1"/>
        </w:numPr>
      </w:pPr>
      <w:r w:rsidRPr="001274AF">
        <w:t>Sang Kim</w:t>
      </w:r>
      <w:r>
        <w:t xml:space="preserve"> (</w:t>
      </w:r>
      <w:r w:rsidRPr="001274AF">
        <w:t>LG Electronics</w:t>
      </w:r>
      <w:r>
        <w:t>)</w:t>
      </w:r>
    </w:p>
    <w:p w:rsidR="0051352A" w:rsidRDefault="0051352A" w:rsidP="0051352A">
      <w:pPr>
        <w:pStyle w:val="ListParagraph"/>
        <w:numPr>
          <w:ilvl w:val="2"/>
          <w:numId w:val="1"/>
        </w:numPr>
      </w:pPr>
      <w:r w:rsidRPr="001274AF">
        <w:t xml:space="preserve">Sigurd </w:t>
      </w:r>
      <w:proofErr w:type="spellStart"/>
      <w:r w:rsidRPr="001274AF">
        <w:t>Schelstraete</w:t>
      </w:r>
      <w:proofErr w:type="spellEnd"/>
      <w:r w:rsidRPr="001274AF">
        <w:t xml:space="preserve"> (</w:t>
      </w:r>
      <w:proofErr w:type="spellStart"/>
      <w:r w:rsidRPr="001274AF">
        <w:t>Quantenna</w:t>
      </w:r>
      <w:proofErr w:type="spellEnd"/>
      <w:r w:rsidRPr="001274AF">
        <w:t>)</w:t>
      </w:r>
    </w:p>
    <w:p w:rsidR="0051352A" w:rsidRDefault="0051352A" w:rsidP="0051352A">
      <w:pPr>
        <w:pStyle w:val="ListParagraph"/>
        <w:numPr>
          <w:ilvl w:val="2"/>
          <w:numId w:val="1"/>
        </w:numPr>
      </w:pPr>
      <w:r w:rsidRPr="001274AF">
        <w:t>Stephan Sand</w:t>
      </w:r>
      <w:r>
        <w:t xml:space="preserve"> (</w:t>
      </w:r>
      <w:r w:rsidRPr="001274AF">
        <w:t xml:space="preserve">German Aerospace </w:t>
      </w:r>
      <w:proofErr w:type="spellStart"/>
      <w:r w:rsidRPr="001274AF">
        <w:t>Center</w:t>
      </w:r>
      <w:proofErr w:type="spellEnd"/>
      <w:r w:rsidRPr="001274AF">
        <w:t xml:space="preserve"> (DLR)</w:t>
      </w:r>
      <w:r>
        <w:t>)</w:t>
      </w:r>
    </w:p>
    <w:p w:rsidR="0051352A" w:rsidRDefault="0051352A" w:rsidP="0051352A">
      <w:pPr>
        <w:pStyle w:val="ListParagraph"/>
        <w:numPr>
          <w:ilvl w:val="2"/>
          <w:numId w:val="1"/>
        </w:numPr>
      </w:pPr>
      <w:r>
        <w:t>Stephane Baron (Canon)</w:t>
      </w:r>
    </w:p>
    <w:p w:rsidR="0051352A" w:rsidRDefault="0051352A" w:rsidP="0051352A">
      <w:pPr>
        <w:pStyle w:val="ListParagraph"/>
        <w:numPr>
          <w:ilvl w:val="2"/>
          <w:numId w:val="1"/>
        </w:numPr>
      </w:pPr>
      <w:r>
        <w:t>William Carney (Sony)</w:t>
      </w:r>
    </w:p>
    <w:p w:rsidR="0051352A" w:rsidRDefault="0051352A" w:rsidP="0051352A">
      <w:pPr>
        <w:pStyle w:val="ListParagraph"/>
        <w:numPr>
          <w:ilvl w:val="2"/>
          <w:numId w:val="1"/>
        </w:numPr>
      </w:pPr>
      <w:r>
        <w:t>Yasuhiko Inoue (NTT)</w:t>
      </w:r>
    </w:p>
    <w:p w:rsidR="0051352A" w:rsidRDefault="0051352A" w:rsidP="0051352A">
      <w:pPr>
        <w:pStyle w:val="ListParagraph"/>
        <w:numPr>
          <w:ilvl w:val="2"/>
          <w:numId w:val="1"/>
        </w:numPr>
      </w:pPr>
      <w:proofErr w:type="spellStart"/>
      <w:r w:rsidRPr="001274AF">
        <w:t>Youhan</w:t>
      </w:r>
      <w:proofErr w:type="spellEnd"/>
      <w:r w:rsidRPr="001274AF">
        <w:t xml:space="preserve"> Kim (Qualcomm)</w:t>
      </w:r>
    </w:p>
    <w:p w:rsidR="0051352A" w:rsidRDefault="0051352A" w:rsidP="0051352A">
      <w:pPr>
        <w:pStyle w:val="ListParagraph"/>
        <w:numPr>
          <w:ilvl w:val="2"/>
          <w:numId w:val="1"/>
        </w:numPr>
      </w:pPr>
      <w:proofErr w:type="spellStart"/>
      <w:r w:rsidRPr="001274AF">
        <w:t>Yujin</w:t>
      </w:r>
      <w:proofErr w:type="spellEnd"/>
      <w:r w:rsidRPr="001274AF">
        <w:t xml:space="preserve"> Noh </w:t>
      </w:r>
      <w:r>
        <w:t>(</w:t>
      </w:r>
      <w:proofErr w:type="spellStart"/>
      <w:r w:rsidRPr="001274AF">
        <w:t>Newracom</w:t>
      </w:r>
      <w:proofErr w:type="spellEnd"/>
      <w:r>
        <w:t>)</w:t>
      </w:r>
    </w:p>
    <w:p w:rsidR="0051352A" w:rsidRDefault="0051352A" w:rsidP="0051352A">
      <w:pPr>
        <w:pStyle w:val="ListParagraph"/>
        <w:numPr>
          <w:ilvl w:val="2"/>
          <w:numId w:val="1"/>
        </w:numPr>
      </w:pPr>
      <w:r>
        <w:t>Yusuke Tanaka (Sony)</w:t>
      </w:r>
    </w:p>
    <w:bookmarkEnd w:id="1"/>
    <w:p w:rsidR="001274AF" w:rsidRDefault="001274AF" w:rsidP="001274AF"/>
    <w:p w:rsidR="009657FA" w:rsidRDefault="008162B4" w:rsidP="009657FA">
      <w:pPr>
        <w:pStyle w:val="ListParagraph"/>
        <w:numPr>
          <w:ilvl w:val="0"/>
          <w:numId w:val="2"/>
        </w:numPr>
      </w:pPr>
      <w:r>
        <w:t>Michael Montemurro (Mike)</w:t>
      </w:r>
      <w:r w:rsidR="009657FA">
        <w:t xml:space="preserve"> is with Blackberry and appointed chair for this TIG</w:t>
      </w:r>
      <w:r>
        <w:t>.</w:t>
      </w:r>
    </w:p>
    <w:p w:rsidR="009657FA" w:rsidRDefault="009657FA" w:rsidP="009657FA">
      <w:pPr>
        <w:pStyle w:val="ListParagraph"/>
        <w:numPr>
          <w:ilvl w:val="0"/>
          <w:numId w:val="2"/>
        </w:numPr>
      </w:pPr>
      <w:r>
        <w:t>Mike goes through the rules for a TIG as per the agenda points. We will try to wrap the TIG up in July.</w:t>
      </w:r>
      <w:r>
        <w:br/>
      </w:r>
      <w:r w:rsidR="008162B4">
        <w:t xml:space="preserve">- </w:t>
      </w:r>
      <w:r>
        <w:t>Q: (Mark Rison, Samsung) What do we need to achieve in July to close the TIG in July.</w:t>
      </w:r>
      <w:r>
        <w:br/>
      </w:r>
      <w:r w:rsidR="008162B4">
        <w:t xml:space="preserve">- </w:t>
      </w:r>
      <w:r>
        <w:t>A: (Mike) This brings us immediately to the next point.</w:t>
      </w:r>
    </w:p>
    <w:p w:rsidR="008D5202" w:rsidRDefault="009657FA" w:rsidP="00836DA4">
      <w:pPr>
        <w:pStyle w:val="ListParagraph"/>
        <w:numPr>
          <w:ilvl w:val="0"/>
          <w:numId w:val="2"/>
        </w:numPr>
      </w:pPr>
      <w:r>
        <w:t>We need to reach a consensus on a motion to approve an EHT</w:t>
      </w:r>
      <w:r w:rsidR="00F42729">
        <w:t xml:space="preserve"> study group (SG)</w:t>
      </w:r>
      <w:r>
        <w:t>.</w:t>
      </w:r>
      <w:r>
        <w:br/>
      </w:r>
      <w:r w:rsidR="008D5202">
        <w:t xml:space="preserve">- </w:t>
      </w:r>
      <w:r>
        <w:t>Q: (</w:t>
      </w:r>
      <w:proofErr w:type="spellStart"/>
      <w:r>
        <w:t>Quantenna</w:t>
      </w:r>
      <w:proofErr w:type="spellEnd"/>
      <w:r>
        <w:t>) What kind of submissions are appropriate at this point?</w:t>
      </w:r>
      <w:r>
        <w:br/>
      </w:r>
      <w:r w:rsidR="008D5202">
        <w:t xml:space="preserve">- </w:t>
      </w:r>
      <w:r>
        <w:t xml:space="preserve">A: (Mike) </w:t>
      </w:r>
      <w:r w:rsidR="008162B4">
        <w:t>Anything</w:t>
      </w:r>
      <w:r>
        <w:t xml:space="preserve"> that might help us define the scope. What types of things we want to consider when we start operating as a </w:t>
      </w:r>
      <w:r w:rsidR="00F42729">
        <w:t>SG</w:t>
      </w:r>
      <w:r>
        <w:t>.</w:t>
      </w:r>
      <w:r>
        <w:br/>
      </w:r>
      <w:r w:rsidR="00725438" w:rsidRPr="00662EFA">
        <w:rPr>
          <w:b/>
        </w:rPr>
        <w:t>Discussion:</w:t>
      </w:r>
      <w:r w:rsidR="00725438">
        <w:br/>
        <w:t xml:space="preserve">- </w:t>
      </w:r>
      <w:r>
        <w:t>(</w:t>
      </w:r>
      <w:r w:rsidR="008D5202">
        <w:t xml:space="preserve">Laurent </w:t>
      </w:r>
      <w:proofErr w:type="spellStart"/>
      <w:r w:rsidR="008D5202">
        <w:t>Cariou</w:t>
      </w:r>
      <w:proofErr w:type="spellEnd"/>
      <w:r w:rsidR="008D5202">
        <w:t xml:space="preserve">, </w:t>
      </w:r>
      <w:r>
        <w:t>Intel)</w:t>
      </w:r>
      <w:r w:rsidR="00725438">
        <w:t xml:space="preserve"> I think we should operate this TIG as if it was a SG. I have a contribution on how precise we can make the scope.</w:t>
      </w:r>
      <w:r w:rsidR="00725438">
        <w:br/>
        <w:t>- (</w:t>
      </w:r>
      <w:r w:rsidR="005D7168">
        <w:t xml:space="preserve">Sigurd </w:t>
      </w:r>
      <w:proofErr w:type="spellStart"/>
      <w:r w:rsidR="005D7168">
        <w:t>S</w:t>
      </w:r>
      <w:r w:rsidR="005D7168" w:rsidRPr="005D7168">
        <w:t>chelstraete</w:t>
      </w:r>
      <w:proofErr w:type="spellEnd"/>
      <w:r w:rsidR="005D7168">
        <w:t xml:space="preserve">, </w:t>
      </w:r>
      <w:proofErr w:type="spellStart"/>
      <w:r w:rsidR="005D7168">
        <w:t>Quantenna</w:t>
      </w:r>
      <w:proofErr w:type="spellEnd"/>
      <w:r w:rsidR="00725438">
        <w:t>) The idea is to narrow the scope to implement</w:t>
      </w:r>
      <w:r w:rsidR="008162B4">
        <w:t xml:space="preserve"> this more agile ways of working to speed up the process of a new technology</w:t>
      </w:r>
      <w:r w:rsidR="00725438">
        <w:t>.</w:t>
      </w:r>
      <w:r w:rsidR="00725438">
        <w:br/>
        <w:t>- (Mike) Is there any suggestion how this TIG should operate to reach consensus?</w:t>
      </w:r>
      <w:r w:rsidR="00725438">
        <w:br/>
        <w:t>- (Allen</w:t>
      </w:r>
      <w:r w:rsidR="008D5202">
        <w:t xml:space="preserve"> </w:t>
      </w:r>
      <w:proofErr w:type="spellStart"/>
      <w:r w:rsidR="008D5202">
        <w:t>Heberling</w:t>
      </w:r>
      <w:proofErr w:type="spellEnd"/>
      <w:r w:rsidR="008162B4">
        <w:t xml:space="preserve">, </w:t>
      </w:r>
      <w:proofErr w:type="spellStart"/>
      <w:r w:rsidR="008162B4">
        <w:t>GenXcomm</w:t>
      </w:r>
      <w:proofErr w:type="spellEnd"/>
      <w:r w:rsidR="00725438">
        <w:t>) There is a template from the VLC and FD groups. Should we use that?</w:t>
      </w:r>
      <w:r w:rsidR="00725438">
        <w:br/>
        <w:t>- (Mike) Each TIG is formed for a different purpose. Our TIG is formed to reach consensus of what a SG should do.</w:t>
      </w:r>
      <w:r w:rsidR="00725438">
        <w:br/>
        <w:t>- (Allen</w:t>
      </w:r>
      <w:r w:rsidR="008D5202">
        <w:t xml:space="preserve"> </w:t>
      </w:r>
      <w:proofErr w:type="spellStart"/>
      <w:r w:rsidR="008D5202">
        <w:t>Heberling</w:t>
      </w:r>
      <w:proofErr w:type="spellEnd"/>
      <w:r w:rsidR="008162B4">
        <w:t xml:space="preserve">, </w:t>
      </w:r>
      <w:proofErr w:type="spellStart"/>
      <w:r w:rsidR="008162B4">
        <w:t>GenXcomm</w:t>
      </w:r>
      <w:proofErr w:type="spellEnd"/>
      <w:r w:rsidR="00725438">
        <w:t>) It would probably be helpful to have some document to follow. Once it is down on paper, we have a reference point we can start agreeing/disagreeing.</w:t>
      </w:r>
      <w:r w:rsidR="00725438">
        <w:br/>
        <w:t>- (Edward</w:t>
      </w:r>
      <w:r w:rsidR="008162B4">
        <w:t xml:space="preserve"> Au</w:t>
      </w:r>
      <w:r w:rsidR="00725438">
        <w:t xml:space="preserve">, Huawei) </w:t>
      </w:r>
      <w:r w:rsidR="00836DA4" w:rsidRPr="00836DA4">
        <w:t>Different TIGs have different purposes.</w:t>
      </w:r>
      <w:r w:rsidR="00836DA4">
        <w:t xml:space="preserve"> </w:t>
      </w:r>
      <w:r w:rsidR="00836DA4" w:rsidRPr="00836DA4">
        <w:t xml:space="preserve">For this TIG, </w:t>
      </w:r>
      <w:r w:rsidR="00836DA4">
        <w:t>I think the</w:t>
      </w:r>
      <w:r w:rsidR="00836DA4" w:rsidRPr="00836DA4">
        <w:t xml:space="preserve"> deliverable is </w:t>
      </w:r>
      <w:r w:rsidR="00836DA4">
        <w:t xml:space="preserve">should </w:t>
      </w:r>
      <w:r w:rsidR="00836DA4" w:rsidRPr="00836DA4">
        <w:t xml:space="preserve">be a study group motion </w:t>
      </w:r>
      <w:r w:rsidR="00836DA4">
        <w:t xml:space="preserve">rather </w:t>
      </w:r>
      <w:r w:rsidR="00836DA4" w:rsidRPr="00836DA4">
        <w:t>than a report/document.</w:t>
      </w:r>
      <w:r w:rsidR="00725438">
        <w:br/>
        <w:t xml:space="preserve">- (Mike) We want to develop a motion text to the SG. Get </w:t>
      </w:r>
      <w:r w:rsidR="00662EFA">
        <w:t>an</w:t>
      </w:r>
      <w:r w:rsidR="00725438">
        <w:t xml:space="preserve"> idea of how the PAR is. The document can’t be huge.</w:t>
      </w:r>
      <w:r w:rsidR="00725438">
        <w:br/>
      </w:r>
      <w:r w:rsidR="00725438">
        <w:lastRenderedPageBreak/>
        <w:t>- (Laurent</w:t>
      </w:r>
      <w:r w:rsidR="008D5202">
        <w:t xml:space="preserve"> </w:t>
      </w:r>
      <w:proofErr w:type="spellStart"/>
      <w:r w:rsidR="008D5202">
        <w:t>Cariou</w:t>
      </w:r>
      <w:proofErr w:type="spellEnd"/>
      <w:r w:rsidR="00725438">
        <w:t>, Intel) We should try to operate as if we were in a SG. We should take a stab at initiating the PAR text and CSD. The motion should be a formality we need to do.</w:t>
      </w:r>
      <w:r w:rsidR="00725438">
        <w:br/>
        <w:t>- (Allen</w:t>
      </w:r>
      <w:r w:rsidR="008D5202">
        <w:t xml:space="preserve"> </w:t>
      </w:r>
      <w:proofErr w:type="spellStart"/>
      <w:r w:rsidR="008D5202">
        <w:t>Heberling</w:t>
      </w:r>
      <w:proofErr w:type="spellEnd"/>
      <w:r w:rsidR="008162B4">
        <w:t xml:space="preserve">, </w:t>
      </w:r>
      <w:proofErr w:type="spellStart"/>
      <w:r w:rsidR="008162B4">
        <w:t>GenXcomm</w:t>
      </w:r>
      <w:proofErr w:type="spellEnd"/>
      <w:r w:rsidR="00725438">
        <w:t xml:space="preserve">) </w:t>
      </w:r>
      <w:r w:rsidR="008D5202">
        <w:t>State the technical focus we drive towards. Doesn’t need to be a long document.</w:t>
      </w:r>
    </w:p>
    <w:p w:rsidR="008D5202" w:rsidRPr="00662EFA" w:rsidRDefault="008D5202" w:rsidP="00725438">
      <w:pPr>
        <w:pStyle w:val="ListParagraph"/>
        <w:numPr>
          <w:ilvl w:val="0"/>
          <w:numId w:val="2"/>
        </w:numPr>
        <w:rPr>
          <w:b/>
        </w:rPr>
      </w:pPr>
      <w:r w:rsidRPr="00662EFA">
        <w:rPr>
          <w:b/>
        </w:rPr>
        <w:t>Presentations.</w:t>
      </w:r>
    </w:p>
    <w:p w:rsidR="008162B4" w:rsidRDefault="008D5202" w:rsidP="00840053">
      <w:pPr>
        <w:pStyle w:val="ListParagraph"/>
        <w:numPr>
          <w:ilvl w:val="1"/>
          <w:numId w:val="2"/>
        </w:numPr>
      </w:pPr>
      <w:r>
        <w:t xml:space="preserve">(Laurent </w:t>
      </w:r>
      <w:proofErr w:type="spellStart"/>
      <w:r>
        <w:t>Cariou</w:t>
      </w:r>
      <w:proofErr w:type="spellEnd"/>
      <w:r>
        <w:t>, Intel) Presents document:</w:t>
      </w:r>
      <w:r>
        <w:br/>
        <w:t>802.11-18/1088r0: Extremely High Throughput (EHT) 802.11 study group creation</w:t>
      </w:r>
      <w:r>
        <w:br/>
        <w:t>- (Mike) Comments or questions.</w:t>
      </w:r>
      <w:r>
        <w:br/>
        <w:t>- (Mark Rison, Samsung) I thought you were going to present more?</w:t>
      </w:r>
      <w:r>
        <w:br/>
        <w:t xml:space="preserve">- (Laurent </w:t>
      </w:r>
      <w:proofErr w:type="spellStart"/>
      <w:r>
        <w:t>Cariou</w:t>
      </w:r>
      <w:proofErr w:type="spellEnd"/>
      <w:r>
        <w:t xml:space="preserve">, Intel) </w:t>
      </w:r>
      <w:r w:rsidR="0057431B">
        <w:t>There will obviously be more at the July meeting, but at this stage we only have a 1 hour meeting.</w:t>
      </w:r>
      <w:r w:rsidR="0057431B">
        <w:br/>
        <w:t>- (Mike) Do we have agreement on the 1 GHz to 7.125 GHz operating range? No comments.</w:t>
      </w:r>
      <w:r w:rsidR="0057431B">
        <w:br/>
        <w:t>- (</w:t>
      </w:r>
      <w:proofErr w:type="spellStart"/>
      <w:r w:rsidR="0057431B">
        <w:t>Junghoon</w:t>
      </w:r>
      <w:proofErr w:type="spellEnd"/>
      <w:r w:rsidR="0057431B">
        <w:t>, Huawei) I have problem with the peak throughput. Is it system or point-to-point peak throughput? Some features are not targeted to the point-to-point.</w:t>
      </w:r>
      <w:r w:rsidR="0057431B">
        <w:br/>
        <w:t>- (Laurent</w:t>
      </w:r>
      <w:r w:rsidR="008162B4">
        <w:t xml:space="preserve"> </w:t>
      </w:r>
      <w:proofErr w:type="spellStart"/>
      <w:r w:rsidR="008162B4">
        <w:t>Cariou</w:t>
      </w:r>
      <w:proofErr w:type="spellEnd"/>
      <w:r w:rsidR="0057431B">
        <w:t>, Intel) This is probably a discussion for the PAR. We don’t have to detail everything for the motion.</w:t>
      </w:r>
      <w:r w:rsidR="0057431B">
        <w:br/>
        <w:t>- (</w:t>
      </w:r>
      <w:r w:rsidR="005D7168">
        <w:t xml:space="preserve">Joseph Levy, </w:t>
      </w:r>
      <w:proofErr w:type="spellStart"/>
      <w:r w:rsidR="001274AF" w:rsidRPr="001274AF">
        <w:t>InterDigital</w:t>
      </w:r>
      <w:proofErr w:type="spellEnd"/>
      <w:r w:rsidR="0057431B">
        <w:t>) The same question again, is it point-to-point peak throughput or from the perspective from the AP?</w:t>
      </w:r>
      <w:r w:rsidR="0057431B">
        <w:br/>
        <w:t>- (Mark) Would there be anyone willing to put a presentation/slide to lead the discussion of the definition of peak throughput?</w:t>
      </w:r>
      <w:r w:rsidR="0057431B">
        <w:br/>
        <w:t>- (Laurent</w:t>
      </w:r>
      <w:r w:rsidR="000C1811">
        <w:t xml:space="preserve"> </w:t>
      </w:r>
      <w:proofErr w:type="spellStart"/>
      <w:r w:rsidR="000C1811">
        <w:t>Cariou</w:t>
      </w:r>
      <w:proofErr w:type="spellEnd"/>
      <w:r w:rsidR="0057431B">
        <w:t>, Intel) I can assemble something for this.</w:t>
      </w:r>
      <w:r w:rsidR="0057431B">
        <w:br/>
        <w:t>- (</w:t>
      </w:r>
      <w:r w:rsidR="0057431B" w:rsidRPr="0051352A">
        <w:t>R</w:t>
      </w:r>
      <w:r w:rsidR="00840053" w:rsidRPr="0051352A">
        <w:t>o</w:t>
      </w:r>
      <w:r w:rsidR="0057431B" w:rsidRPr="0051352A">
        <w:t>n</w:t>
      </w:r>
      <w:r w:rsidR="0051352A" w:rsidRPr="0051352A">
        <w:t xml:space="preserve"> </w:t>
      </w:r>
      <w:proofErr w:type="spellStart"/>
      <w:r w:rsidR="0051352A" w:rsidRPr="0051352A">
        <w:t>Porat</w:t>
      </w:r>
      <w:proofErr w:type="spellEnd"/>
      <w:r w:rsidR="0057431B" w:rsidRPr="0051352A">
        <w:t>, Broadcom</w:t>
      </w:r>
      <w:r w:rsidR="0057431B">
        <w:t>) The system is limited by the backhaul. Therefore maybe we should talk about practical limitations on the system throughput because of the backhaul.</w:t>
      </w:r>
      <w:r w:rsidR="0057431B">
        <w:br/>
        <w:t>- (</w:t>
      </w:r>
      <w:r w:rsidR="005D7168" w:rsidRPr="001274AF">
        <w:t xml:space="preserve">Laurent </w:t>
      </w:r>
      <w:proofErr w:type="spellStart"/>
      <w:r w:rsidR="005D7168" w:rsidRPr="001274AF">
        <w:t>Cariou</w:t>
      </w:r>
      <w:proofErr w:type="spellEnd"/>
      <w:r w:rsidR="005D7168" w:rsidRPr="001274AF">
        <w:t>, Intel</w:t>
      </w:r>
      <w:r w:rsidR="0057431B">
        <w:t>) We don’t work with the backhaul, so probably that would not fit here.</w:t>
      </w:r>
      <w:r w:rsidR="00840053">
        <w:br/>
        <w:t>- (</w:t>
      </w:r>
      <w:r w:rsidR="00840053" w:rsidRPr="0051352A">
        <w:t>Ron</w:t>
      </w:r>
      <w:r w:rsidR="0051352A" w:rsidRPr="0051352A">
        <w:t xml:space="preserve"> </w:t>
      </w:r>
      <w:proofErr w:type="spellStart"/>
      <w:r w:rsidR="0051352A" w:rsidRPr="0051352A">
        <w:t>Porat</w:t>
      </w:r>
      <w:proofErr w:type="spellEnd"/>
      <w:r w:rsidR="00840053" w:rsidRPr="0051352A">
        <w:t>, Broadcom</w:t>
      </w:r>
      <w:r w:rsidR="00840053">
        <w:t xml:space="preserve">) Peak throughput is </w:t>
      </w:r>
      <w:r w:rsidR="00662EFA">
        <w:t>not relevant</w:t>
      </w:r>
      <w:r w:rsidR="00840053">
        <w:t xml:space="preserve"> in reality.</w:t>
      </w:r>
      <w:r w:rsidR="00725438">
        <w:br/>
      </w:r>
      <w:r w:rsidR="00840053">
        <w:t>- (</w:t>
      </w:r>
      <w:r w:rsidR="005D7168">
        <w:t xml:space="preserve">Laurent </w:t>
      </w:r>
      <w:proofErr w:type="spellStart"/>
      <w:r w:rsidR="005D7168">
        <w:t>Cariou</w:t>
      </w:r>
      <w:proofErr w:type="spellEnd"/>
      <w:r w:rsidR="005D7168">
        <w:t>, Intel</w:t>
      </w:r>
      <w:r w:rsidR="00840053">
        <w:t>) It is really the average throughput which is the reality.</w:t>
      </w:r>
      <w:r w:rsidR="00840053">
        <w:br/>
        <w:t>- (</w:t>
      </w:r>
      <w:r w:rsidR="005D7168">
        <w:t>Joseph Levy, Interdigital</w:t>
      </w:r>
      <w:r w:rsidR="00662EFA">
        <w:t>)</w:t>
      </w:r>
      <w:r w:rsidR="00840053">
        <w:t xml:space="preserve"> I disagree with the backhaul limitation.</w:t>
      </w:r>
      <w:r w:rsidR="00840053">
        <w:br/>
        <w:t>- (</w:t>
      </w:r>
      <w:r w:rsidR="005D7168">
        <w:t>Joseph Levy, Interdigital</w:t>
      </w:r>
      <w:r w:rsidR="00840053">
        <w:t>) Will latency be discussed?</w:t>
      </w:r>
      <w:r w:rsidR="00840053">
        <w:br/>
        <w:t>- (</w:t>
      </w:r>
      <w:r w:rsidR="005D7168">
        <w:t xml:space="preserve">Laurent </w:t>
      </w:r>
      <w:proofErr w:type="spellStart"/>
      <w:r w:rsidR="005D7168">
        <w:t>Cariou</w:t>
      </w:r>
      <w:proofErr w:type="spellEnd"/>
      <w:r w:rsidR="005D7168">
        <w:t>, Intel</w:t>
      </w:r>
      <w:r w:rsidR="00840053">
        <w:t>) There will probably be some discussion on this.</w:t>
      </w:r>
      <w:r w:rsidR="00840053">
        <w:br/>
        <w:t>- (</w:t>
      </w:r>
      <w:r w:rsidR="005D7168">
        <w:t>Joseph Levy, Interdigital</w:t>
      </w:r>
      <w:r w:rsidR="00840053">
        <w:t>) The latency goes down when the peak throughput goes up.</w:t>
      </w:r>
      <w:r w:rsidR="00840053">
        <w:br/>
        <w:t>- (Mike) What would go into the motion to form a SG versus what do we really need to discuss in the SG?</w:t>
      </w:r>
      <w:r w:rsidR="00840053">
        <w:br/>
        <w:t>- (</w:t>
      </w:r>
      <w:r w:rsidR="008162B4">
        <w:t>Rui</w:t>
      </w:r>
      <w:r w:rsidR="00840053">
        <w:t xml:space="preserve"> </w:t>
      </w:r>
      <w:r w:rsidR="008162B4">
        <w:t>Yang</w:t>
      </w:r>
      <w:r w:rsidR="00840053">
        <w:t xml:space="preserve">, </w:t>
      </w:r>
      <w:proofErr w:type="spellStart"/>
      <w:r w:rsidR="00840053">
        <w:t>InterDigital</w:t>
      </w:r>
      <w:proofErr w:type="spellEnd"/>
      <w:r w:rsidR="00840053">
        <w:t>) We should really clarify use-cases. Once we have agreed on the use-cases we can discuss the requirements to reach the use-cases.</w:t>
      </w:r>
      <w:r w:rsidR="00840053">
        <w:br/>
        <w:t>- (</w:t>
      </w:r>
      <w:r w:rsidR="008162B4">
        <w:t xml:space="preserve">Mike) Good point. We have 1 minute left. I sum up. </w:t>
      </w:r>
    </w:p>
    <w:p w:rsidR="008162B4" w:rsidRDefault="00662EFA" w:rsidP="008162B4">
      <w:pPr>
        <w:pStyle w:val="ListParagraph"/>
        <w:numPr>
          <w:ilvl w:val="0"/>
          <w:numId w:val="2"/>
        </w:numPr>
      </w:pPr>
      <w:r>
        <w:t xml:space="preserve">(Mike) </w:t>
      </w:r>
      <w:r w:rsidR="008162B4">
        <w:t>We have 2 sessions in July. Objective is to discuss this to the point we reach consensus on what the motion should be. I would like to see volunteers on presentations.</w:t>
      </w:r>
    </w:p>
    <w:p w:rsidR="00840053" w:rsidRDefault="00662EFA" w:rsidP="008162B4">
      <w:pPr>
        <w:pStyle w:val="ListParagraph"/>
        <w:numPr>
          <w:ilvl w:val="0"/>
          <w:numId w:val="2"/>
        </w:numPr>
      </w:pPr>
      <w:r>
        <w:t xml:space="preserve">(Mike) </w:t>
      </w:r>
      <w:r w:rsidR="008162B4">
        <w:t>Thank you all for joining.</w:t>
      </w:r>
    </w:p>
    <w:sectPr w:rsidR="00840053">
      <w:headerReference w:type="default" r:id="rId31"/>
      <w:footerReference w:type="default" r:id="rId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164" w:rsidRDefault="00450164">
      <w:r>
        <w:separator/>
      </w:r>
    </w:p>
  </w:endnote>
  <w:endnote w:type="continuationSeparator" w:id="0">
    <w:p w:rsidR="00450164" w:rsidRDefault="00450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984D54">
    <w:pPr>
      <w:pStyle w:val="Footer"/>
      <w:tabs>
        <w:tab w:val="clear" w:pos="6480"/>
        <w:tab w:val="center" w:pos="4680"/>
        <w:tab w:val="right" w:pos="9360"/>
      </w:tabs>
    </w:pPr>
    <w:r>
      <w:t>Minutes</w:t>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t>Dennis Sundman, Ericsson AB</w:t>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164" w:rsidRDefault="00450164">
      <w:r>
        <w:separator/>
      </w:r>
    </w:p>
  </w:footnote>
  <w:footnote w:type="continuationSeparator" w:id="0">
    <w:p w:rsidR="00450164" w:rsidRDefault="00450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984D54">
    <w:pPr>
      <w:pStyle w:val="Header"/>
      <w:tabs>
        <w:tab w:val="clear" w:pos="6480"/>
        <w:tab w:val="center" w:pos="4680"/>
        <w:tab w:val="right" w:pos="9360"/>
      </w:tabs>
    </w:pPr>
    <w:r>
      <w:t>June 2018</w:t>
    </w:r>
    <w:r w:rsidR="0029020B">
      <w:tab/>
    </w:r>
    <w:r w:rsidR="0029020B">
      <w:tab/>
    </w:r>
    <w:r w:rsidR="00450164">
      <w:fldChar w:fldCharType="begin"/>
    </w:r>
    <w:r w:rsidR="00450164">
      <w:instrText xml:space="preserve"> TITLE  \* MERGEFORMAT </w:instrText>
    </w:r>
    <w:r w:rsidR="00450164">
      <w:fldChar w:fldCharType="separate"/>
    </w:r>
    <w:r>
      <w:t>doc.: IEEE 802.11-</w:t>
    </w:r>
    <w:r w:rsidR="0051352A">
      <w:t>18</w:t>
    </w:r>
    <w:r>
      <w:t>/</w:t>
    </w:r>
    <w:r w:rsidR="0051352A">
      <w:t>1095</w:t>
    </w:r>
    <w:r>
      <w:t>r</w:t>
    </w:r>
    <w:r w:rsidR="00043E25">
      <w:t>1</w:t>
    </w:r>
    <w:r w:rsidR="0045016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0397D"/>
    <w:multiLevelType w:val="hybridMultilevel"/>
    <w:tmpl w:val="D88E6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7846FD6"/>
    <w:multiLevelType w:val="hybridMultilevel"/>
    <w:tmpl w:val="E77E8C86"/>
    <w:lvl w:ilvl="0" w:tplc="0409000F">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D54"/>
    <w:rsid w:val="00043E25"/>
    <w:rsid w:val="000C1811"/>
    <w:rsid w:val="001274AF"/>
    <w:rsid w:val="001B549C"/>
    <w:rsid w:val="001D723B"/>
    <w:rsid w:val="00226E23"/>
    <w:rsid w:val="0029020B"/>
    <w:rsid w:val="002D44BE"/>
    <w:rsid w:val="003911DF"/>
    <w:rsid w:val="00442037"/>
    <w:rsid w:val="00450164"/>
    <w:rsid w:val="004B064B"/>
    <w:rsid w:val="0051352A"/>
    <w:rsid w:val="00521532"/>
    <w:rsid w:val="0057431B"/>
    <w:rsid w:val="005D7168"/>
    <w:rsid w:val="0062440B"/>
    <w:rsid w:val="00662EFA"/>
    <w:rsid w:val="006C0727"/>
    <w:rsid w:val="006E145F"/>
    <w:rsid w:val="006E32B9"/>
    <w:rsid w:val="006F64B4"/>
    <w:rsid w:val="00725438"/>
    <w:rsid w:val="00756DA2"/>
    <w:rsid w:val="00770572"/>
    <w:rsid w:val="008162B4"/>
    <w:rsid w:val="00836DA4"/>
    <w:rsid w:val="00840053"/>
    <w:rsid w:val="008D5202"/>
    <w:rsid w:val="009657FA"/>
    <w:rsid w:val="00984D54"/>
    <w:rsid w:val="009F2FBC"/>
    <w:rsid w:val="00AA427C"/>
    <w:rsid w:val="00BE68C2"/>
    <w:rsid w:val="00C85CB2"/>
    <w:rsid w:val="00CA09B2"/>
    <w:rsid w:val="00CA5ADD"/>
    <w:rsid w:val="00D309D3"/>
    <w:rsid w:val="00D91A49"/>
    <w:rsid w:val="00DC5A7B"/>
    <w:rsid w:val="00F42729"/>
    <w:rsid w:val="00FE1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9371B9"/>
  <w15:chartTrackingRefBased/>
  <w15:docId w15:val="{56DDEEF1-A8FB-45FA-A168-58E594DD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984D54"/>
    <w:pPr>
      <w:ind w:left="720"/>
      <w:contextualSpacing/>
    </w:pPr>
    <w:rPr>
      <w:sz w:val="24"/>
      <w:szCs w:val="24"/>
      <w:lang w:eastAsia="en-GB"/>
    </w:rPr>
  </w:style>
  <w:style w:type="paragraph" w:customStyle="1" w:styleId="m-4890597653018465012gmail-msolistparagraph">
    <w:name w:val="m_-4890597653018465012gmail-msolistparagraph"/>
    <w:basedOn w:val="Normal"/>
    <w:rsid w:val="00984D54"/>
    <w:pPr>
      <w:spacing w:before="100" w:beforeAutospacing="1" w:after="100" w:afterAutospacing="1"/>
    </w:pPr>
    <w:rPr>
      <w:sz w:val="24"/>
      <w:szCs w:val="24"/>
      <w:lang w:eastAsia="en-GB"/>
    </w:rPr>
  </w:style>
  <w:style w:type="character" w:customStyle="1" w:styleId="il">
    <w:name w:val="il"/>
    <w:rsid w:val="00984D54"/>
  </w:style>
  <w:style w:type="character" w:customStyle="1" w:styleId="m-4890597653018465012gmail-msohyperlink">
    <w:name w:val="m_-4890597653018465012gmail-msohyperlink"/>
    <w:rsid w:val="00984D54"/>
  </w:style>
  <w:style w:type="character" w:styleId="CommentReference">
    <w:name w:val="annotation reference"/>
    <w:basedOn w:val="DefaultParagraphFont"/>
    <w:rsid w:val="005D7168"/>
    <w:rPr>
      <w:sz w:val="16"/>
      <w:szCs w:val="16"/>
    </w:rPr>
  </w:style>
  <w:style w:type="paragraph" w:styleId="CommentText">
    <w:name w:val="annotation text"/>
    <w:basedOn w:val="Normal"/>
    <w:link w:val="CommentTextChar"/>
    <w:rsid w:val="005D7168"/>
    <w:rPr>
      <w:sz w:val="20"/>
    </w:rPr>
  </w:style>
  <w:style w:type="character" w:customStyle="1" w:styleId="CommentTextChar">
    <w:name w:val="Comment Text Char"/>
    <w:basedOn w:val="DefaultParagraphFont"/>
    <w:link w:val="CommentText"/>
    <w:rsid w:val="005D7168"/>
    <w:rPr>
      <w:lang w:val="en-GB"/>
    </w:rPr>
  </w:style>
  <w:style w:type="paragraph" w:styleId="CommentSubject">
    <w:name w:val="annotation subject"/>
    <w:basedOn w:val="CommentText"/>
    <w:next w:val="CommentText"/>
    <w:link w:val="CommentSubjectChar"/>
    <w:rsid w:val="005D7168"/>
    <w:rPr>
      <w:b/>
      <w:bCs/>
    </w:rPr>
  </w:style>
  <w:style w:type="character" w:customStyle="1" w:styleId="CommentSubjectChar">
    <w:name w:val="Comment Subject Char"/>
    <w:basedOn w:val="CommentTextChar"/>
    <w:link w:val="CommentSubject"/>
    <w:rsid w:val="005D7168"/>
    <w:rPr>
      <w:b/>
      <w:bCs/>
      <w:lang w:val="en-GB"/>
    </w:rPr>
  </w:style>
  <w:style w:type="paragraph" w:styleId="BalloonText">
    <w:name w:val="Balloon Text"/>
    <w:basedOn w:val="Normal"/>
    <w:link w:val="BalloonTextChar"/>
    <w:rsid w:val="005D7168"/>
    <w:rPr>
      <w:sz w:val="18"/>
      <w:szCs w:val="18"/>
    </w:rPr>
  </w:style>
  <w:style w:type="character" w:customStyle="1" w:styleId="BalloonTextChar">
    <w:name w:val="Balloon Text Char"/>
    <w:basedOn w:val="DefaultParagraphFont"/>
    <w:link w:val="BalloonText"/>
    <w:rsid w:val="005D7168"/>
    <w:rPr>
      <w:sz w:val="18"/>
      <w:szCs w:val="18"/>
      <w:lang w:val="en-GB"/>
    </w:rPr>
  </w:style>
  <w:style w:type="character" w:styleId="UnresolvedMention">
    <w:name w:val="Unresolved Mention"/>
    <w:basedOn w:val="DefaultParagraphFont"/>
    <w:uiPriority w:val="99"/>
    <w:semiHidden/>
    <w:unhideWhenUsed/>
    <w:rsid w:val="005D7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442474">
      <w:bodyDiv w:val="1"/>
      <w:marLeft w:val="0"/>
      <w:marRight w:val="0"/>
      <w:marTop w:val="0"/>
      <w:marBottom w:val="0"/>
      <w:divBdr>
        <w:top w:val="none" w:sz="0" w:space="0" w:color="auto"/>
        <w:left w:val="none" w:sz="0" w:space="0" w:color="auto"/>
        <w:bottom w:val="none" w:sz="0" w:space="0" w:color="auto"/>
        <w:right w:val="none" w:sz="0" w:space="0" w:color="auto"/>
      </w:divBdr>
    </w:div>
    <w:div w:id="148905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ec/dcn/16/ec-16-0180-05-00EC-ieee-802-participation-slide.pptx" TargetMode="External"/><Relationship Id="rId13" Type="http://schemas.openxmlformats.org/officeDocument/2006/relationships/hyperlink" Target="http://standards.ieee.org/faqs/affiliation.html" TargetMode="External"/><Relationship Id="rId18" Type="http://schemas.openxmlformats.org/officeDocument/2006/relationships/hyperlink" Target="http://standards.ieee.org/board/pat/pat-slideset.ppt" TargetMode="External"/><Relationship Id="rId26" Type="http://schemas.openxmlformats.org/officeDocument/2006/relationships/hyperlink" Target="http://www.ieee802.org/PNP/approved/IEEE_802_WG_PandP_v19.pdf" TargetMode="External"/><Relationship Id="rId3" Type="http://schemas.openxmlformats.org/officeDocument/2006/relationships/styles" Target="styles.xml"/><Relationship Id="rId21" Type="http://schemas.openxmlformats.org/officeDocument/2006/relationships/hyperlink" Target="http://standards.ieee.org/board/pat/faq.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andards.ieee.org/faqs/affiliation.html" TargetMode="External"/><Relationship Id="rId17" Type="http://schemas.openxmlformats.org/officeDocument/2006/relationships/hyperlink" Target="http://standards.ieee.org/develop/policies/bylaws/sect6-7.html" TargetMode="External"/><Relationship Id="rId25" Type="http://schemas.openxmlformats.org/officeDocument/2006/relationships/hyperlink" Target="http://standards.ieee.org/board/pat/pat-slideset.pp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andards.ieee.org/resources/antitrust-guidelines.pdf" TargetMode="External"/><Relationship Id="rId20" Type="http://schemas.openxmlformats.org/officeDocument/2006/relationships/hyperlink" Target="http://standards.ieee.org/board/pat/faq.pdf" TargetMode="External"/><Relationship Id="rId29"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faqs/affiliation.html" TargetMode="External"/><Relationship Id="rId24" Type="http://schemas.openxmlformats.org/officeDocument/2006/relationships/hyperlink" Target="http://standards.ieee.org/board/pat/pat-slideset.ppt"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tandards.ieee.org/resources/antitrust-guidelines.pdf" TargetMode="External"/><Relationship Id="rId23" Type="http://schemas.openxmlformats.org/officeDocument/2006/relationships/hyperlink" Target="http://standards.ieee.org/board/pat/pat-slideset.ppt" TargetMode="External"/><Relationship Id="rId28" Type="http://schemas.openxmlformats.org/officeDocument/2006/relationships/hyperlink" Target="https://mentor.ieee.org/802-ec/dcn/17/ec-17-0120-26-0PNP-ieee-802-lmsc-chairs-guidelines.pdf" TargetMode="External"/><Relationship Id="rId10" Type="http://schemas.openxmlformats.org/officeDocument/2006/relationships/hyperlink" Target="http://www.ieee.org/about/corporate/governance/p7-8.html" TargetMode="External"/><Relationship Id="rId19" Type="http://schemas.openxmlformats.org/officeDocument/2006/relationships/hyperlink" Target="http://standards.ieee.org/board/pat/pat-slideset.ppt"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18/11-18-0789-10-0wng-extreme-throughput-802-11.pptx" TargetMode="External"/><Relationship Id="rId14" Type="http://schemas.openxmlformats.org/officeDocument/2006/relationships/hyperlink" Target="http://standards.ieee.org/resources/antitrust-guidelines.pdf" TargetMode="External"/><Relationship Id="rId22" Type="http://schemas.openxmlformats.org/officeDocument/2006/relationships/hyperlink" Target="http://standards.ieee.org/board/pat/faq.pdf" TargetMode="External"/><Relationship Id="rId27" Type="http://schemas.openxmlformats.org/officeDocument/2006/relationships/hyperlink" Target="http://www.ieee802.org/PNP/approved/IEEE_802_WG_PandP_v19.pdf" TargetMode="External"/><Relationship Id="rId30" Type="http://schemas.openxmlformats.org/officeDocument/2006/relationships/hyperlink" Target="https://mentor.ieee.org/802.11/dcn/14/11-14-0629-21-0000-802-11-operations-manua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18BFB-979F-45FA-9310-0CFBE4840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5</Pages>
  <Words>1690</Words>
  <Characters>9634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 IEEE 802.11-18/1095r0</vt:lpstr>
    </vt:vector>
  </TitlesOfParts>
  <Company>Some Company</Company>
  <LinksUpToDate>false</LinksUpToDate>
  <CharactersWithSpaces>11302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802.11-18/1095r0</dc:title>
  <dc:subject>Submission</dc:subject>
  <dc:creator>Dennis Sundman</dc:creator>
  <cp:keywords>June 2018</cp:keywords>
  <dc:description>Dennis Sundman, Ericsson</dc:description>
  <cp:lastModifiedBy>Dennis Sundman</cp:lastModifiedBy>
  <cp:revision>3</cp:revision>
  <cp:lastPrinted>1900-01-01T05:00:00Z</cp:lastPrinted>
  <dcterms:created xsi:type="dcterms:W3CDTF">2018-06-21T06:05:00Z</dcterms:created>
  <dcterms:modified xsi:type="dcterms:W3CDTF">2018-06-21T06:05:00Z</dcterms:modified>
</cp:coreProperties>
</file>