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1B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DD1B7A">
              <w:rPr>
                <w:rFonts w:hint="eastAsia"/>
                <w:b w:val="0"/>
                <w:sz w:val="20"/>
                <w:lang w:eastAsia="zh-CN"/>
              </w:rPr>
              <w:t>8</w:t>
            </w:r>
            <w:r w:rsidR="000F4F3C">
              <w:rPr>
                <w:b w:val="0"/>
                <w:sz w:val="20"/>
              </w:rPr>
              <w:t>-</w:t>
            </w:r>
            <w:r w:rsidR="00DD1B7A">
              <w:rPr>
                <w:rFonts w:hint="eastAsia"/>
                <w:b w:val="0"/>
                <w:sz w:val="20"/>
                <w:lang w:eastAsia="zh-CN"/>
              </w:rPr>
              <w:t>27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44BF3">
              <w:rPr>
                <w:b w:val="0"/>
                <w:sz w:val="22"/>
                <w:szCs w:val="22"/>
              </w:rPr>
              <w:t>Hongyuan</w:t>
            </w:r>
            <w:proofErr w:type="spellEnd"/>
            <w:r w:rsidRPr="00944BF3">
              <w:rPr>
                <w:b w:val="0"/>
                <w:sz w:val="22"/>
                <w:szCs w:val="22"/>
              </w:rPr>
              <w:t xml:space="preserve">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1"/>
      </w:pPr>
      <w:r>
        <w:br w:type="page"/>
      </w:r>
    </w:p>
    <w:p w:rsidR="000239E4" w:rsidRPr="00FA5712" w:rsidRDefault="003A366F" w:rsidP="003A366F">
      <w:pPr>
        <w:pStyle w:val="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D15F50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and Physical Layers (PHY) </w:t>
      </w:r>
      <w:r w:rsidR="00970382" w:rsidRPr="00970382">
        <w:rPr>
          <w:sz w:val="24"/>
          <w:szCs w:val="24"/>
          <w:highlight w:val="yellow"/>
        </w:rPr>
        <w:t xml:space="preserve">for </w:t>
      </w:r>
      <w:r w:rsidR="00CC5B18">
        <w:rPr>
          <w:sz w:val="24"/>
          <w:szCs w:val="24"/>
          <w:highlight w:val="yellow"/>
        </w:rPr>
        <w:t>vehicle to everything (</w:t>
      </w:r>
      <w:r w:rsidR="00970382" w:rsidRPr="00CC5B18">
        <w:rPr>
          <w:sz w:val="24"/>
          <w:szCs w:val="24"/>
          <w:highlight w:val="yellow"/>
        </w:rPr>
        <w:t>V2X</w:t>
      </w:r>
      <w:r w:rsidR="00CC5B18">
        <w:rPr>
          <w:sz w:val="24"/>
          <w:szCs w:val="24"/>
          <w:highlight w:val="yellow"/>
        </w:rPr>
        <w:t>)</w:t>
      </w:r>
      <w:r w:rsidR="00970382" w:rsidRPr="00CC5B18">
        <w:rPr>
          <w:sz w:val="24"/>
          <w:szCs w:val="24"/>
          <w:highlight w:val="yellow"/>
        </w:rPr>
        <w:t xml:space="preserve"> </w:t>
      </w:r>
      <w:proofErr w:type="spellStart"/>
      <w:r w:rsidR="00970382" w:rsidRPr="00CC5B18">
        <w:rPr>
          <w:sz w:val="24"/>
          <w:szCs w:val="24"/>
          <w:highlight w:val="yellow"/>
        </w:rPr>
        <w:t>communcations</w:t>
      </w:r>
      <w:proofErr w:type="spellEnd"/>
      <w:r w:rsidR="000B361B" w:rsidRPr="000B361B">
        <w:rPr>
          <w:sz w:val="24"/>
          <w:szCs w:val="24"/>
          <w:highlight w:val="yellow"/>
        </w:rPr>
        <w:t xml:space="preserve"> </w:t>
      </w:r>
      <w:r w:rsidR="000B361B">
        <w:rPr>
          <w:sz w:val="24"/>
          <w:szCs w:val="24"/>
          <w:highlight w:val="yellow"/>
        </w:rPr>
        <w:t>for</w:t>
      </w:r>
      <w:r w:rsidR="000B361B" w:rsidRPr="00970382">
        <w:rPr>
          <w:sz w:val="24"/>
          <w:szCs w:val="24"/>
          <w:highlight w:val="yellow"/>
        </w:rPr>
        <w:t xml:space="preserve"> 5.9</w:t>
      </w:r>
      <w:r w:rsidR="009C4868">
        <w:rPr>
          <w:sz w:val="24"/>
          <w:szCs w:val="24"/>
          <w:highlight w:val="yellow"/>
        </w:rPr>
        <w:t xml:space="preserve"> </w:t>
      </w:r>
      <w:r w:rsidR="000B361B" w:rsidRPr="00970382">
        <w:rPr>
          <w:sz w:val="24"/>
          <w:szCs w:val="24"/>
          <w:highlight w:val="yellow"/>
        </w:rPr>
        <w:t>GHz band</w:t>
      </w:r>
      <w:r w:rsidR="000B361B">
        <w:rPr>
          <w:sz w:val="24"/>
          <w:szCs w:val="24"/>
          <w:highlight w:val="yellow"/>
        </w:rPr>
        <w:t xml:space="preserve"> as defined in clauses E.2.3 and E.2.4 </w:t>
      </w:r>
      <w:r w:rsidR="00D15F50">
        <w:rPr>
          <w:sz w:val="24"/>
          <w:szCs w:val="24"/>
          <w:highlight w:val="yellow"/>
        </w:rPr>
        <w:t xml:space="preserve">of </w:t>
      </w:r>
      <w:r w:rsidR="000B361B">
        <w:rPr>
          <w:sz w:val="24"/>
          <w:szCs w:val="24"/>
          <w:highlight w:val="yellow"/>
        </w:rPr>
        <w:t xml:space="preserve">IEEE </w:t>
      </w:r>
      <w:proofErr w:type="spellStart"/>
      <w:r w:rsidR="000B361B">
        <w:rPr>
          <w:sz w:val="24"/>
          <w:szCs w:val="24"/>
          <w:highlight w:val="yellow"/>
        </w:rPr>
        <w:t>Std</w:t>
      </w:r>
      <w:proofErr w:type="spellEnd"/>
      <w:r w:rsidR="000B361B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0B361B">
        <w:rPr>
          <w:sz w:val="24"/>
          <w:szCs w:val="24"/>
          <w:highlight w:val="yellow"/>
        </w:rPr>
        <w:t>-2016</w:t>
      </w:r>
      <w:r w:rsidR="00381A90">
        <w:rPr>
          <w:sz w:val="24"/>
          <w:szCs w:val="24"/>
          <w:highlight w:val="yellow"/>
        </w:rPr>
        <w:t xml:space="preserve">; and, optionally, in the 60 GHz frequency band (57 GHz to </w:t>
      </w:r>
      <w:r w:rsidR="0048666C">
        <w:rPr>
          <w:rFonts w:hint="eastAsia"/>
          <w:sz w:val="24"/>
          <w:szCs w:val="24"/>
          <w:highlight w:val="yellow"/>
          <w:lang w:eastAsia="zh-CN"/>
        </w:rPr>
        <w:t>71</w:t>
      </w:r>
      <w:r w:rsidR="00381A90">
        <w:rPr>
          <w:sz w:val="24"/>
          <w:szCs w:val="24"/>
          <w:highlight w:val="yellow"/>
        </w:rPr>
        <w:t xml:space="preserve"> GHz) as defined in clause E.1</w:t>
      </w:r>
      <w:ins w:id="1" w:author="孙波10013985" w:date="2018-09-13T02:21:00Z">
        <w:r w:rsidR="0048666C" w:rsidRPr="0048666C">
          <w:rPr>
            <w:sz w:val="24"/>
            <w:szCs w:val="24"/>
            <w:highlight w:val="yellow"/>
          </w:rPr>
          <w:t xml:space="preserve"> </w:t>
        </w:r>
      </w:ins>
      <w:r w:rsidR="0048666C">
        <w:rPr>
          <w:sz w:val="24"/>
          <w:szCs w:val="24"/>
          <w:highlight w:val="yellow"/>
        </w:rPr>
        <w:t xml:space="preserve">of IEEE </w:t>
      </w:r>
      <w:proofErr w:type="spellStart"/>
      <w:r w:rsidR="0048666C">
        <w:rPr>
          <w:sz w:val="24"/>
          <w:szCs w:val="24"/>
          <w:highlight w:val="yellow"/>
        </w:rPr>
        <w:t>Std</w:t>
      </w:r>
      <w:proofErr w:type="spellEnd"/>
      <w:r w:rsidR="0048666C">
        <w:rPr>
          <w:sz w:val="24"/>
          <w:szCs w:val="24"/>
          <w:highlight w:val="yellow"/>
        </w:rPr>
        <w:t xml:space="preserve"> 802.11™-2016</w:t>
      </w:r>
      <w:r w:rsidR="0048666C">
        <w:rPr>
          <w:rFonts w:hint="eastAsia"/>
          <w:sz w:val="24"/>
          <w:szCs w:val="24"/>
          <w:highlight w:val="yellow"/>
          <w:lang w:eastAsia="zh-CN"/>
        </w:rPr>
        <w:t>.</w:t>
      </w:r>
      <w:del w:id="2" w:author="孙波10013985" w:date="2018-09-13T02:20:00Z">
        <w:r w:rsidR="00381A90" w:rsidDel="0048666C">
          <w:rPr>
            <w:rFonts w:hint="eastAsia"/>
            <w:sz w:val="24"/>
            <w:szCs w:val="24"/>
            <w:highlight w:val="yellow"/>
            <w:lang w:eastAsia="zh-CN"/>
          </w:rPr>
          <w:delText xml:space="preserve"> </w:delText>
        </w:r>
      </w:del>
      <w:ins w:id="3" w:author="孙波10013985" w:date="2018-09-13T02:20:00Z">
        <w:r w:rsidR="0048666C">
          <w:rPr>
            <w:rFonts w:hint="eastAsia"/>
            <w:sz w:val="24"/>
            <w:szCs w:val="24"/>
            <w:highlight w:val="yellow"/>
            <w:lang w:eastAsia="zh-CN"/>
          </w:rPr>
          <w:t xml:space="preserve"> </w:t>
        </w:r>
      </w:ins>
    </w:p>
    <w:p w:rsidR="00D15F50" w:rsidRPr="00385F91" w:rsidRDefault="00D15F5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256790" w:rsidRDefault="00D509EC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This amendment defines</w:t>
      </w:r>
      <w:r w:rsidR="00944BF3" w:rsidRPr="00CC5B18">
        <w:rPr>
          <w:sz w:val="24"/>
          <w:szCs w:val="24"/>
          <w:highlight w:val="yellow"/>
        </w:rPr>
        <w:t xml:space="preserve"> at least one mode that achieves </w:t>
      </w:r>
      <w:r w:rsidR="00CC5B18">
        <w:rPr>
          <w:sz w:val="24"/>
          <w:szCs w:val="24"/>
          <w:highlight w:val="yellow"/>
        </w:rPr>
        <w:t xml:space="preserve">at least </w:t>
      </w:r>
      <w:r w:rsidR="00970382" w:rsidRPr="00CC5B18">
        <w:rPr>
          <w:sz w:val="24"/>
          <w:szCs w:val="24"/>
          <w:highlight w:val="yellow"/>
        </w:rPr>
        <w:t xml:space="preserve">2 </w:t>
      </w:r>
      <w:r w:rsidR="00944BF3" w:rsidRPr="00CC5B18">
        <w:rPr>
          <w:sz w:val="24"/>
          <w:szCs w:val="24"/>
          <w:highlight w:val="yellow"/>
        </w:rPr>
        <w:t>tim</w:t>
      </w:r>
      <w:bookmarkStart w:id="4" w:name="_GoBack"/>
      <w:bookmarkEnd w:id="4"/>
      <w:r w:rsidR="00944BF3" w:rsidRPr="00CC5B18">
        <w:rPr>
          <w:sz w:val="24"/>
          <w:szCs w:val="24"/>
          <w:highlight w:val="yellow"/>
        </w:rPr>
        <w:t>es higher</w:t>
      </w:r>
      <w:r w:rsidR="003766B6">
        <w:rPr>
          <w:sz w:val="24"/>
          <w:szCs w:val="24"/>
          <w:highlight w:val="yellow"/>
        </w:rPr>
        <w:t xml:space="preserve"> </w:t>
      </w:r>
      <w:r w:rsidR="00944BF3" w:rsidRPr="00CC5B18">
        <w:rPr>
          <w:sz w:val="24"/>
          <w:szCs w:val="24"/>
          <w:highlight w:val="yellow"/>
        </w:rPr>
        <w:t>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</w:t>
      </w:r>
      <w:r w:rsidR="00A91B5F">
        <w:rPr>
          <w:sz w:val="24"/>
          <w:szCs w:val="24"/>
          <w:highlight w:val="yellow"/>
        </w:rPr>
        <w:t xml:space="preserve">as </w:t>
      </w:r>
      <w:r w:rsidR="00944BF3" w:rsidRPr="00CC5B18">
        <w:rPr>
          <w:sz w:val="24"/>
          <w:szCs w:val="24"/>
          <w:highlight w:val="yellow"/>
        </w:rPr>
        <w:t xml:space="preserve">in </w:t>
      </w:r>
      <w:r w:rsidR="00970382" w:rsidRPr="00970382">
        <w:rPr>
          <w:sz w:val="24"/>
          <w:szCs w:val="24"/>
          <w:highlight w:val="yellow"/>
        </w:rPr>
        <w:t xml:space="preserve">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970382" w:rsidRPr="00970382">
        <w:rPr>
          <w:sz w:val="24"/>
          <w:szCs w:val="24"/>
          <w:highlight w:val="yellow"/>
        </w:rPr>
        <w:t xml:space="preserve">-2016 operating </w:t>
      </w:r>
      <w:r w:rsidR="003B18C5">
        <w:rPr>
          <w:sz w:val="24"/>
          <w:szCs w:val="24"/>
          <w:highlight w:val="yellow"/>
        </w:rPr>
        <w:t xml:space="preserve">at </w:t>
      </w:r>
      <w:proofErr w:type="spellStart"/>
      <w:r w:rsidR="003B18C5">
        <w:rPr>
          <w:sz w:val="24"/>
          <w:szCs w:val="24"/>
          <w:highlight w:val="yellow"/>
        </w:rPr>
        <w:t>maxmium</w:t>
      </w:r>
      <w:proofErr w:type="spellEnd"/>
      <w:r w:rsidR="003B18C5">
        <w:rPr>
          <w:sz w:val="24"/>
          <w:szCs w:val="24"/>
          <w:highlight w:val="yellow"/>
        </w:rPr>
        <w:t xml:space="preserve"> mandatory </w:t>
      </w:r>
      <w:r w:rsidR="00533C68">
        <w:rPr>
          <w:sz w:val="24"/>
          <w:szCs w:val="24"/>
          <w:highlight w:val="yellow"/>
        </w:rPr>
        <w:t xml:space="preserve">data rate </w:t>
      </w:r>
      <w:r w:rsidR="003B18C5">
        <w:rPr>
          <w:sz w:val="24"/>
          <w:szCs w:val="24"/>
          <w:highlight w:val="yellow"/>
        </w:rPr>
        <w:t xml:space="preserve">as defined </w:t>
      </w:r>
      <w:r w:rsidR="00970382" w:rsidRPr="00970382">
        <w:rPr>
          <w:sz w:val="24"/>
          <w:szCs w:val="24"/>
          <w:highlight w:val="yellow"/>
        </w:rPr>
        <w:t xml:space="preserve">in </w:t>
      </w:r>
      <w:r w:rsidR="00D15F50">
        <w:rPr>
          <w:sz w:val="24"/>
          <w:szCs w:val="24"/>
          <w:highlight w:val="yellow"/>
        </w:rPr>
        <w:t xml:space="preserve">the </w:t>
      </w:r>
      <w:r w:rsidR="00970382" w:rsidRPr="00970382">
        <w:rPr>
          <w:sz w:val="24"/>
          <w:szCs w:val="24"/>
          <w:highlight w:val="yellow"/>
        </w:rPr>
        <w:t>5.9</w:t>
      </w:r>
      <w:r w:rsidR="009C4868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>GHz band</w:t>
      </w:r>
      <w:r w:rsidR="00D15F50">
        <w:rPr>
          <w:sz w:val="24"/>
          <w:szCs w:val="24"/>
          <w:highlight w:val="yellow"/>
        </w:rPr>
        <w:t xml:space="preserve"> (12 </w:t>
      </w:r>
      <w:r w:rsidR="00533C68">
        <w:rPr>
          <w:sz w:val="24"/>
          <w:szCs w:val="24"/>
          <w:highlight w:val="yellow"/>
        </w:rPr>
        <w:t>Mb/s in a 10 MHz channel</w:t>
      </w:r>
      <w:r w:rsidR="00D15F50">
        <w:rPr>
          <w:sz w:val="24"/>
          <w:szCs w:val="24"/>
          <w:highlight w:val="yellow"/>
        </w:rPr>
        <w:t>)</w:t>
      </w:r>
      <w:r w:rsidR="00CC5B18">
        <w:rPr>
          <w:sz w:val="24"/>
          <w:szCs w:val="24"/>
          <w:highlight w:val="yellow"/>
        </w:rPr>
        <w:t xml:space="preserve">, </w:t>
      </w:r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C22B17" w:rsidRPr="00970382">
        <w:rPr>
          <w:sz w:val="24"/>
          <w:szCs w:val="24"/>
          <w:highlight w:val="yellow"/>
        </w:rPr>
        <w:t xml:space="preserve">at </w:t>
      </w:r>
      <w:r w:rsidR="00533C68">
        <w:rPr>
          <w:sz w:val="24"/>
          <w:szCs w:val="24"/>
          <w:highlight w:val="yellow"/>
        </w:rPr>
        <w:t xml:space="preserve">vehicle </w:t>
      </w:r>
      <w:r w:rsidR="00C22B17" w:rsidRPr="00970382">
        <w:rPr>
          <w:sz w:val="24"/>
          <w:szCs w:val="24"/>
          <w:highlight w:val="yellow"/>
        </w:rPr>
        <w:t xml:space="preserve">speeds up to </w:t>
      </w:r>
      <w:r w:rsidR="00970382" w:rsidRPr="00970382">
        <w:rPr>
          <w:sz w:val="24"/>
          <w:szCs w:val="24"/>
          <w:highlight w:val="yellow"/>
        </w:rPr>
        <w:t xml:space="preserve">250 </w:t>
      </w:r>
      <w:r w:rsidR="00C22B17" w:rsidRPr="00970382">
        <w:rPr>
          <w:sz w:val="24"/>
          <w:szCs w:val="24"/>
          <w:highlight w:val="yellow"/>
        </w:rPr>
        <w:t>km/h</w:t>
      </w:r>
      <w:r w:rsidR="00533C68">
        <w:rPr>
          <w:sz w:val="24"/>
          <w:szCs w:val="24"/>
          <w:highlight w:val="yellow"/>
        </w:rPr>
        <w:t xml:space="preserve"> (closing speeds up to 500 km/h)</w:t>
      </w:r>
      <w:r w:rsidR="00C22B17" w:rsidRPr="00970382">
        <w:rPr>
          <w:sz w:val="24"/>
          <w:szCs w:val="24"/>
          <w:highlight w:val="yellow"/>
        </w:rPr>
        <w:t>;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>this amendment</w:t>
      </w:r>
      <w:r w:rsidR="009502FD" w:rsidRPr="00970382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 xml:space="preserve">also </w:t>
      </w:r>
      <w:r w:rsidR="00D15F50">
        <w:rPr>
          <w:sz w:val="24"/>
          <w:szCs w:val="24"/>
          <w:highlight w:val="yellow"/>
        </w:rPr>
        <w:t>defines</w:t>
      </w:r>
      <w:r w:rsidR="00C22B17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r w:rsidR="00970382">
        <w:rPr>
          <w:sz w:val="24"/>
          <w:szCs w:val="24"/>
          <w:highlight w:val="yellow"/>
        </w:rPr>
        <w:t>at least 3dB lower sensitivity level</w:t>
      </w:r>
      <w:r w:rsidR="00CC5B18">
        <w:rPr>
          <w:sz w:val="24"/>
          <w:szCs w:val="24"/>
          <w:highlight w:val="yellow"/>
        </w:rPr>
        <w:t xml:space="preserve"> (longer range)</w:t>
      </w:r>
      <w:r w:rsidR="00970382">
        <w:rPr>
          <w:sz w:val="24"/>
          <w:szCs w:val="24"/>
          <w:highlight w:val="yellow"/>
        </w:rPr>
        <w:t>,</w:t>
      </w:r>
      <w:r w:rsidR="009502FD" w:rsidRPr="00970382">
        <w:rPr>
          <w:sz w:val="24"/>
          <w:szCs w:val="24"/>
          <w:highlight w:val="yellow"/>
        </w:rPr>
        <w:t xml:space="preserve"> than </w:t>
      </w:r>
      <w:r w:rsidR="00B70946">
        <w:rPr>
          <w:sz w:val="24"/>
          <w:szCs w:val="24"/>
          <w:highlight w:val="yellow"/>
        </w:rPr>
        <w:t xml:space="preserve">that of </w:t>
      </w:r>
      <w:r w:rsidR="00970382">
        <w:rPr>
          <w:sz w:val="24"/>
          <w:szCs w:val="24"/>
          <w:highlight w:val="yellow"/>
        </w:rPr>
        <w:t xml:space="preserve">the lowest </w:t>
      </w:r>
      <w:r w:rsidR="00533C68">
        <w:rPr>
          <w:sz w:val="24"/>
          <w:szCs w:val="24"/>
          <w:highlight w:val="yellow"/>
        </w:rPr>
        <w:t xml:space="preserve">data </w:t>
      </w:r>
      <w:r w:rsidR="00970382">
        <w:rPr>
          <w:sz w:val="24"/>
          <w:szCs w:val="24"/>
          <w:highlight w:val="yellow"/>
        </w:rPr>
        <w:t xml:space="preserve">rate defined in </w:t>
      </w:r>
      <w:r w:rsidR="00970382" w:rsidRPr="00970382">
        <w:rPr>
          <w:sz w:val="24"/>
          <w:szCs w:val="24"/>
          <w:highlight w:val="yellow"/>
        </w:rPr>
        <w:t xml:space="preserve"> 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970382" w:rsidRPr="00970382">
        <w:rPr>
          <w:sz w:val="24"/>
          <w:szCs w:val="24"/>
          <w:highlight w:val="yellow"/>
        </w:rPr>
        <w:t>-2016 operating in 5.9</w:t>
      </w:r>
      <w:r w:rsidR="00D15F50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>GHz band</w:t>
      </w:r>
      <w:r w:rsidR="00533C68">
        <w:rPr>
          <w:sz w:val="24"/>
          <w:szCs w:val="24"/>
          <w:highlight w:val="yellow"/>
        </w:rPr>
        <w:t xml:space="preserve"> (3 Mb/s in a 10 MHz channel)</w:t>
      </w:r>
      <w:r w:rsidR="00381A90">
        <w:rPr>
          <w:sz w:val="24"/>
          <w:szCs w:val="24"/>
          <w:highlight w:val="yellow"/>
        </w:rPr>
        <w:t>; and this amendment defines procedures for at least one form of positioning in conjunction with V2X communications.</w:t>
      </w:r>
    </w:p>
    <w:p w:rsidR="0027384D" w:rsidRPr="00385F91" w:rsidRDefault="0027384D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9502FD" w:rsidRDefault="00822B8B" w:rsidP="00256790">
      <w:pPr>
        <w:rPr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This amendment shall provide interoperabi</w:t>
      </w:r>
      <w:r w:rsidR="0027384D">
        <w:rPr>
          <w:sz w:val="24"/>
          <w:szCs w:val="24"/>
          <w:highlight w:val="yellow"/>
          <w:lang w:eastAsia="zh-CN"/>
        </w:rPr>
        <w:t>lity</w:t>
      </w:r>
      <w:r w:rsidR="009C4868">
        <w:rPr>
          <w:sz w:val="24"/>
          <w:szCs w:val="24"/>
          <w:highlight w:val="yellow"/>
          <w:lang w:eastAsia="zh-CN"/>
        </w:rPr>
        <w:t>, coexistence, backward compatibility, and fairness</w:t>
      </w:r>
      <w:r w:rsidR="0027384D">
        <w:rPr>
          <w:sz w:val="24"/>
          <w:szCs w:val="24"/>
          <w:highlight w:val="yellow"/>
          <w:lang w:eastAsia="zh-CN"/>
        </w:rPr>
        <w:t xml:space="preserve"> with </w:t>
      </w:r>
      <w:r w:rsidR="00D15F50">
        <w:rPr>
          <w:sz w:val="24"/>
          <w:szCs w:val="24"/>
          <w:highlight w:val="yellow"/>
          <w:lang w:eastAsia="zh-CN"/>
        </w:rPr>
        <w:t xml:space="preserve">deployed </w:t>
      </w:r>
      <w:r w:rsidR="0027384D">
        <w:rPr>
          <w:sz w:val="24"/>
          <w:szCs w:val="24"/>
          <w:highlight w:val="yellow"/>
          <w:lang w:eastAsia="zh-CN"/>
        </w:rPr>
        <w:t xml:space="preserve">OCB </w:t>
      </w:r>
      <w:r w:rsidR="00732411">
        <w:rPr>
          <w:rFonts w:hint="eastAsia"/>
          <w:sz w:val="24"/>
          <w:szCs w:val="24"/>
          <w:highlight w:val="yellow"/>
          <w:lang w:eastAsia="zh-CN"/>
        </w:rPr>
        <w:t>(Outside the Cont</w:t>
      </w:r>
      <w:r w:rsidR="00732411">
        <w:rPr>
          <w:sz w:val="24"/>
          <w:szCs w:val="24"/>
          <w:highlight w:val="yellow"/>
          <w:lang w:eastAsia="zh-CN"/>
        </w:rPr>
        <w:t>ext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 of </w:t>
      </w:r>
      <w:r w:rsidR="00732411">
        <w:rPr>
          <w:sz w:val="24"/>
          <w:szCs w:val="24"/>
          <w:highlight w:val="yellow"/>
          <w:lang w:eastAsia="zh-CN"/>
        </w:rPr>
        <w:t xml:space="preserve">a 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BSS) </w:t>
      </w:r>
      <w:r w:rsidR="0027384D">
        <w:rPr>
          <w:sz w:val="24"/>
          <w:szCs w:val="24"/>
          <w:highlight w:val="yellow"/>
          <w:lang w:eastAsia="zh-CN"/>
        </w:rPr>
        <w:t>devices.</w:t>
      </w:r>
    </w:p>
    <w:p w:rsidR="00F76844" w:rsidRPr="0059244F" w:rsidRDefault="00F76844" w:rsidP="00256790">
      <w:pPr>
        <w:rPr>
          <w:sz w:val="24"/>
          <w:szCs w:val="24"/>
          <w:highlight w:val="yellow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r w:rsidR="00D15F50">
        <w:rPr>
          <w:sz w:val="24"/>
          <w:szCs w:val="22"/>
          <w:highlight w:val="yellow"/>
          <w:lang w:val="en-US"/>
        </w:rPr>
        <w:t xml:space="preserve">IEEE 802.11 </w:t>
      </w:r>
      <w:r w:rsidR="008102E5" w:rsidRPr="008A4B83">
        <w:rPr>
          <w:sz w:val="24"/>
          <w:highlight w:val="yellow"/>
          <w:shd w:val="clear" w:color="auto" w:fill="FFFFFF"/>
        </w:rPr>
        <w:t>wireless access in vehicular environments</w:t>
      </w:r>
      <w:r w:rsidR="008102E5" w:rsidRPr="008A4B83">
        <w:rPr>
          <w:rFonts w:ascii="Arial" w:hAnsi="Arial" w:cs="Arial"/>
          <w:sz w:val="24"/>
          <w:highlight w:val="yellow"/>
          <w:shd w:val="clear" w:color="auto" w:fill="FFFFFF"/>
        </w:rPr>
        <w:t xml:space="preserve"> </w:t>
      </w:r>
      <w:r w:rsidR="008102E5">
        <w:rPr>
          <w:rFonts w:ascii="Arial" w:hAnsi="Arial" w:cs="Arial"/>
          <w:color w:val="545454"/>
          <w:sz w:val="24"/>
          <w:highlight w:val="yellow"/>
          <w:shd w:val="clear" w:color="auto" w:fill="FFFFFF"/>
        </w:rPr>
        <w:t>(</w:t>
      </w:r>
      <w:r w:rsidR="008102E5" w:rsidRPr="008102E5">
        <w:rPr>
          <w:sz w:val="24"/>
          <w:szCs w:val="22"/>
          <w:highlight w:val="yellow"/>
          <w:lang w:val="en-US"/>
        </w:rPr>
        <w:t>WAVE</w:t>
      </w:r>
      <w:r w:rsidR="008102E5">
        <w:rPr>
          <w:sz w:val="24"/>
          <w:szCs w:val="22"/>
          <w:highlight w:val="yellow"/>
          <w:lang w:val="en-US"/>
        </w:rPr>
        <w:t>)</w:t>
      </w:r>
      <w:r w:rsidR="008102E5" w:rsidRP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technology </w:t>
      </w:r>
      <w:r w:rsidR="008102E5">
        <w:rPr>
          <w:sz w:val="24"/>
          <w:szCs w:val="22"/>
          <w:highlight w:val="yellow"/>
          <w:lang w:val="en-US"/>
        </w:rPr>
        <w:t>for V2X</w:t>
      </w:r>
      <w:r w:rsidR="00E21D82">
        <w:rPr>
          <w:sz w:val="24"/>
          <w:szCs w:val="22"/>
          <w:highlight w:val="yellow"/>
          <w:lang w:val="en-US"/>
        </w:rPr>
        <w:t xml:space="preserve"> applications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is based on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AF710E" w:rsidRPr="00970382">
        <w:rPr>
          <w:sz w:val="24"/>
          <w:szCs w:val="24"/>
          <w:highlight w:val="yellow"/>
        </w:rPr>
        <w:t>-2016 operating in 5.9</w:t>
      </w:r>
      <w:r w:rsidR="00533C68">
        <w:rPr>
          <w:sz w:val="24"/>
          <w:szCs w:val="24"/>
          <w:highlight w:val="yellow"/>
        </w:rPr>
        <w:t xml:space="preserve"> </w:t>
      </w:r>
      <w:r w:rsidR="00AF710E" w:rsidRPr="00970382">
        <w:rPr>
          <w:sz w:val="24"/>
          <w:szCs w:val="24"/>
          <w:highlight w:val="yellow"/>
        </w:rPr>
        <w:t>GHz band</w:t>
      </w:r>
      <w:r w:rsidR="00AB6935">
        <w:rPr>
          <w:sz w:val="24"/>
          <w:szCs w:val="24"/>
          <w:highlight w:val="yellow"/>
        </w:rPr>
        <w:t xml:space="preserve">, which was originally standardized as IEEE </w:t>
      </w:r>
      <w:proofErr w:type="spellStart"/>
      <w:r w:rsidR="00AB6935">
        <w:rPr>
          <w:sz w:val="24"/>
          <w:szCs w:val="24"/>
          <w:highlight w:val="yellow"/>
        </w:rPr>
        <w:t>Std</w:t>
      </w:r>
      <w:proofErr w:type="spellEnd"/>
      <w:r w:rsidR="00AB6935">
        <w:rPr>
          <w:sz w:val="24"/>
          <w:szCs w:val="24"/>
          <w:highlight w:val="yellow"/>
        </w:rPr>
        <w:t xml:space="preserve"> 802.11p™</w:t>
      </w:r>
      <w:r w:rsidR="00AB6935">
        <w:rPr>
          <w:sz w:val="24"/>
          <w:szCs w:val="24"/>
          <w:highlight w:val="yellow"/>
          <w:lang w:eastAsia="zh-CN"/>
        </w:rPr>
        <w:t>-2010, and</w:t>
      </w:r>
      <w:r w:rsidR="00AF710E" w:rsidRPr="009D0A34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>which</w:t>
      </w:r>
      <w:r w:rsidR="00AB6935">
        <w:rPr>
          <w:sz w:val="24"/>
          <w:szCs w:val="22"/>
          <w:highlight w:val="yellow"/>
          <w:lang w:val="en-US"/>
        </w:rPr>
        <w:t>, in turn,</w:t>
      </w:r>
      <w:r w:rsidRPr="009D0A34">
        <w:rPr>
          <w:sz w:val="24"/>
          <w:szCs w:val="22"/>
          <w:highlight w:val="yellow"/>
          <w:lang w:val="en-US"/>
        </w:rPr>
        <w:t xml:space="preserve"> derived from </w:t>
      </w:r>
      <w:r w:rsidR="00AF710E">
        <w:rPr>
          <w:sz w:val="24"/>
          <w:szCs w:val="22"/>
          <w:highlight w:val="yellow"/>
          <w:lang w:val="en-US"/>
        </w:rPr>
        <w:t xml:space="preserve">the OFDM PHY as defined in clause 17 of 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AF710E" w:rsidRPr="00970382">
        <w:rPr>
          <w:sz w:val="24"/>
          <w:szCs w:val="24"/>
          <w:highlight w:val="yellow"/>
        </w:rPr>
        <w:t>-2016</w:t>
      </w:r>
      <w:r w:rsidR="00AF710E">
        <w:rPr>
          <w:sz w:val="24"/>
          <w:szCs w:val="24"/>
          <w:highlight w:val="yellow"/>
        </w:rPr>
        <w:t xml:space="preserve"> (a.k.a. IEEE </w:t>
      </w:r>
      <w:proofErr w:type="spellStart"/>
      <w:r w:rsidR="00D15F50">
        <w:rPr>
          <w:sz w:val="24"/>
          <w:szCs w:val="24"/>
          <w:highlight w:val="yellow"/>
        </w:rPr>
        <w:t>Std</w:t>
      </w:r>
      <w:proofErr w:type="spellEnd"/>
      <w:r w:rsidR="00D15F50">
        <w:rPr>
          <w:sz w:val="24"/>
          <w:szCs w:val="24"/>
          <w:highlight w:val="yellow"/>
        </w:rPr>
        <w:t xml:space="preserve"> </w:t>
      </w:r>
      <w:r w:rsidR="00AF710E">
        <w:rPr>
          <w:sz w:val="24"/>
          <w:szCs w:val="24"/>
          <w:highlight w:val="yellow"/>
        </w:rPr>
        <w:t>802.11a</w:t>
      </w:r>
      <w:r w:rsidR="00385F91">
        <w:rPr>
          <w:sz w:val="24"/>
          <w:szCs w:val="24"/>
          <w:highlight w:val="yellow"/>
        </w:rPr>
        <w:t>™</w:t>
      </w:r>
      <w:r w:rsidR="00AF710E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>-1999</w:t>
      </w:r>
      <w:r w:rsidR="00AF710E">
        <w:rPr>
          <w:sz w:val="24"/>
          <w:szCs w:val="24"/>
          <w:highlight w:val="yellow"/>
        </w:rPr>
        <w:t>)</w:t>
      </w:r>
      <w:r w:rsidRPr="009D0A34">
        <w:rPr>
          <w:sz w:val="24"/>
          <w:szCs w:val="22"/>
          <w:highlight w:val="yellow"/>
          <w:lang w:val="en-US"/>
        </w:rPr>
        <w:t xml:space="preserve">. </w:t>
      </w:r>
      <w:r w:rsidR="00D15F50">
        <w:rPr>
          <w:sz w:val="24"/>
          <w:szCs w:val="22"/>
          <w:highlight w:val="yellow"/>
          <w:lang w:val="en-US"/>
        </w:rPr>
        <w:t>WAVE</w:t>
      </w:r>
      <w:r w:rsidR="00D15F50" w:rsidRPr="009D0A34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technology </w:t>
      </w:r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="008102E5">
        <w:rPr>
          <w:sz w:val="24"/>
          <w:szCs w:val="22"/>
          <w:highlight w:val="yellow"/>
          <w:lang w:val="en-US"/>
        </w:rPr>
        <w:t xml:space="preserve">and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proofErr w:type="gram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proofErr w:type="gram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proofErr w:type="spell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802.11</w:t>
      </w:r>
      <w:r w:rsidR="00DD1B7A">
        <w:rPr>
          <w:sz w:val="24"/>
          <w:szCs w:val="22"/>
          <w:highlight w:val="yellow"/>
          <w:lang w:val="en-US"/>
        </w:rPr>
        <w:t>n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802.11ac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-2013</w:t>
      </w:r>
      <w:r w:rsidR="00AF710E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 w:rsidR="00385F91">
        <w:rPr>
          <w:sz w:val="24"/>
          <w:szCs w:val="24"/>
          <w:highlight w:val="yellow"/>
        </w:rPr>
        <w:t>™</w:t>
      </w:r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r w:rsidR="00BC1BA3">
        <w:rPr>
          <w:sz w:val="24"/>
          <w:szCs w:val="22"/>
          <w:highlight w:val="yellow"/>
          <w:lang w:val="en-US"/>
        </w:rPr>
        <w:t xml:space="preserve">, as well as higher reliability and </w:t>
      </w:r>
      <w:r w:rsidR="009D228E">
        <w:rPr>
          <w:sz w:val="24"/>
          <w:szCs w:val="22"/>
          <w:highlight w:val="yellow"/>
          <w:lang w:val="en-US"/>
        </w:rPr>
        <w:t xml:space="preserve">improved </w:t>
      </w:r>
      <w:r w:rsidR="00BC1BA3">
        <w:rPr>
          <w:sz w:val="24"/>
          <w:szCs w:val="22"/>
          <w:highlight w:val="yellow"/>
          <w:lang w:val="en-US"/>
        </w:rPr>
        <w:t>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</w:t>
      </w:r>
      <w:r>
        <w:rPr>
          <w:sz w:val="24"/>
          <w:szCs w:val="24"/>
          <w:highlight w:val="yellow"/>
        </w:rPr>
        <w:lastRenderedPageBreak/>
        <w:t xml:space="preserve">definition of new </w:t>
      </w:r>
      <w:r w:rsidR="009D228E">
        <w:rPr>
          <w:sz w:val="24"/>
          <w:szCs w:val="24"/>
          <w:highlight w:val="yellow"/>
        </w:rPr>
        <w:t xml:space="preserve">V2X </w:t>
      </w:r>
      <w:proofErr w:type="spellStart"/>
      <w:r>
        <w:rPr>
          <w:sz w:val="24"/>
          <w:szCs w:val="24"/>
          <w:highlight w:val="yellow"/>
        </w:rPr>
        <w:t>mechamisms</w:t>
      </w:r>
      <w:proofErr w:type="spellEnd"/>
      <w:r>
        <w:rPr>
          <w:sz w:val="24"/>
          <w:szCs w:val="24"/>
          <w:highlight w:val="yellow"/>
        </w:rPr>
        <w:t xml:space="preserve">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IEEE 802.11 </w:t>
      </w:r>
      <w:r w:rsidR="00FE600A" w:rsidRPr="009D0A34">
        <w:rPr>
          <w:sz w:val="24"/>
          <w:szCs w:val="24"/>
          <w:highlight w:val="yellow"/>
        </w:rPr>
        <w:t>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9D228E">
        <w:rPr>
          <w:sz w:val="24"/>
          <w:szCs w:val="24"/>
          <w:highlight w:val="yellow"/>
        </w:rPr>
        <w:t>are</w:t>
      </w:r>
      <w:r>
        <w:rPr>
          <w:sz w:val="24"/>
          <w:szCs w:val="24"/>
          <w:highlight w:val="yellow"/>
        </w:rPr>
        <w:t xml:space="preserve">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D15F50">
        <w:rPr>
          <w:sz w:val="24"/>
          <w:szCs w:val="24"/>
          <w:highlight w:val="yellow"/>
        </w:rPr>
        <w:t>Semiconductor m</w:t>
      </w:r>
      <w:r w:rsidR="00040CB3" w:rsidRPr="009D0A34">
        <w:rPr>
          <w:sz w:val="24"/>
          <w:szCs w:val="24"/>
          <w:highlight w:val="yellow"/>
        </w:rPr>
        <w:t xml:space="preserve">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D15F50">
        <w:rPr>
          <w:sz w:val="24"/>
          <w:szCs w:val="24"/>
          <w:highlight w:val="yellow"/>
        </w:rPr>
        <w:t>,</w:t>
      </w:r>
      <w:r w:rsidR="00E914B0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vehicle </w:t>
      </w:r>
      <w:r w:rsidR="00E914B0">
        <w:rPr>
          <w:sz w:val="24"/>
          <w:szCs w:val="24"/>
          <w:highlight w:val="yellow"/>
        </w:rPr>
        <w:t xml:space="preserve"> component providers</w:t>
      </w:r>
      <w:r w:rsidR="00040CB3" w:rsidRPr="009D0A34">
        <w:rPr>
          <w:sz w:val="24"/>
          <w:szCs w:val="24"/>
          <w:highlight w:val="yellow"/>
        </w:rPr>
        <w:t>, consumer electronic</w:t>
      </w:r>
      <w:r w:rsidR="00FA0128">
        <w:rPr>
          <w:sz w:val="24"/>
          <w:szCs w:val="24"/>
          <w:highlight w:val="yellow"/>
        </w:rPr>
        <w:t xml:space="preserve"> and</w:t>
      </w:r>
      <w:r w:rsidR="00040CB3" w:rsidRPr="009D0A34">
        <w:rPr>
          <w:sz w:val="24"/>
          <w:szCs w:val="24"/>
          <w:highlight w:val="yellow"/>
        </w:rPr>
        <w:t xml:space="preserve"> </w:t>
      </w:r>
      <w:r w:rsidR="000B7A01" w:rsidRPr="009D0A34">
        <w:rPr>
          <w:sz w:val="24"/>
          <w:szCs w:val="24"/>
          <w:highlight w:val="yellow"/>
        </w:rPr>
        <w:t>mobile devices</w:t>
      </w:r>
      <w:r w:rsidR="00FA0128">
        <w:rPr>
          <w:sz w:val="24"/>
          <w:szCs w:val="24"/>
          <w:highlight w:val="yellow"/>
        </w:rPr>
        <w:t xml:space="preserve"> vendors</w:t>
      </w:r>
      <w:r w:rsidR="000B7A01" w:rsidRPr="009D0A34">
        <w:rPr>
          <w:sz w:val="24"/>
          <w:szCs w:val="24"/>
          <w:highlight w:val="yellow"/>
        </w:rPr>
        <w:t xml:space="preserve">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DB4D26">
        <w:rPr>
          <w:sz w:val="24"/>
          <w:szCs w:val="24"/>
          <w:highlight w:val="yellow"/>
        </w:rPr>
        <w:t>road side infrastructure</w:t>
      </w:r>
      <w:r w:rsidR="00FA0128">
        <w:rPr>
          <w:sz w:val="24"/>
          <w:szCs w:val="24"/>
          <w:highlight w:val="yellow"/>
        </w:rPr>
        <w:t xml:space="preserve"> manufacturers</w:t>
      </w:r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0128" w:rsidRPr="00FA5712" w:rsidRDefault="00FA0128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yes please explain: </w:t>
      </w:r>
      <w:r w:rsidRPr="00381A90">
        <w:rPr>
          <w:rFonts w:ascii="Times-Roman" w:hAnsi="Times-Roman" w:hint="eastAsia"/>
          <w:color w:val="000000"/>
        </w:rPr>
        <w:t>The RAC may want to review for correct and consistent usage of registry terms. It is not expected that any new namespaces for allocation under RAC control will be defined.</w:t>
      </w:r>
    </w:p>
    <w:p w:rsidR="00FA5712" w:rsidRPr="00480072" w:rsidRDefault="0091775F" w:rsidP="00480072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0F7217" w:rsidRDefault="000F7217" w:rsidP="00B7094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:rsidR="00FA0128" w:rsidRPr="00381A9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802.11™-2016 Standard for Information technology - Telecommunications and information exchange between systems - Local and metropolitan area networks - Specific requirements Part 11: Wireless LAN Medium Access Control (MAC) and Physical Layer (PHY) Specifications</w:t>
      </w:r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802.11a™-1999 Standard for Information technology - Telecommunications and information exchange between systems - Local and metropolitan area networks - Specific requirements Part 11: Wireless LAN Medium Access Control (MAC) and Physical Layer (PHY) Specifications: High Speed Physical Layer in the 5 GHz band</w:t>
      </w:r>
    </w:p>
    <w:p w:rsidR="00FA0128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802.11n™-2009 Standard for Information technology - Telecommunications and information exchange between systems - Local and metropolitan area networks - Specific requirements Part 11: Wireless LAN Medium Access Control (MAC) and Physical Layer (PHY) Specifications Amendment 5: Enhancements for Higher Throughput</w:t>
      </w:r>
    </w:p>
    <w:p w:rsidR="00AB6935" w:rsidRPr="00701FA0" w:rsidRDefault="00AB6935" w:rsidP="00AB6935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</w:t>
      </w:r>
      <w:r>
        <w:rPr>
          <w:rFonts w:ascii="Times New Roman" w:hAnsi="Times New Roman" w:cs="Times New Roman"/>
        </w:rPr>
        <w:t>p</w:t>
      </w:r>
      <w:r w:rsidRPr="00701FA0">
        <w:rPr>
          <w:rFonts w:ascii="Times New Roman" w:hAnsi="Times New Roman" w:cs="Times New Roman"/>
        </w:rPr>
        <w:t>™-20</w:t>
      </w:r>
      <w:r>
        <w:rPr>
          <w:rFonts w:ascii="Times New Roman" w:hAnsi="Times New Roman" w:cs="Times New Roman"/>
        </w:rPr>
        <w:t>10</w:t>
      </w:r>
      <w:r w:rsidRPr="00701FA0">
        <w:rPr>
          <w:rFonts w:ascii="Times New Roman" w:hAnsi="Times New Roman" w:cs="Times New Roman"/>
        </w:rPr>
        <w:t xml:space="preserve"> Standard for Information technology - Telecommunications and information exchange between systems - Local and metropolitan area networks - Specific requirements Part 11: Wireless LAN Medium Access Control (MAC) and Physical Layer (PHY) Specifications Amendment </w:t>
      </w:r>
      <w:r w:rsidR="009876F4">
        <w:rPr>
          <w:rFonts w:ascii="Times New Roman" w:hAnsi="Times New Roman" w:cs="Times New Roman"/>
        </w:rPr>
        <w:t>6</w:t>
      </w:r>
      <w:r w:rsidRPr="00701FA0">
        <w:rPr>
          <w:rFonts w:ascii="Times New Roman" w:hAnsi="Times New Roman" w:cs="Times New Roman"/>
        </w:rPr>
        <w:t xml:space="preserve">: </w:t>
      </w:r>
      <w:r w:rsidR="009876F4">
        <w:rPr>
          <w:rFonts w:ascii="Times New Roman" w:hAnsi="Times New Roman" w:cs="Times New Roman"/>
        </w:rPr>
        <w:t xml:space="preserve">Wireless </w:t>
      </w:r>
      <w:proofErr w:type="spellStart"/>
      <w:r w:rsidR="009876F4">
        <w:rPr>
          <w:rFonts w:ascii="Times New Roman" w:hAnsi="Times New Roman" w:cs="Times New Roman"/>
        </w:rPr>
        <w:t>Acess</w:t>
      </w:r>
      <w:proofErr w:type="spellEnd"/>
      <w:r w:rsidR="009876F4">
        <w:rPr>
          <w:rFonts w:ascii="Times New Roman" w:hAnsi="Times New Roman" w:cs="Times New Roman"/>
        </w:rPr>
        <w:t xml:space="preserve"> in Vehicular Environments</w:t>
      </w:r>
    </w:p>
    <w:p w:rsidR="00AB6935" w:rsidRPr="00701FA0" w:rsidRDefault="00AB6935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802.11ac™-2013 Standard for Information technology - Telecommunications and information exchange between systems - Local and metropolitan area networks - Specific requirements Part 11: </w:t>
      </w:r>
      <w:r w:rsidRPr="00701FA0">
        <w:rPr>
          <w:rFonts w:ascii="Times New Roman" w:hAnsi="Times New Roman" w:cs="Times New Roman"/>
        </w:rPr>
        <w:lastRenderedPageBreak/>
        <w:t>Wireless LAN Medium Access Control (MAC) and Physical Layer (PHY) Specifications Amendment 4: Enhancements for Very High Throughput for Operation in Bands below 6 GHz</w:t>
      </w:r>
    </w:p>
    <w:p w:rsidR="008C62F8" w:rsidRPr="008A4B83" w:rsidRDefault="00FA0128" w:rsidP="00FA0128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 w:rsidRPr="00701FA0">
        <w:t>IEEE P802.11ax Standard for Information technology - Telecommunications and information exchange between systems - Local and metropolitan area networks - Specific requirements Part 11: Wireless LAN Medium Access Control (MAC) and Physical Layer (PHY) Specifications Amendment: Enhancements for High Efficiency WLAN</w:t>
      </w:r>
    </w:p>
    <w:p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73" w:rsidRDefault="00D05873">
      <w:r>
        <w:separator/>
      </w:r>
    </w:p>
  </w:endnote>
  <w:endnote w:type="continuationSeparator" w:id="0">
    <w:p w:rsidR="00D05873" w:rsidRDefault="00D0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Print"/>
    <w:charset w:val="00"/>
    <w:family w:val="swiss"/>
    <w:pitch w:val="default"/>
    <w:sig w:usb0="00000000" w:usb1="00000000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D0587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B90">
      <w:t>Submission</w:t>
    </w:r>
    <w:r>
      <w:fldChar w:fldCharType="end"/>
    </w:r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9A7A76">
      <w:rPr>
        <w:noProof/>
      </w:rPr>
      <w:t>5</w:t>
    </w:r>
    <w:r w:rsidR="007F0EF5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C55B90">
      <w:t>Bo Sun, ZTE Corporation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73" w:rsidRDefault="00D05873">
      <w:r>
        <w:separator/>
      </w:r>
    </w:p>
  </w:footnote>
  <w:footnote w:type="continuationSeparator" w:id="0">
    <w:p w:rsidR="00D05873" w:rsidRDefault="00D0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D05873" w:rsidP="0098025D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D1B7A">
      <w:rPr>
        <w:rFonts w:hint="eastAsia"/>
        <w:lang w:eastAsia="zh-CN"/>
      </w:rPr>
      <w:t>September</w:t>
    </w:r>
    <w:r w:rsidR="00C55B90">
      <w:t xml:space="preserve"> 2018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C55B90">
      <w:t>doc.: IEEE 802.11-18/0</w:t>
    </w:r>
    <w:r w:rsidR="00944BF3">
      <w:t>861</w:t>
    </w:r>
    <w:r w:rsidR="00C55B90">
      <w:t>r</w:t>
    </w:r>
    <w:r w:rsidR="0048666C">
      <w:rPr>
        <w:rFonts w:hint="eastAsia"/>
        <w:lang w:eastAsia="zh-CN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691"/>
    <w:multiLevelType w:val="hybridMultilevel"/>
    <w:tmpl w:val="9460AEE2"/>
    <w:lvl w:ilvl="0" w:tplc="A57C2B6E">
      <w:start w:val="1"/>
      <w:numFmt w:val="decimal"/>
      <w:pStyle w:val="ReferenceDocuments"/>
      <w:lvlText w:val="[%1] 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波10013985">
    <w15:presenceInfo w15:providerId="AD" w15:userId="S-1-5-21-3250579939-626067488-4216368596-53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33182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608BC"/>
    <w:rsid w:val="00370722"/>
    <w:rsid w:val="003766B6"/>
    <w:rsid w:val="00376DFA"/>
    <w:rsid w:val="00381A90"/>
    <w:rsid w:val="00382AA6"/>
    <w:rsid w:val="00384B63"/>
    <w:rsid w:val="00385F91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4050AC"/>
    <w:rsid w:val="004059A4"/>
    <w:rsid w:val="004338AB"/>
    <w:rsid w:val="00434FD0"/>
    <w:rsid w:val="0044173B"/>
    <w:rsid w:val="00442037"/>
    <w:rsid w:val="004424E4"/>
    <w:rsid w:val="00443CB2"/>
    <w:rsid w:val="004547F3"/>
    <w:rsid w:val="00462407"/>
    <w:rsid w:val="0047113A"/>
    <w:rsid w:val="00471833"/>
    <w:rsid w:val="00476D4D"/>
    <w:rsid w:val="00480072"/>
    <w:rsid w:val="004817B3"/>
    <w:rsid w:val="0048666C"/>
    <w:rsid w:val="004920A5"/>
    <w:rsid w:val="00497C2F"/>
    <w:rsid w:val="004B44F4"/>
    <w:rsid w:val="004C3601"/>
    <w:rsid w:val="004C4A16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33C68"/>
    <w:rsid w:val="005521F7"/>
    <w:rsid w:val="00554FC7"/>
    <w:rsid w:val="00562E22"/>
    <w:rsid w:val="0057668A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13CBE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C0727"/>
    <w:rsid w:val="006C1F96"/>
    <w:rsid w:val="006D06E6"/>
    <w:rsid w:val="006D638E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2411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86A"/>
    <w:rsid w:val="007A3CD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4721C"/>
    <w:rsid w:val="00847ACE"/>
    <w:rsid w:val="00851525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C62F8"/>
    <w:rsid w:val="008C70A8"/>
    <w:rsid w:val="008D4B48"/>
    <w:rsid w:val="008D6DBF"/>
    <w:rsid w:val="008E00F9"/>
    <w:rsid w:val="008E3C6E"/>
    <w:rsid w:val="00902221"/>
    <w:rsid w:val="00916403"/>
    <w:rsid w:val="0091775F"/>
    <w:rsid w:val="0092570C"/>
    <w:rsid w:val="00926677"/>
    <w:rsid w:val="00926CC1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876F4"/>
    <w:rsid w:val="00991933"/>
    <w:rsid w:val="00996A7A"/>
    <w:rsid w:val="009A639A"/>
    <w:rsid w:val="009A7A76"/>
    <w:rsid w:val="009B4D84"/>
    <w:rsid w:val="009C0910"/>
    <w:rsid w:val="009C4868"/>
    <w:rsid w:val="009C51C0"/>
    <w:rsid w:val="009C7E2B"/>
    <w:rsid w:val="009D0446"/>
    <w:rsid w:val="009D0A34"/>
    <w:rsid w:val="009D228E"/>
    <w:rsid w:val="009E0BDE"/>
    <w:rsid w:val="009F2E4B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37BE4"/>
    <w:rsid w:val="00A536BD"/>
    <w:rsid w:val="00A573CB"/>
    <w:rsid w:val="00A8403D"/>
    <w:rsid w:val="00A85451"/>
    <w:rsid w:val="00A91B5F"/>
    <w:rsid w:val="00AA427C"/>
    <w:rsid w:val="00AB066B"/>
    <w:rsid w:val="00AB18D3"/>
    <w:rsid w:val="00AB6935"/>
    <w:rsid w:val="00AC1561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065A0"/>
    <w:rsid w:val="00B17FD6"/>
    <w:rsid w:val="00B20338"/>
    <w:rsid w:val="00B2730B"/>
    <w:rsid w:val="00B32E80"/>
    <w:rsid w:val="00B412D8"/>
    <w:rsid w:val="00B5424F"/>
    <w:rsid w:val="00B670B9"/>
    <w:rsid w:val="00B67DD3"/>
    <w:rsid w:val="00B70946"/>
    <w:rsid w:val="00B76A21"/>
    <w:rsid w:val="00B97477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05873"/>
    <w:rsid w:val="00D121EF"/>
    <w:rsid w:val="00D134D3"/>
    <w:rsid w:val="00D15F50"/>
    <w:rsid w:val="00D22388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1046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1B7A"/>
    <w:rsid w:val="00DD7138"/>
    <w:rsid w:val="00E21D82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76844"/>
    <w:rsid w:val="00F82003"/>
    <w:rsid w:val="00F914EB"/>
    <w:rsid w:val="00F96B5F"/>
    <w:rsid w:val="00FA0128"/>
    <w:rsid w:val="00FA2B74"/>
    <w:rsid w:val="00FA5712"/>
    <w:rsid w:val="00FC0A21"/>
    <w:rsid w:val="00FC3253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20"/>
    <w:rPr>
      <w:sz w:val="22"/>
      <w:lang w:val="en-GB"/>
    </w:rPr>
  </w:style>
  <w:style w:type="paragraph" w:styleId="1">
    <w:name w:val="heading 1"/>
    <w:basedOn w:val="a"/>
    <w:next w:val="a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13D20"/>
    <w:pPr>
      <w:ind w:left="720" w:hanging="720"/>
    </w:pPr>
  </w:style>
  <w:style w:type="character" w:styleId="a6">
    <w:name w:val="Hyperlink"/>
    <w:basedOn w:val="a0"/>
    <w:rsid w:val="00C13D2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character" w:customStyle="1" w:styleId="fontstyle01">
    <w:name w:val="fontstyle01"/>
    <w:basedOn w:val="a0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ad">
    <w:name w:val="annotation subject"/>
    <w:basedOn w:val="ac"/>
    <w:next w:val="ac"/>
    <w:link w:val="Char2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3B18C5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3766B6"/>
    <w:rPr>
      <w:sz w:val="22"/>
      <w:lang w:val="en-GB"/>
    </w:rPr>
  </w:style>
  <w:style w:type="paragraph" w:customStyle="1" w:styleId="ReferenceDocuments">
    <w:name w:val="Reference Documents"/>
    <w:basedOn w:val="a"/>
    <w:qFormat/>
    <w:rsid w:val="00FA0128"/>
    <w:pPr>
      <w:numPr>
        <w:numId w:val="14"/>
      </w:numPr>
      <w:spacing w:after="280" w:line="259" w:lineRule="auto"/>
      <w:ind w:left="360"/>
    </w:pPr>
    <w:rPr>
      <w:rFonts w:asciiTheme="minorHAnsi" w:eastAsiaTheme="minorHAnsi" w:hAnsiTheme="minorHAnsi" w:cstheme="minorBidi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7528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孙波10013985</cp:lastModifiedBy>
  <cp:revision>4</cp:revision>
  <cp:lastPrinted>2018-04-30T21:31:00Z</cp:lastPrinted>
  <dcterms:created xsi:type="dcterms:W3CDTF">2018-09-12T18:16:00Z</dcterms:created>
  <dcterms:modified xsi:type="dcterms:W3CDTF">2018-09-12T18:23:00Z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