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274D499A" w:rsidR="00CA09B2" w:rsidRPr="003F1D4B" w:rsidRDefault="006B288B" w:rsidP="00722C76">
            <w:pPr>
              <w:pStyle w:val="T2"/>
            </w:pPr>
            <w:r>
              <w:t>CR on</w:t>
            </w:r>
            <w:r w:rsidR="009259C8">
              <w:t xml:space="preserve"> </w:t>
            </w:r>
            <w:r w:rsidR="0004677F">
              <w:t>CIDs</w:t>
            </w:r>
            <w:r w:rsidR="002B3934">
              <w:t xml:space="preserve"> in Clause </w:t>
            </w:r>
            <w:r w:rsidR="00722C76">
              <w:t>10 and Clause 30</w:t>
            </w:r>
          </w:p>
        </w:tc>
      </w:tr>
      <w:tr w:rsidR="003F1D4B" w:rsidRPr="003F1D4B" w14:paraId="331E3A1E" w14:textId="77777777" w:rsidTr="00B04410">
        <w:trPr>
          <w:trHeight w:val="359"/>
          <w:jc w:val="center"/>
        </w:trPr>
        <w:tc>
          <w:tcPr>
            <w:tcW w:w="9576" w:type="dxa"/>
            <w:gridSpan w:val="5"/>
            <w:vAlign w:val="center"/>
          </w:tcPr>
          <w:p w14:paraId="56451407" w14:textId="5C636E2F"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2F04D5">
              <w:rPr>
                <w:b w:val="0"/>
                <w:sz w:val="20"/>
              </w:rPr>
              <w:t>5-02</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proofErr w:type="spellStart"/>
            <w:r>
              <w:rPr>
                <w:b w:val="0"/>
                <w:sz w:val="20"/>
              </w:rPr>
              <w:t>Mediatek</w:t>
            </w:r>
            <w:proofErr w:type="spellEnd"/>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12703BF4" w:rsidR="00CA09B2" w:rsidRPr="003F1D4B" w:rsidRDefault="00CA09B2" w:rsidP="009259C8">
            <w:pPr>
              <w:pStyle w:val="T2"/>
              <w:spacing w:after="0"/>
              <w:ind w:left="0" w:right="0"/>
              <w:rPr>
                <w:b w:val="0"/>
                <w:sz w:val="20"/>
              </w:rPr>
            </w:pPr>
          </w:p>
        </w:tc>
        <w:tc>
          <w:tcPr>
            <w:tcW w:w="1704" w:type="dxa"/>
            <w:vAlign w:val="center"/>
          </w:tcPr>
          <w:p w14:paraId="3D07C50E" w14:textId="1AC4AD76" w:rsidR="00CA09B2" w:rsidRPr="003F1D4B" w:rsidRDefault="00CA09B2" w:rsidP="009259C8">
            <w:pPr>
              <w:pStyle w:val="T2"/>
              <w:spacing w:after="0"/>
              <w:ind w:left="0" w:right="0"/>
              <w:rPr>
                <w:b w:val="0"/>
                <w:sz w:val="20"/>
              </w:rPr>
            </w:pP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41078199" w:rsidR="00CA09B2" w:rsidRPr="00604414" w:rsidRDefault="00CA09B2" w:rsidP="009259C8">
            <w:pPr>
              <w:pStyle w:val="T2"/>
              <w:spacing w:after="0"/>
              <w:ind w:left="0" w:right="0"/>
              <w:jc w:val="left"/>
              <w:rPr>
                <w:b w:val="0"/>
                <w:sz w:val="20"/>
              </w:rPr>
            </w:pP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7EFB7B60" w:rsidR="005C4B33" w:rsidRDefault="005C4B33">
                            <w:pPr>
                              <w:jc w:val="both"/>
                            </w:pPr>
                            <w:r>
                              <w:t>This document propose</w:t>
                            </w:r>
                            <w:r w:rsidR="00D276AF">
                              <w:t>s</w:t>
                            </w:r>
                            <w:r>
                              <w:t xml:space="preserve"> </w:t>
                            </w:r>
                            <w:r w:rsidR="009259C8">
                              <w:t xml:space="preserve">the comment resolution for CIDs </w:t>
                            </w:r>
                            <w:r w:rsidR="009C495F">
                              <w:t xml:space="preserve">1718, 1694, </w:t>
                            </w:r>
                            <w:r w:rsidR="009C495F" w:rsidRPr="006B4287">
                              <w:rPr>
                                <w:rFonts w:eastAsia="Times New Roman"/>
                                <w:color w:val="000000"/>
                              </w:rPr>
                              <w:t>1221</w:t>
                            </w:r>
                            <w:r w:rsidR="009C495F">
                              <w:rPr>
                                <w:rFonts w:eastAsia="Times New Roman"/>
                                <w:color w:val="000000"/>
                              </w:rPr>
                              <w:t xml:space="preserve">, 1231 </w:t>
                            </w:r>
                            <w:r w:rsidR="009259C8">
                              <w:t>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7EFB7B60" w:rsidR="005C4B33" w:rsidRDefault="005C4B33">
                      <w:pPr>
                        <w:jc w:val="both"/>
                      </w:pPr>
                      <w:r>
                        <w:t>This document propose</w:t>
                      </w:r>
                      <w:r w:rsidR="00D276AF">
                        <w:t>s</w:t>
                      </w:r>
                      <w:r>
                        <w:t xml:space="preserve"> </w:t>
                      </w:r>
                      <w:r w:rsidR="009259C8">
                        <w:t xml:space="preserve">the comment resolution for CIDs </w:t>
                      </w:r>
                      <w:r w:rsidR="009C495F">
                        <w:t xml:space="preserve">1718, 1694, </w:t>
                      </w:r>
                      <w:r w:rsidR="009C495F" w:rsidRPr="006B4287">
                        <w:rPr>
                          <w:rFonts w:eastAsia="Times New Roman"/>
                          <w:color w:val="000000"/>
                        </w:rPr>
                        <w:t>1221</w:t>
                      </w:r>
                      <w:r w:rsidR="009C495F">
                        <w:rPr>
                          <w:rFonts w:eastAsia="Times New Roman"/>
                          <w:color w:val="000000"/>
                        </w:rPr>
                        <w:t xml:space="preserve">, 1231 </w:t>
                      </w:r>
                      <w:r w:rsidR="009259C8">
                        <w:t>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1FB44120" w:rsidR="009259C8" w:rsidRPr="00E13124" w:rsidRDefault="002F04D5" w:rsidP="009259C8">
            <w:pPr>
              <w:jc w:val="right"/>
              <w:rPr>
                <w:rFonts w:ascii="Calibri" w:eastAsia="Times New Roman" w:hAnsi="Calibri" w:cs="Calibri"/>
                <w:color w:val="000000"/>
                <w:sz w:val="18"/>
                <w:szCs w:val="22"/>
                <w:lang w:val="en-US"/>
              </w:rPr>
            </w:pPr>
            <w:r>
              <w:t>1718</w:t>
            </w:r>
          </w:p>
        </w:tc>
        <w:tc>
          <w:tcPr>
            <w:tcW w:w="990" w:type="dxa"/>
            <w:tcBorders>
              <w:top w:val="nil"/>
              <w:left w:val="nil"/>
              <w:bottom w:val="single" w:sz="4" w:space="0" w:color="auto"/>
              <w:right w:val="single" w:sz="4" w:space="0" w:color="auto"/>
            </w:tcBorders>
            <w:shd w:val="clear" w:color="auto" w:fill="auto"/>
          </w:tcPr>
          <w:p w14:paraId="0A5530D2" w14:textId="19BA00B9" w:rsidR="009259C8" w:rsidRPr="00E13124" w:rsidRDefault="002F04D5"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Robert Stacey</w:t>
            </w:r>
          </w:p>
        </w:tc>
        <w:tc>
          <w:tcPr>
            <w:tcW w:w="630" w:type="dxa"/>
            <w:tcBorders>
              <w:top w:val="nil"/>
              <w:left w:val="nil"/>
              <w:bottom w:val="single" w:sz="4" w:space="0" w:color="auto"/>
              <w:right w:val="single" w:sz="4" w:space="0" w:color="auto"/>
            </w:tcBorders>
            <w:shd w:val="clear" w:color="auto" w:fill="auto"/>
          </w:tcPr>
          <w:p w14:paraId="013E9194" w14:textId="05666A18" w:rsidR="009259C8" w:rsidRPr="00E13124" w:rsidRDefault="002B3934" w:rsidP="009259C8">
            <w:pPr>
              <w:rPr>
                <w:rFonts w:ascii="Calibri" w:eastAsia="Times New Roman" w:hAnsi="Calibri" w:cs="Calibri"/>
                <w:color w:val="000000"/>
                <w:sz w:val="18"/>
                <w:szCs w:val="22"/>
                <w:lang w:val="en-US"/>
              </w:rPr>
            </w:pPr>
            <w:r w:rsidRPr="002B3934">
              <w:rPr>
                <w:rFonts w:ascii="Calibri" w:eastAsia="Times New Roman" w:hAnsi="Calibri" w:cs="Calibri"/>
                <w:color w:val="000000"/>
                <w:sz w:val="18"/>
                <w:szCs w:val="22"/>
                <w:lang w:val="en-US"/>
              </w:rPr>
              <w:t>30.2.2</w:t>
            </w:r>
          </w:p>
        </w:tc>
        <w:tc>
          <w:tcPr>
            <w:tcW w:w="540" w:type="dxa"/>
            <w:tcBorders>
              <w:top w:val="nil"/>
              <w:left w:val="nil"/>
              <w:bottom w:val="single" w:sz="4" w:space="0" w:color="auto"/>
              <w:right w:val="single" w:sz="4" w:space="0" w:color="auto"/>
            </w:tcBorders>
            <w:shd w:val="clear" w:color="auto" w:fill="auto"/>
          </w:tcPr>
          <w:p w14:paraId="58639176" w14:textId="61332D68" w:rsidR="009259C8" w:rsidRPr="00E13124" w:rsidRDefault="002F04D5"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228</w:t>
            </w:r>
          </w:p>
        </w:tc>
        <w:tc>
          <w:tcPr>
            <w:tcW w:w="2430" w:type="dxa"/>
            <w:tcBorders>
              <w:top w:val="nil"/>
              <w:left w:val="nil"/>
              <w:bottom w:val="single" w:sz="4" w:space="0" w:color="auto"/>
              <w:right w:val="single" w:sz="4" w:space="0" w:color="auto"/>
            </w:tcBorders>
            <w:shd w:val="clear" w:color="auto" w:fill="auto"/>
          </w:tcPr>
          <w:p w14:paraId="7ED04CA2" w14:textId="5DA45C08" w:rsidR="009259C8" w:rsidRPr="00E13124" w:rsidRDefault="002F04D5" w:rsidP="009259C8">
            <w:pPr>
              <w:rPr>
                <w:rFonts w:ascii="Calibri" w:eastAsia="Times New Roman" w:hAnsi="Calibri" w:cs="Calibri"/>
                <w:color w:val="000000"/>
                <w:sz w:val="18"/>
                <w:szCs w:val="22"/>
                <w:lang w:val="en-US"/>
              </w:rPr>
            </w:pPr>
            <w:r w:rsidRPr="006B4287">
              <w:rPr>
                <w:rFonts w:eastAsia="Times New Roman"/>
                <w:color w:val="000000"/>
              </w:rPr>
              <w:t>SISO_NEXT: The transmitter controls the input but no the output. So how can it be "performed in SISO or MIMO"?</w:t>
            </w:r>
          </w:p>
        </w:tc>
        <w:tc>
          <w:tcPr>
            <w:tcW w:w="2070" w:type="dxa"/>
            <w:tcBorders>
              <w:top w:val="nil"/>
              <w:left w:val="nil"/>
              <w:bottom w:val="single" w:sz="4" w:space="0" w:color="auto"/>
              <w:right w:val="single" w:sz="4" w:space="0" w:color="auto"/>
            </w:tcBorders>
            <w:shd w:val="clear" w:color="auto" w:fill="auto"/>
          </w:tcPr>
          <w:p w14:paraId="1818D652" w14:textId="7E0D524C" w:rsidR="009259C8" w:rsidRPr="00E13124" w:rsidRDefault="002F04D5" w:rsidP="009259C8">
            <w:pPr>
              <w:rPr>
                <w:rFonts w:ascii="Calibri" w:eastAsia="Times New Roman" w:hAnsi="Calibri" w:cs="Calibri"/>
                <w:color w:val="000000"/>
                <w:sz w:val="18"/>
                <w:szCs w:val="22"/>
                <w:lang w:val="en-US"/>
              </w:rPr>
            </w:pPr>
            <w:r w:rsidRPr="006B4287">
              <w:rPr>
                <w:rFonts w:eastAsia="Times New Roman"/>
                <w:color w:val="000000"/>
              </w:rPr>
              <w:t>Indicates whether the transmission following the current transmission will use a single antenna or multiple antennas. And "</w:t>
            </w:r>
            <w:proofErr w:type="spellStart"/>
            <w:r w:rsidRPr="006B4287">
              <w:rPr>
                <w:rFonts w:eastAsia="Times New Roman"/>
                <w:color w:val="000000"/>
              </w:rPr>
              <w:t>NextTxSISO</w:t>
            </w:r>
            <w:proofErr w:type="spellEnd"/>
            <w:r w:rsidRPr="006B4287">
              <w:rPr>
                <w:rFonts w:eastAsia="Times New Roman"/>
                <w:color w:val="000000"/>
              </w:rPr>
              <w:t>-&gt;</w:t>
            </w:r>
            <w:proofErr w:type="spellStart"/>
            <w:r w:rsidRPr="006B4287">
              <w:rPr>
                <w:rFonts w:eastAsia="Times New Roman"/>
                <w:color w:val="000000"/>
              </w:rPr>
              <w:t>NextTxSingleAntenna</w:t>
            </w:r>
            <w:proofErr w:type="spellEnd"/>
            <w:r w:rsidRPr="006B4287">
              <w:rPr>
                <w:rFonts w:eastAsia="Times New Roman"/>
                <w:color w:val="000000"/>
              </w:rPr>
              <w:t>" and "</w:t>
            </w:r>
            <w:proofErr w:type="spellStart"/>
            <w:r w:rsidRPr="006B4287">
              <w:rPr>
                <w:rFonts w:eastAsia="Times New Roman"/>
                <w:color w:val="000000"/>
              </w:rPr>
              <w:t>NextTxMultiAntenna</w:t>
            </w:r>
            <w:proofErr w:type="spellEnd"/>
            <w:r w:rsidRPr="006B4287">
              <w:rPr>
                <w:rFonts w:eastAsia="Times New Roman"/>
                <w:color w:val="000000"/>
              </w:rPr>
              <w:t>"</w:t>
            </w:r>
          </w:p>
        </w:tc>
        <w:tc>
          <w:tcPr>
            <w:tcW w:w="2520" w:type="dxa"/>
            <w:tcBorders>
              <w:top w:val="nil"/>
              <w:left w:val="nil"/>
              <w:bottom w:val="single" w:sz="4" w:space="0" w:color="auto"/>
              <w:right w:val="single" w:sz="4" w:space="0" w:color="auto"/>
            </w:tcBorders>
            <w:shd w:val="clear" w:color="auto" w:fill="auto"/>
          </w:tcPr>
          <w:p w14:paraId="22FFBF11" w14:textId="77777777" w:rsidR="009259C8" w:rsidRPr="00C55ABF" w:rsidRDefault="002F04D5" w:rsidP="009259C8">
            <w:pPr>
              <w:rPr>
                <w:rFonts w:eastAsia="Times New Roman"/>
                <w:color w:val="000000"/>
                <w:szCs w:val="22"/>
                <w:lang w:val="en-US"/>
              </w:rPr>
            </w:pPr>
            <w:r w:rsidRPr="00C55ABF">
              <w:rPr>
                <w:rFonts w:eastAsia="Times New Roman"/>
                <w:color w:val="000000"/>
                <w:szCs w:val="22"/>
                <w:lang w:val="en-US"/>
              </w:rPr>
              <w:t xml:space="preserve">Revised. Instruct the editor to change the name of SISO_NEXT into </w:t>
            </w:r>
            <w:proofErr w:type="spellStart"/>
            <w:r w:rsidRPr="00C55ABF">
              <w:rPr>
                <w:rFonts w:eastAsia="Times New Roman"/>
                <w:color w:val="000000"/>
                <w:szCs w:val="22"/>
                <w:lang w:val="en-US"/>
              </w:rPr>
              <w:t>NextTxSISO</w:t>
            </w:r>
            <w:proofErr w:type="spellEnd"/>
            <w:r w:rsidRPr="00C55ABF">
              <w:rPr>
                <w:rFonts w:eastAsia="Times New Roman"/>
                <w:color w:val="000000"/>
                <w:szCs w:val="22"/>
                <w:lang w:val="en-US"/>
              </w:rPr>
              <w:t xml:space="preserve"> in Table 27 —TXVECTOR and RXVECTOR parameters.</w:t>
            </w:r>
          </w:p>
          <w:p w14:paraId="08659611" w14:textId="62291A22" w:rsidR="00C55ABF" w:rsidRPr="00C55ABF" w:rsidRDefault="00C55ABF" w:rsidP="00C55ABF">
            <w:pPr>
              <w:rPr>
                <w:szCs w:val="22"/>
              </w:rPr>
            </w:pPr>
            <w:r w:rsidRPr="00C55ABF">
              <w:rPr>
                <w:rFonts w:eastAsia="Times New Roman"/>
                <w:color w:val="000000"/>
                <w:szCs w:val="22"/>
                <w:lang w:val="en-US"/>
              </w:rPr>
              <w:t>And modify the corresponding Value   subfield in Table 32 of D1.1“</w:t>
            </w:r>
            <w:r w:rsidRPr="00C55ABF">
              <w:rPr>
                <w:szCs w:val="22"/>
              </w:rPr>
              <w:t xml:space="preserve">Indicates whether the following transmission from this STA is performed in </w:t>
            </w:r>
            <w:r w:rsidRPr="00C55ABF">
              <w:rPr>
                <w:strike/>
                <w:szCs w:val="22"/>
              </w:rPr>
              <w:t>SISO</w:t>
            </w:r>
            <w:r w:rsidRPr="00C55ABF">
              <w:rPr>
                <w:szCs w:val="22"/>
              </w:rPr>
              <w:t xml:space="preserve"> </w:t>
            </w:r>
            <w:r w:rsidRPr="00C55ABF">
              <w:rPr>
                <w:szCs w:val="22"/>
                <w:u w:val="single"/>
              </w:rPr>
              <w:t xml:space="preserve">single antenna </w:t>
            </w:r>
            <w:r w:rsidRPr="00C55ABF">
              <w:rPr>
                <w:szCs w:val="22"/>
              </w:rPr>
              <w:t xml:space="preserve">or </w:t>
            </w:r>
            <w:r w:rsidRPr="00C55ABF">
              <w:rPr>
                <w:strike/>
                <w:szCs w:val="22"/>
              </w:rPr>
              <w:t xml:space="preserve">MIMO </w:t>
            </w:r>
            <w:r w:rsidRPr="00C55ABF">
              <w:rPr>
                <w:szCs w:val="22"/>
                <w:u w:val="single"/>
              </w:rPr>
              <w:t>multiple antennas</w:t>
            </w:r>
            <w:r w:rsidRPr="00C55ABF">
              <w:rPr>
                <w:szCs w:val="22"/>
              </w:rPr>
              <w:t xml:space="preserve">. </w:t>
            </w:r>
          </w:p>
          <w:p w14:paraId="3C3AAE11" w14:textId="77777777" w:rsidR="00C55ABF" w:rsidRPr="00C55ABF" w:rsidRDefault="00C55ABF" w:rsidP="00C55ABF">
            <w:pPr>
              <w:pStyle w:val="Default"/>
              <w:rPr>
                <w:rFonts w:ascii="Times New Roman" w:hAnsi="Times New Roman" w:cs="Times New Roman"/>
                <w:sz w:val="22"/>
                <w:szCs w:val="22"/>
              </w:rPr>
            </w:pPr>
            <w:r w:rsidRPr="00C55ABF">
              <w:rPr>
                <w:rFonts w:ascii="Times New Roman" w:hAnsi="Times New Roman" w:cs="Times New Roman"/>
                <w:sz w:val="22"/>
                <w:szCs w:val="22"/>
              </w:rPr>
              <w:t xml:space="preserve">Enumerated type: </w:t>
            </w:r>
          </w:p>
          <w:p w14:paraId="32349C3E" w14:textId="0E5C8449" w:rsidR="00C55ABF" w:rsidRPr="00C55ABF" w:rsidRDefault="00C55ABF" w:rsidP="00C55ABF">
            <w:pPr>
              <w:pStyle w:val="Default"/>
              <w:rPr>
                <w:rFonts w:ascii="Times New Roman" w:hAnsi="Times New Roman" w:cs="Times New Roman"/>
                <w:sz w:val="22"/>
                <w:szCs w:val="22"/>
              </w:rPr>
            </w:pPr>
            <w:proofErr w:type="spellStart"/>
            <w:r w:rsidRPr="00C55ABF">
              <w:rPr>
                <w:rFonts w:ascii="Times New Roman" w:hAnsi="Times New Roman" w:cs="Times New Roman"/>
                <w:strike/>
                <w:sz w:val="22"/>
                <w:szCs w:val="22"/>
              </w:rPr>
              <w:t>NextTxSISO</w:t>
            </w:r>
            <w:proofErr w:type="spellEnd"/>
            <w:r w:rsidRPr="00C55ABF">
              <w:rPr>
                <w:rFonts w:ascii="Times New Roman" w:hAnsi="Times New Roman" w:cs="Times New Roman"/>
                <w:sz w:val="22"/>
                <w:szCs w:val="22"/>
              </w:rPr>
              <w:t xml:space="preserve"> </w:t>
            </w:r>
            <w:proofErr w:type="spellStart"/>
            <w:r w:rsidRPr="00C55ABF">
              <w:rPr>
                <w:rFonts w:ascii="Times New Roman" w:hAnsi="Times New Roman" w:cs="Times New Roman"/>
                <w:sz w:val="22"/>
                <w:szCs w:val="22"/>
                <w:u w:val="single"/>
              </w:rPr>
              <w:t>NextTxS</w:t>
            </w:r>
            <w:r>
              <w:rPr>
                <w:rFonts w:ascii="Times New Roman" w:hAnsi="Times New Roman" w:cs="Times New Roman"/>
                <w:sz w:val="22"/>
                <w:szCs w:val="22"/>
                <w:u w:val="single"/>
              </w:rPr>
              <w:t>ingleAntenna</w:t>
            </w:r>
            <w:proofErr w:type="spellEnd"/>
          </w:p>
          <w:p w14:paraId="0BE2B7D2" w14:textId="00036FBC" w:rsidR="002F04D5" w:rsidRPr="002F04D5" w:rsidRDefault="00C55ABF" w:rsidP="00C55ABF">
            <w:pPr>
              <w:rPr>
                <w:rFonts w:eastAsia="Times New Roman"/>
                <w:color w:val="000000"/>
                <w:szCs w:val="22"/>
                <w:lang w:val="en-US"/>
              </w:rPr>
            </w:pPr>
            <w:proofErr w:type="spellStart"/>
            <w:r w:rsidRPr="00C55ABF">
              <w:rPr>
                <w:strike/>
                <w:szCs w:val="22"/>
              </w:rPr>
              <w:t>NextTxMIMO</w:t>
            </w:r>
            <w:proofErr w:type="spellEnd"/>
            <w:r w:rsidRPr="00C55ABF">
              <w:rPr>
                <w:szCs w:val="22"/>
              </w:rPr>
              <w:t xml:space="preserve"> </w:t>
            </w:r>
            <w:proofErr w:type="spellStart"/>
            <w:r w:rsidRPr="00C55ABF">
              <w:rPr>
                <w:szCs w:val="22"/>
              </w:rPr>
              <w:t>NextTx</w:t>
            </w:r>
            <w:r>
              <w:rPr>
                <w:szCs w:val="22"/>
              </w:rPr>
              <w:t>MultiAntenna</w:t>
            </w:r>
            <w:proofErr w:type="spellEnd"/>
            <w:r w:rsidRPr="00C55ABF">
              <w:rPr>
                <w:szCs w:val="22"/>
              </w:rPr>
              <w:t>“</w:t>
            </w:r>
          </w:p>
        </w:tc>
      </w:tr>
      <w:tr w:rsidR="00BB1832" w:rsidRPr="00E13124" w14:paraId="63447145"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3F884503" w14:textId="147C4601" w:rsidR="00BB1832" w:rsidRPr="00E92355" w:rsidRDefault="00BB1832" w:rsidP="00BB1832">
            <w:pPr>
              <w:jc w:val="right"/>
              <w:rPr>
                <w:rFonts w:ascii="Calibri" w:eastAsia="Times New Roman" w:hAnsi="Calibri" w:cs="Calibri"/>
                <w:color w:val="000000"/>
                <w:sz w:val="18"/>
                <w:szCs w:val="22"/>
                <w:lang w:val="en-US"/>
              </w:rPr>
            </w:pPr>
            <w:r w:rsidRPr="006B4287">
              <w:rPr>
                <w:rFonts w:eastAsia="Times New Roman"/>
                <w:color w:val="000000"/>
              </w:rPr>
              <w:t>1694</w:t>
            </w:r>
          </w:p>
        </w:tc>
        <w:tc>
          <w:tcPr>
            <w:tcW w:w="990" w:type="dxa"/>
            <w:tcBorders>
              <w:top w:val="nil"/>
              <w:left w:val="nil"/>
              <w:bottom w:val="single" w:sz="4" w:space="0" w:color="auto"/>
              <w:right w:val="single" w:sz="4" w:space="0" w:color="auto"/>
            </w:tcBorders>
            <w:shd w:val="clear" w:color="auto" w:fill="auto"/>
          </w:tcPr>
          <w:p w14:paraId="69CC4CD8" w14:textId="7E96546C"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Robert Stacey</w:t>
            </w:r>
          </w:p>
        </w:tc>
        <w:tc>
          <w:tcPr>
            <w:tcW w:w="630" w:type="dxa"/>
            <w:tcBorders>
              <w:top w:val="nil"/>
              <w:left w:val="nil"/>
              <w:bottom w:val="single" w:sz="4" w:space="0" w:color="auto"/>
              <w:right w:val="single" w:sz="4" w:space="0" w:color="auto"/>
            </w:tcBorders>
            <w:shd w:val="clear" w:color="auto" w:fill="auto"/>
          </w:tcPr>
          <w:p w14:paraId="5DACE29E" w14:textId="6831BF0C"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10.28.1</w:t>
            </w:r>
          </w:p>
        </w:tc>
        <w:tc>
          <w:tcPr>
            <w:tcW w:w="540" w:type="dxa"/>
            <w:tcBorders>
              <w:top w:val="nil"/>
              <w:left w:val="nil"/>
              <w:bottom w:val="single" w:sz="4" w:space="0" w:color="auto"/>
              <w:right w:val="single" w:sz="4" w:space="0" w:color="auto"/>
            </w:tcBorders>
            <w:shd w:val="clear" w:color="auto" w:fill="auto"/>
          </w:tcPr>
          <w:p w14:paraId="4C7EB3AB" w14:textId="0AE14836" w:rsidR="00BB1832" w:rsidRPr="00E92355" w:rsidRDefault="00BB1832" w:rsidP="00BB1832">
            <w:pPr>
              <w:rPr>
                <w:rFonts w:ascii="Calibri" w:eastAsia="Times New Roman" w:hAnsi="Calibri" w:cs="Calibri"/>
                <w:color w:val="000000"/>
                <w:sz w:val="18"/>
                <w:szCs w:val="22"/>
                <w:lang w:val="en-US"/>
              </w:rPr>
            </w:pPr>
            <w:r w:rsidRPr="006B4287">
              <w:rPr>
                <w:rFonts w:eastAsia="Times New Roman"/>
                <w:color w:val="000000"/>
              </w:rPr>
              <w:t>130</w:t>
            </w:r>
            <w:r>
              <w:rPr>
                <w:rFonts w:eastAsia="Times New Roman"/>
                <w:color w:val="000000"/>
              </w:rPr>
              <w:t>L25</w:t>
            </w:r>
          </w:p>
        </w:tc>
        <w:tc>
          <w:tcPr>
            <w:tcW w:w="2430" w:type="dxa"/>
            <w:tcBorders>
              <w:top w:val="nil"/>
              <w:left w:val="nil"/>
              <w:bottom w:val="single" w:sz="4" w:space="0" w:color="auto"/>
              <w:right w:val="single" w:sz="4" w:space="0" w:color="auto"/>
            </w:tcBorders>
            <w:shd w:val="clear" w:color="auto" w:fill="auto"/>
          </w:tcPr>
          <w:p w14:paraId="33BF9305" w14:textId="1031C0BB" w:rsidR="00BB1832" w:rsidRPr="0066499E" w:rsidRDefault="00BB1832" w:rsidP="00BB1832">
            <w:pPr>
              <w:rPr>
                <w:rFonts w:ascii="Calibri" w:eastAsia="Times New Roman" w:hAnsi="Calibri" w:cs="Calibri"/>
                <w:color w:val="000000"/>
                <w:sz w:val="18"/>
                <w:szCs w:val="22"/>
                <w:lang w:val="en-US"/>
              </w:rPr>
            </w:pPr>
            <w:r w:rsidRPr="006B4287">
              <w:rPr>
                <w:rFonts w:eastAsia="Times New Roman"/>
                <w:color w:val="000000"/>
              </w:rPr>
              <w:t xml:space="preserve">A non-EDMG STA, according to its definition (P18L13), is a DMG STA that is not an EDMG STA. So the first sentence is trying to make the may exclusively apply to DMG STAs that are not EDMG STAs. But this is unnecessary: the </w:t>
            </w:r>
            <w:proofErr w:type="spellStart"/>
            <w:r w:rsidRPr="006B4287">
              <w:rPr>
                <w:rFonts w:eastAsia="Times New Roman"/>
                <w:color w:val="000000"/>
              </w:rPr>
              <w:t>may</w:t>
            </w:r>
            <w:proofErr w:type="spellEnd"/>
            <w:r w:rsidRPr="006B4287">
              <w:rPr>
                <w:rFonts w:eastAsia="Times New Roman"/>
                <w:color w:val="000000"/>
              </w:rPr>
              <w:t xml:space="preserve"> could apply to any DMG STA and </w:t>
            </w:r>
            <w:proofErr w:type="gramStart"/>
            <w:r w:rsidRPr="006B4287">
              <w:rPr>
                <w:rFonts w:eastAsia="Times New Roman"/>
                <w:color w:val="000000"/>
              </w:rPr>
              <w:t>the shall</w:t>
            </w:r>
            <w:proofErr w:type="gramEnd"/>
            <w:r w:rsidRPr="006B4287">
              <w:rPr>
                <w:rFonts w:eastAsia="Times New Roman"/>
                <w:color w:val="000000"/>
              </w:rPr>
              <w:t xml:space="preserve"> to only those DMG STAs that are also EDMG STAs. In effect </w:t>
            </w:r>
            <w:proofErr w:type="gramStart"/>
            <w:r w:rsidRPr="006B4287">
              <w:rPr>
                <w:rFonts w:eastAsia="Times New Roman"/>
                <w:color w:val="000000"/>
              </w:rPr>
              <w:t>the shall</w:t>
            </w:r>
            <w:proofErr w:type="gramEnd"/>
            <w:r w:rsidRPr="006B4287">
              <w:rPr>
                <w:rFonts w:eastAsia="Times New Roman"/>
                <w:color w:val="000000"/>
              </w:rPr>
              <w:t xml:space="preserve"> statement overrides the may statement in this specific instance.</w:t>
            </w:r>
          </w:p>
        </w:tc>
        <w:tc>
          <w:tcPr>
            <w:tcW w:w="2070" w:type="dxa"/>
            <w:tcBorders>
              <w:top w:val="nil"/>
              <w:left w:val="nil"/>
              <w:bottom w:val="single" w:sz="4" w:space="0" w:color="auto"/>
              <w:right w:val="single" w:sz="4" w:space="0" w:color="auto"/>
            </w:tcBorders>
            <w:shd w:val="clear" w:color="auto" w:fill="auto"/>
          </w:tcPr>
          <w:p w14:paraId="5777EFDF" w14:textId="5FBB7E47" w:rsidR="00BB1832" w:rsidRPr="0066499E" w:rsidRDefault="00BB1832" w:rsidP="00BB1832">
            <w:pPr>
              <w:rPr>
                <w:rFonts w:ascii="Calibri" w:eastAsia="Times New Roman" w:hAnsi="Calibri" w:cs="Calibri"/>
                <w:color w:val="000000"/>
                <w:sz w:val="18"/>
                <w:szCs w:val="22"/>
                <w:lang w:val="en-US"/>
              </w:rPr>
            </w:pPr>
            <w:r w:rsidRPr="006B4287">
              <w:rPr>
                <w:rFonts w:eastAsia="Times New Roman"/>
                <w:color w:val="000000"/>
              </w:rPr>
              <w:t>Remove the inserted "non-E".</w:t>
            </w:r>
          </w:p>
        </w:tc>
        <w:tc>
          <w:tcPr>
            <w:tcW w:w="2520" w:type="dxa"/>
            <w:tcBorders>
              <w:top w:val="nil"/>
              <w:left w:val="nil"/>
              <w:bottom w:val="single" w:sz="4" w:space="0" w:color="auto"/>
              <w:right w:val="single" w:sz="4" w:space="0" w:color="auto"/>
            </w:tcBorders>
            <w:shd w:val="clear" w:color="auto" w:fill="auto"/>
          </w:tcPr>
          <w:p w14:paraId="2F3A1BAC" w14:textId="21CCC87F" w:rsidR="00BB1832" w:rsidRPr="002F04D5" w:rsidRDefault="000D04C2" w:rsidP="000D04C2">
            <w:pPr>
              <w:rPr>
                <w:rFonts w:eastAsia="Times New Roman"/>
                <w:szCs w:val="22"/>
                <w:lang w:val="en-US"/>
              </w:rPr>
            </w:pPr>
            <w:r>
              <w:rPr>
                <w:rFonts w:eastAsia="Times New Roman"/>
                <w:color w:val="000000"/>
              </w:rPr>
              <w:t>Revised</w:t>
            </w:r>
            <w:r w:rsidR="00BB1832">
              <w:rPr>
                <w:rFonts w:eastAsia="Times New Roman"/>
                <w:color w:val="000000"/>
              </w:rPr>
              <w:t xml:space="preserve">. </w:t>
            </w:r>
            <w:r>
              <w:rPr>
                <w:rFonts w:eastAsia="Times New Roman"/>
                <w:color w:val="000000"/>
              </w:rPr>
              <w:t xml:space="preserve">Commenter indicates that the second statement overwrite the first statement and therefor the non-EDMG STA should be changed to DMG STA. However, it is more straightforward to read the statement if it is stated more clearly. </w:t>
            </w:r>
            <w:r w:rsidR="00BB1832">
              <w:rPr>
                <w:rFonts w:eastAsia="Times New Roman"/>
                <w:color w:val="000000"/>
              </w:rPr>
              <w:t>Instruct the editor to make the following changes in P159L25 of D1.1 “</w:t>
            </w:r>
            <w:r w:rsidR="00BB1832">
              <w:rPr>
                <w:sz w:val="20"/>
              </w:rPr>
              <w:t xml:space="preserve">The RD protocol may be supported by an HT STA and by a </w:t>
            </w:r>
            <w:r w:rsidR="00BB1832" w:rsidRPr="00BB1832">
              <w:rPr>
                <w:strike/>
                <w:sz w:val="20"/>
              </w:rPr>
              <w:t>non-EDMG</w:t>
            </w:r>
            <w:r w:rsidR="00BB1832">
              <w:rPr>
                <w:sz w:val="20"/>
              </w:rPr>
              <w:t xml:space="preserve"> </w:t>
            </w:r>
            <w:r w:rsidR="00BB1832" w:rsidRPr="00BB1832">
              <w:rPr>
                <w:sz w:val="20"/>
                <w:u w:val="single"/>
              </w:rPr>
              <w:t>DMG</w:t>
            </w:r>
            <w:r w:rsidR="00BB1832">
              <w:rPr>
                <w:sz w:val="20"/>
              </w:rPr>
              <w:t xml:space="preserve"> STA</w:t>
            </w:r>
            <w:r>
              <w:rPr>
                <w:sz w:val="20"/>
              </w:rPr>
              <w:t xml:space="preserve"> </w:t>
            </w:r>
            <w:r w:rsidRPr="000D04C2">
              <w:rPr>
                <w:sz w:val="20"/>
                <w:u w:val="single"/>
              </w:rPr>
              <w:t>that is not an EDMG STA</w:t>
            </w:r>
            <w:r w:rsidR="00BB1832">
              <w:rPr>
                <w:sz w:val="20"/>
              </w:rPr>
              <w:t>.”</w:t>
            </w:r>
          </w:p>
        </w:tc>
      </w:tr>
      <w:tr w:rsidR="006E7582" w:rsidRPr="00E13124" w14:paraId="6470261A"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61D9A9FB" w14:textId="77777777" w:rsidR="006E7582" w:rsidRPr="00E92355" w:rsidRDefault="006E7582" w:rsidP="00D048E2">
            <w:pPr>
              <w:jc w:val="right"/>
              <w:rPr>
                <w:rFonts w:ascii="Calibri" w:eastAsia="Times New Roman" w:hAnsi="Calibri" w:cs="Calibri"/>
                <w:color w:val="000000"/>
                <w:sz w:val="18"/>
                <w:szCs w:val="22"/>
                <w:lang w:val="en-US"/>
              </w:rPr>
            </w:pPr>
            <w:r w:rsidRPr="006B4287">
              <w:rPr>
                <w:rFonts w:eastAsia="Times New Roman"/>
                <w:color w:val="000000"/>
              </w:rPr>
              <w:lastRenderedPageBreak/>
              <w:t>1221</w:t>
            </w:r>
          </w:p>
        </w:tc>
        <w:tc>
          <w:tcPr>
            <w:tcW w:w="990" w:type="dxa"/>
            <w:tcBorders>
              <w:top w:val="nil"/>
              <w:left w:val="nil"/>
              <w:bottom w:val="single" w:sz="4" w:space="0" w:color="auto"/>
              <w:right w:val="single" w:sz="4" w:space="0" w:color="auto"/>
            </w:tcBorders>
            <w:shd w:val="clear" w:color="auto" w:fill="auto"/>
          </w:tcPr>
          <w:p w14:paraId="765AF499"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Adrian Stephens</w:t>
            </w:r>
          </w:p>
        </w:tc>
        <w:tc>
          <w:tcPr>
            <w:tcW w:w="630" w:type="dxa"/>
            <w:tcBorders>
              <w:top w:val="nil"/>
              <w:left w:val="nil"/>
              <w:bottom w:val="single" w:sz="4" w:space="0" w:color="auto"/>
              <w:right w:val="single" w:sz="4" w:space="0" w:color="auto"/>
            </w:tcBorders>
            <w:shd w:val="clear" w:color="auto" w:fill="auto"/>
          </w:tcPr>
          <w:p w14:paraId="1A66796F"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10.28.1</w:t>
            </w:r>
          </w:p>
        </w:tc>
        <w:tc>
          <w:tcPr>
            <w:tcW w:w="540" w:type="dxa"/>
            <w:tcBorders>
              <w:top w:val="nil"/>
              <w:left w:val="nil"/>
              <w:bottom w:val="single" w:sz="4" w:space="0" w:color="auto"/>
              <w:right w:val="single" w:sz="4" w:space="0" w:color="auto"/>
            </w:tcBorders>
            <w:shd w:val="clear" w:color="auto" w:fill="auto"/>
          </w:tcPr>
          <w:p w14:paraId="684D67DF" w14:textId="77777777" w:rsidR="006E7582" w:rsidRPr="00E92355" w:rsidRDefault="006E7582" w:rsidP="00D048E2">
            <w:pPr>
              <w:rPr>
                <w:rFonts w:ascii="Calibri" w:eastAsia="Times New Roman" w:hAnsi="Calibri" w:cs="Calibri"/>
                <w:color w:val="000000"/>
                <w:sz w:val="18"/>
                <w:szCs w:val="22"/>
                <w:lang w:val="en-US"/>
              </w:rPr>
            </w:pPr>
            <w:r w:rsidRPr="006B4287">
              <w:rPr>
                <w:rFonts w:eastAsia="Times New Roman"/>
                <w:color w:val="000000"/>
              </w:rPr>
              <w:t>130</w:t>
            </w:r>
            <w:r>
              <w:rPr>
                <w:rFonts w:eastAsia="Times New Roman"/>
                <w:color w:val="000000"/>
              </w:rPr>
              <w:t>L25</w:t>
            </w:r>
          </w:p>
        </w:tc>
        <w:tc>
          <w:tcPr>
            <w:tcW w:w="2430" w:type="dxa"/>
            <w:tcBorders>
              <w:top w:val="nil"/>
              <w:left w:val="nil"/>
              <w:bottom w:val="single" w:sz="4" w:space="0" w:color="auto"/>
              <w:right w:val="single" w:sz="4" w:space="0" w:color="auto"/>
            </w:tcBorders>
            <w:shd w:val="clear" w:color="auto" w:fill="auto"/>
          </w:tcPr>
          <w:p w14:paraId="7C96B9F6" w14:textId="77777777" w:rsidR="006E7582" w:rsidRPr="0066499E" w:rsidRDefault="006E7582" w:rsidP="00D048E2">
            <w:pPr>
              <w:rPr>
                <w:rFonts w:ascii="Calibri" w:eastAsia="Times New Roman" w:hAnsi="Calibri" w:cs="Calibri"/>
                <w:color w:val="000000"/>
                <w:sz w:val="18"/>
                <w:szCs w:val="22"/>
                <w:lang w:val="en-US"/>
              </w:rPr>
            </w:pPr>
            <w:r w:rsidRPr="006B4287">
              <w:rPr>
                <w:rFonts w:eastAsia="Times New Roman"/>
                <w:color w:val="000000"/>
              </w:rPr>
              <w:t>"non-EDMG STA"</w:t>
            </w:r>
            <w:r w:rsidRPr="006B4287">
              <w:rPr>
                <w:rFonts w:eastAsia="Times New Roman"/>
                <w:color w:val="000000"/>
              </w:rPr>
              <w:br/>
            </w:r>
            <w:r w:rsidRPr="006B4287">
              <w:rPr>
                <w:rFonts w:eastAsia="Times New Roman"/>
                <w:color w:val="000000"/>
              </w:rPr>
              <w:br/>
              <w:t>Inserting "non-E" changes the term that previously meant "DMG STA" to include non-DMG STAs,  such as a non-HT, non-</w:t>
            </w:r>
            <w:proofErr w:type="spellStart"/>
            <w:r w:rsidRPr="006B4287">
              <w:rPr>
                <w:rFonts w:eastAsia="Times New Roman"/>
                <w:color w:val="000000"/>
              </w:rPr>
              <w:t>QoS</w:t>
            </w:r>
            <w:proofErr w:type="spellEnd"/>
            <w:r w:rsidRPr="006B4287">
              <w:rPr>
                <w:rFonts w:eastAsia="Times New Roman"/>
                <w:color w:val="000000"/>
              </w:rPr>
              <w:t xml:space="preserve"> STA.</w:t>
            </w:r>
          </w:p>
        </w:tc>
        <w:tc>
          <w:tcPr>
            <w:tcW w:w="2070" w:type="dxa"/>
            <w:tcBorders>
              <w:top w:val="nil"/>
              <w:left w:val="nil"/>
              <w:bottom w:val="single" w:sz="4" w:space="0" w:color="auto"/>
              <w:right w:val="single" w:sz="4" w:space="0" w:color="auto"/>
            </w:tcBorders>
            <w:shd w:val="clear" w:color="auto" w:fill="auto"/>
          </w:tcPr>
          <w:p w14:paraId="3D691E69" w14:textId="77777777" w:rsidR="006E7582" w:rsidRPr="0066499E" w:rsidRDefault="006E7582" w:rsidP="00D048E2">
            <w:pPr>
              <w:rPr>
                <w:rFonts w:ascii="Calibri" w:eastAsia="Times New Roman" w:hAnsi="Calibri" w:cs="Calibri"/>
                <w:color w:val="000000"/>
                <w:sz w:val="18"/>
                <w:szCs w:val="22"/>
                <w:lang w:val="en-US"/>
              </w:rPr>
            </w:pPr>
            <w:r w:rsidRPr="006B4287">
              <w:rPr>
                <w:rFonts w:eastAsia="Times New Roman"/>
                <w:color w:val="000000"/>
              </w:rPr>
              <w:t>In text that can apply to non-DMG STAs, reword insertions of "non-E" before DMG to read "DMG STA that is not an EDMG STA" or similar.</w:t>
            </w:r>
          </w:p>
        </w:tc>
        <w:tc>
          <w:tcPr>
            <w:tcW w:w="2520" w:type="dxa"/>
            <w:tcBorders>
              <w:top w:val="nil"/>
              <w:left w:val="nil"/>
              <w:bottom w:val="single" w:sz="4" w:space="0" w:color="auto"/>
              <w:right w:val="single" w:sz="4" w:space="0" w:color="auto"/>
            </w:tcBorders>
            <w:shd w:val="clear" w:color="auto" w:fill="auto"/>
          </w:tcPr>
          <w:p w14:paraId="04C0685B" w14:textId="74327D83" w:rsidR="006E7582" w:rsidRPr="002F04D5" w:rsidRDefault="008411DD" w:rsidP="00D048E2">
            <w:pPr>
              <w:rPr>
                <w:rFonts w:eastAsia="Times New Roman"/>
                <w:szCs w:val="22"/>
                <w:lang w:val="en-US"/>
              </w:rPr>
            </w:pPr>
            <w:r>
              <w:rPr>
                <w:rFonts w:eastAsia="Times New Roman"/>
                <w:color w:val="000000"/>
              </w:rPr>
              <w:t>Revised. Commenter indicates that the second statement overwrite the first statement and therefor the non-EDMG STA should be changed to DMG STA. However, it is more straightforward to read the statement if it is stated more clearly. Instruct the editor to make the following changes in P159L25 of D1.1 “</w:t>
            </w:r>
            <w:r>
              <w:rPr>
                <w:sz w:val="20"/>
              </w:rPr>
              <w:t xml:space="preserve">The RD protocol may be supported by an HT STA and by a </w:t>
            </w:r>
            <w:r w:rsidRPr="00BB1832">
              <w:rPr>
                <w:strike/>
                <w:sz w:val="20"/>
              </w:rPr>
              <w:t>non-EDMG</w:t>
            </w:r>
            <w:r>
              <w:rPr>
                <w:sz w:val="20"/>
              </w:rPr>
              <w:t xml:space="preserve"> </w:t>
            </w:r>
            <w:r w:rsidRPr="00BB1832">
              <w:rPr>
                <w:sz w:val="20"/>
                <w:u w:val="single"/>
              </w:rPr>
              <w:t>DMG</w:t>
            </w:r>
            <w:r>
              <w:rPr>
                <w:sz w:val="20"/>
              </w:rPr>
              <w:t xml:space="preserve"> STA </w:t>
            </w:r>
            <w:r w:rsidRPr="000D04C2">
              <w:rPr>
                <w:sz w:val="20"/>
                <w:u w:val="single"/>
              </w:rPr>
              <w:t>that is not an EDMG STA</w:t>
            </w:r>
            <w:r>
              <w:rPr>
                <w:sz w:val="20"/>
              </w:rPr>
              <w:t>.”</w:t>
            </w:r>
          </w:p>
        </w:tc>
      </w:tr>
      <w:tr w:rsidR="00AF3E4E" w:rsidRPr="00E13124" w14:paraId="4324B9C8" w14:textId="77777777" w:rsidTr="00D048E2">
        <w:trPr>
          <w:trHeight w:val="3600"/>
        </w:trPr>
        <w:tc>
          <w:tcPr>
            <w:tcW w:w="715" w:type="dxa"/>
            <w:tcBorders>
              <w:top w:val="nil"/>
              <w:left w:val="single" w:sz="4" w:space="0" w:color="auto"/>
              <w:bottom w:val="single" w:sz="4" w:space="0" w:color="auto"/>
              <w:right w:val="single" w:sz="4" w:space="0" w:color="auto"/>
            </w:tcBorders>
            <w:shd w:val="clear" w:color="auto" w:fill="auto"/>
          </w:tcPr>
          <w:p w14:paraId="7F2AD4B2" w14:textId="51F6F910" w:rsidR="00AF3E4E" w:rsidRPr="00E92355" w:rsidRDefault="00AF3E4E" w:rsidP="00AF3E4E">
            <w:pPr>
              <w:jc w:val="right"/>
              <w:rPr>
                <w:rFonts w:ascii="Calibri" w:eastAsia="Times New Roman" w:hAnsi="Calibri" w:cs="Calibri"/>
                <w:color w:val="000000"/>
                <w:sz w:val="18"/>
                <w:szCs w:val="22"/>
                <w:lang w:val="en-US"/>
              </w:rPr>
            </w:pPr>
            <w:r w:rsidRPr="006B4287">
              <w:rPr>
                <w:rFonts w:eastAsia="Times New Roman"/>
                <w:color w:val="000000"/>
              </w:rPr>
              <w:t>1231</w:t>
            </w:r>
          </w:p>
        </w:tc>
        <w:tc>
          <w:tcPr>
            <w:tcW w:w="990" w:type="dxa"/>
            <w:tcBorders>
              <w:top w:val="nil"/>
              <w:left w:val="nil"/>
              <w:bottom w:val="single" w:sz="4" w:space="0" w:color="auto"/>
              <w:right w:val="single" w:sz="4" w:space="0" w:color="auto"/>
            </w:tcBorders>
            <w:shd w:val="clear" w:color="auto" w:fill="auto"/>
          </w:tcPr>
          <w:p w14:paraId="292EA435" w14:textId="0ABDBF12" w:rsidR="00AF3E4E" w:rsidRPr="00E92355" w:rsidRDefault="00AF3E4E" w:rsidP="00AF3E4E">
            <w:pPr>
              <w:rPr>
                <w:rFonts w:ascii="Calibri" w:eastAsia="Times New Roman" w:hAnsi="Calibri" w:cs="Calibri"/>
                <w:color w:val="000000"/>
                <w:sz w:val="18"/>
                <w:szCs w:val="22"/>
                <w:lang w:val="en-US"/>
              </w:rPr>
            </w:pPr>
            <w:r w:rsidRPr="006B4287">
              <w:rPr>
                <w:rFonts w:eastAsia="Times New Roman"/>
                <w:color w:val="000000"/>
              </w:rPr>
              <w:t>Adrian Stephens</w:t>
            </w:r>
          </w:p>
        </w:tc>
        <w:tc>
          <w:tcPr>
            <w:tcW w:w="630" w:type="dxa"/>
            <w:tcBorders>
              <w:top w:val="nil"/>
              <w:left w:val="nil"/>
              <w:bottom w:val="single" w:sz="4" w:space="0" w:color="auto"/>
              <w:right w:val="single" w:sz="4" w:space="0" w:color="auto"/>
            </w:tcBorders>
            <w:shd w:val="clear" w:color="auto" w:fill="auto"/>
          </w:tcPr>
          <w:p w14:paraId="7D5E3C53" w14:textId="4AA6BB6B" w:rsidR="00AF3E4E" w:rsidRPr="00E92355" w:rsidRDefault="002B3934" w:rsidP="00AF3E4E">
            <w:pPr>
              <w:rPr>
                <w:rFonts w:ascii="Calibri" w:eastAsia="Times New Roman" w:hAnsi="Calibri" w:cs="Calibri"/>
                <w:color w:val="000000"/>
                <w:sz w:val="18"/>
                <w:szCs w:val="22"/>
                <w:lang w:val="en-US"/>
              </w:rPr>
            </w:pPr>
            <w:r w:rsidRPr="002B3934">
              <w:rPr>
                <w:rFonts w:eastAsia="Times New Roman"/>
                <w:color w:val="000000"/>
              </w:rPr>
              <w:t>10.36.11.4.4</w:t>
            </w:r>
          </w:p>
        </w:tc>
        <w:tc>
          <w:tcPr>
            <w:tcW w:w="540" w:type="dxa"/>
            <w:tcBorders>
              <w:top w:val="nil"/>
              <w:left w:val="nil"/>
              <w:bottom w:val="single" w:sz="4" w:space="0" w:color="auto"/>
              <w:right w:val="single" w:sz="4" w:space="0" w:color="auto"/>
            </w:tcBorders>
            <w:shd w:val="clear" w:color="auto" w:fill="auto"/>
          </w:tcPr>
          <w:p w14:paraId="233D2966" w14:textId="3EFB2DCC" w:rsidR="00AF3E4E" w:rsidRPr="00E92355" w:rsidRDefault="00AF3E4E" w:rsidP="00AF3E4E">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142L32</w:t>
            </w:r>
          </w:p>
        </w:tc>
        <w:tc>
          <w:tcPr>
            <w:tcW w:w="2430" w:type="dxa"/>
            <w:tcBorders>
              <w:top w:val="nil"/>
              <w:left w:val="nil"/>
              <w:bottom w:val="single" w:sz="4" w:space="0" w:color="auto"/>
              <w:right w:val="single" w:sz="4" w:space="0" w:color="auto"/>
            </w:tcBorders>
            <w:shd w:val="clear" w:color="auto" w:fill="auto"/>
          </w:tcPr>
          <w:p w14:paraId="7C6A0199" w14:textId="586FD720" w:rsidR="00AF3E4E" w:rsidRPr="0066499E" w:rsidRDefault="00AF3E4E" w:rsidP="00AF3E4E">
            <w:pPr>
              <w:rPr>
                <w:rFonts w:ascii="Calibri" w:eastAsia="Times New Roman" w:hAnsi="Calibri" w:cs="Calibri"/>
                <w:color w:val="000000"/>
                <w:sz w:val="18"/>
                <w:szCs w:val="22"/>
                <w:lang w:val="en-US"/>
              </w:rPr>
            </w:pPr>
            <w:r w:rsidRPr="006B4287">
              <w:rPr>
                <w:rFonts w:eastAsia="Times New Roman"/>
                <w:color w:val="000000"/>
              </w:rPr>
              <w:t xml:space="preserve">"+/-30 ns",  </w:t>
            </w:r>
            <w:proofErr w:type="gramStart"/>
            <w:r w:rsidRPr="006B4287">
              <w:rPr>
                <w:rFonts w:eastAsia="Times New Roman"/>
                <w:color w:val="000000"/>
              </w:rPr>
              <w:t>" 12</w:t>
            </w:r>
            <w:proofErr w:type="gramEnd"/>
            <w:r w:rsidRPr="006B4287">
              <w:rPr>
                <w:rFonts w:eastAsia="Times New Roman"/>
                <w:color w:val="000000"/>
              </w:rPr>
              <w:t xml:space="preserve"> KHz"</w:t>
            </w:r>
            <w:r w:rsidRPr="006B4287">
              <w:rPr>
                <w:rFonts w:eastAsia="Times New Roman"/>
                <w:color w:val="000000"/>
              </w:rPr>
              <w:br/>
            </w:r>
            <w:r w:rsidRPr="006B4287">
              <w:rPr>
                <w:rFonts w:eastAsia="Times New Roman"/>
                <w:color w:val="000000"/>
              </w:rPr>
              <w:br/>
              <w:t>Don't embed magic numbers in the standard,  as they have a habit of being duplicated elsewhere and may become out of step.  They are also hard to find.</w:t>
            </w:r>
          </w:p>
        </w:tc>
        <w:tc>
          <w:tcPr>
            <w:tcW w:w="2070" w:type="dxa"/>
            <w:tcBorders>
              <w:top w:val="nil"/>
              <w:left w:val="nil"/>
              <w:bottom w:val="single" w:sz="4" w:space="0" w:color="auto"/>
              <w:right w:val="single" w:sz="4" w:space="0" w:color="auto"/>
            </w:tcBorders>
            <w:shd w:val="clear" w:color="auto" w:fill="auto"/>
          </w:tcPr>
          <w:p w14:paraId="09CC38BB" w14:textId="559CD0B9" w:rsidR="00AF3E4E" w:rsidRPr="0066499E" w:rsidRDefault="00AF3E4E" w:rsidP="00AF3E4E">
            <w:pPr>
              <w:rPr>
                <w:rFonts w:ascii="Calibri" w:eastAsia="Times New Roman" w:hAnsi="Calibri" w:cs="Calibri"/>
                <w:color w:val="000000"/>
                <w:sz w:val="18"/>
                <w:szCs w:val="22"/>
                <w:lang w:val="en-US"/>
              </w:rPr>
            </w:pPr>
            <w:r w:rsidRPr="006B4287">
              <w:rPr>
                <w:rFonts w:eastAsia="Times New Roman"/>
                <w:color w:val="000000"/>
              </w:rPr>
              <w:t>Turn these into named attributes of the PHY and reference the names here.</w:t>
            </w:r>
          </w:p>
        </w:tc>
        <w:tc>
          <w:tcPr>
            <w:tcW w:w="2520" w:type="dxa"/>
            <w:tcBorders>
              <w:top w:val="nil"/>
              <w:left w:val="nil"/>
              <w:bottom w:val="single" w:sz="4" w:space="0" w:color="auto"/>
              <w:right w:val="single" w:sz="4" w:space="0" w:color="auto"/>
            </w:tcBorders>
            <w:shd w:val="clear" w:color="auto" w:fill="auto"/>
          </w:tcPr>
          <w:p w14:paraId="341FEF73" w14:textId="2A24A064" w:rsidR="00AF3E4E" w:rsidRDefault="00E10702" w:rsidP="00AF3E4E">
            <w:pPr>
              <w:rPr>
                <w:rFonts w:eastAsia="Times New Roman"/>
                <w:szCs w:val="22"/>
                <w:lang w:val="en-US"/>
              </w:rPr>
            </w:pPr>
            <w:r>
              <w:rPr>
                <w:rFonts w:eastAsia="Times New Roman"/>
                <w:szCs w:val="22"/>
                <w:lang w:val="en-US"/>
              </w:rPr>
              <w:t xml:space="preserve">Revised. Instruct the editor to change </w:t>
            </w:r>
            <w:r w:rsidR="0006778B">
              <w:rPr>
                <w:rFonts w:eastAsia="Times New Roman"/>
                <w:szCs w:val="22"/>
                <w:lang w:val="en-US"/>
              </w:rPr>
              <w:t>“</w:t>
            </w:r>
            <w:r w:rsidR="0006778B">
              <w:rPr>
                <w:sz w:val="20"/>
              </w:rPr>
              <w:t xml:space="preserve">For the STA addressed by the DMG CTS frame to successfully receive the frame, the difference in time between all the DMG CTS transmissions as measured at the receiving STA should be no more than </w:t>
            </w:r>
            <w:proofErr w:type="spellStart"/>
            <w:r w:rsidR="0006778B">
              <w:rPr>
                <w:sz w:val="20"/>
              </w:rPr>
              <w:t>TGI</w:t>
            </w:r>
            <w:r w:rsidR="0006778B">
              <w:rPr>
                <w:sz w:val="20"/>
                <w:vertAlign w:val="subscript"/>
              </w:rPr>
              <w:t>normal</w:t>
            </w:r>
            <w:proofErr w:type="spellEnd"/>
            <w:r w:rsidR="0006778B">
              <w:rPr>
                <w:sz w:val="20"/>
              </w:rPr>
              <w:t xml:space="preserve"> </w:t>
            </w:r>
            <w:r w:rsidR="0006778B" w:rsidRPr="0006778B">
              <w:rPr>
                <w:strike/>
                <w:sz w:val="20"/>
              </w:rPr>
              <w:t>±30 ns</w:t>
            </w:r>
            <w:r w:rsidR="0006778B">
              <w:rPr>
                <w:sz w:val="20"/>
              </w:rPr>
              <w:t>.”</w:t>
            </w:r>
          </w:p>
          <w:p w14:paraId="3E230228" w14:textId="5A29E6BB" w:rsidR="0006778B" w:rsidRDefault="0006778B" w:rsidP="00AF3E4E">
            <w:pPr>
              <w:rPr>
                <w:rFonts w:eastAsia="Times New Roman"/>
                <w:szCs w:val="22"/>
                <w:lang w:val="en-US"/>
              </w:rPr>
            </w:pPr>
            <w:r>
              <w:rPr>
                <w:rFonts w:eastAsia="Times New Roman"/>
                <w:szCs w:val="22"/>
                <w:lang w:val="en-US"/>
              </w:rPr>
              <w:t>and</w:t>
            </w:r>
          </w:p>
          <w:p w14:paraId="7AA91201" w14:textId="3A3C7694" w:rsidR="0006778B" w:rsidRPr="002F04D5" w:rsidRDefault="0006778B" w:rsidP="00DA18E0">
            <w:pPr>
              <w:rPr>
                <w:rFonts w:eastAsia="Times New Roman"/>
                <w:szCs w:val="22"/>
                <w:lang w:val="en-US"/>
              </w:rPr>
            </w:pPr>
            <w:r>
              <w:rPr>
                <w:rFonts w:eastAsia="Times New Roman"/>
                <w:szCs w:val="22"/>
                <w:lang w:val="en-US"/>
              </w:rPr>
              <w:t>“</w:t>
            </w:r>
            <w:r>
              <w:rPr>
                <w:sz w:val="20"/>
              </w:rPr>
              <w:t xml:space="preserve">A STA that transmits the DMG CTS should pre-compensate for carrier frequency offset (CFO) error </w:t>
            </w:r>
            <w:r w:rsidRPr="0006778B">
              <w:rPr>
                <w:sz w:val="20"/>
                <w:u w:val="single"/>
              </w:rPr>
              <w:t xml:space="preserve">to </w:t>
            </w:r>
            <w:r w:rsidR="00DA18E0">
              <w:rPr>
                <w:sz w:val="20"/>
                <w:u w:val="single"/>
              </w:rPr>
              <w:t>mitigate</w:t>
            </w:r>
            <w:r w:rsidRPr="0006778B">
              <w:rPr>
                <w:sz w:val="20"/>
                <w:u w:val="single"/>
              </w:rPr>
              <w:t xml:space="preserve"> the frequency error in the transmitted signal</w:t>
            </w:r>
            <w:r>
              <w:rPr>
                <w:sz w:val="20"/>
              </w:rPr>
              <w:t xml:space="preserve">. </w:t>
            </w:r>
            <w:r w:rsidRPr="0006778B">
              <w:rPr>
                <w:strike/>
                <w:sz w:val="20"/>
              </w:rPr>
              <w:t>After compensation, the absolute value of residual CFO error with respect to the RTS should not exceed 12 KHz</w:t>
            </w:r>
            <w:proofErr w:type="gramStart"/>
            <w:r>
              <w:rPr>
                <w:sz w:val="20"/>
              </w:rPr>
              <w:t>.“</w:t>
            </w:r>
            <w:proofErr w:type="gramEnd"/>
            <w:r>
              <w:rPr>
                <w:rFonts w:eastAsia="Times New Roman"/>
                <w:szCs w:val="22"/>
                <w:lang w:val="en-US"/>
              </w:rPr>
              <w:t xml:space="preserve"> </w:t>
            </w:r>
          </w:p>
        </w:tc>
        <w:bookmarkStart w:id="0" w:name="_GoBack"/>
        <w:bookmarkEnd w:id="0"/>
      </w:tr>
    </w:tbl>
    <w:p w14:paraId="2C72277B" w14:textId="77777777" w:rsidR="00F450B6" w:rsidRDefault="002F04D5" w:rsidP="009259C8">
      <w:pPr>
        <w:widowControl w:val="0"/>
        <w:autoSpaceDE w:val="0"/>
        <w:autoSpaceDN w:val="0"/>
        <w:adjustRightInd w:val="0"/>
        <w:rPr>
          <w:bCs/>
          <w:color w:val="FF0000"/>
          <w:sz w:val="20"/>
          <w:u w:val="single"/>
          <w:lang w:val="en-US" w:eastAsia="zh-CN"/>
        </w:rPr>
      </w:pPr>
      <w:r>
        <w:rPr>
          <w:bCs/>
          <w:color w:val="FF0000"/>
          <w:sz w:val="20"/>
          <w:u w:val="single"/>
          <w:lang w:val="en-US" w:eastAsia="zh-CN"/>
        </w:rPr>
        <w:t xml:space="preserve">   </w:t>
      </w:r>
    </w:p>
    <w:sectPr w:rsidR="00F450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60D93" w14:textId="77777777" w:rsidR="006A1BC7" w:rsidRDefault="006A1BC7">
      <w:r>
        <w:separator/>
      </w:r>
    </w:p>
  </w:endnote>
  <w:endnote w:type="continuationSeparator" w:id="0">
    <w:p w14:paraId="20982E45" w14:textId="77777777" w:rsidR="006A1BC7" w:rsidRDefault="006A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517E27">
    <w:pPr>
      <w:pStyle w:val="Footer"/>
      <w:tabs>
        <w:tab w:val="clear" w:pos="6480"/>
        <w:tab w:val="center" w:pos="4680"/>
        <w:tab w:val="right" w:pos="9360"/>
      </w:tabs>
    </w:pPr>
    <w:fldSimple w:instr=" SUBJECT  \* MERGEFORMAT ">
      <w:r w:rsidR="00AE02EA">
        <w:t>Submission</w:t>
      </w:r>
    </w:fldSimple>
    <w:r w:rsidR="00AE02EA">
      <w:tab/>
      <w:t xml:space="preserve">page </w:t>
    </w:r>
    <w:r w:rsidR="00AE02EA">
      <w:fldChar w:fldCharType="begin"/>
    </w:r>
    <w:r w:rsidR="00AE02EA">
      <w:instrText xml:space="preserve">page </w:instrText>
    </w:r>
    <w:r w:rsidR="00AE02EA">
      <w:fldChar w:fldCharType="separate"/>
    </w:r>
    <w:r w:rsidR="00DA18E0">
      <w:rPr>
        <w:noProof/>
      </w:rPr>
      <w:t>3</w:t>
    </w:r>
    <w:r w:rsidR="00AE02EA">
      <w:fldChar w:fldCharType="end"/>
    </w:r>
    <w:r w:rsidR="00AE02EA">
      <w:tab/>
    </w:r>
    <w:r>
      <w:fldChar w:fldCharType="begin"/>
    </w:r>
    <w:r>
      <w:instrText xml:space="preserve"> COMMENTS  \* MERGEFORMAT </w:instrText>
    </w:r>
    <w:r>
      <w:fldChar w:fldCharType="separate"/>
    </w:r>
    <w:r w:rsidR="009259C8">
      <w:t>James Wang</w:t>
    </w:r>
    <w:r w:rsidR="00784476">
      <w:t xml:space="preserve">, </w:t>
    </w:r>
    <w:proofErr w:type="spellStart"/>
    <w:r w:rsidR="009259C8">
      <w:t>Mediatek</w:t>
    </w:r>
    <w:proofErr w:type="spellEnd"/>
    <w:r>
      <w:fldChar w:fldCharType="end"/>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88F39" w14:textId="77777777" w:rsidR="006A1BC7" w:rsidRDefault="006A1BC7">
      <w:r>
        <w:separator/>
      </w:r>
    </w:p>
  </w:footnote>
  <w:footnote w:type="continuationSeparator" w:id="0">
    <w:p w14:paraId="553EF89A" w14:textId="77777777" w:rsidR="006A1BC7" w:rsidRDefault="006A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400EB130" w:rsidR="00AE02EA" w:rsidRDefault="009259C8">
    <w:pPr>
      <w:pStyle w:val="Header"/>
      <w:tabs>
        <w:tab w:val="clear" w:pos="6480"/>
        <w:tab w:val="center" w:pos="4680"/>
        <w:tab w:val="right" w:pos="9360"/>
      </w:tabs>
    </w:pPr>
    <w:r>
      <w:t>May</w:t>
    </w:r>
    <w:r w:rsidR="00DB7637">
      <w:t xml:space="preserve"> 2018</w:t>
    </w:r>
    <w:r w:rsidR="00AE02EA">
      <w:tab/>
    </w:r>
    <w:r w:rsidR="00AE02EA">
      <w:tab/>
    </w:r>
    <w:fldSimple w:instr=" TITLE  \* MERGEFORMAT ">
      <w:r w:rsidR="00AE02EA">
        <w:t>doc.: IEEE 802.11-</w:t>
      </w:r>
      <w:r w:rsidR="00DB7637">
        <w:t>18</w:t>
      </w:r>
      <w:r w:rsidR="00AE02EA">
        <w:t>/</w:t>
      </w:r>
      <w:r w:rsidR="00DB7637">
        <w:t>0</w:t>
      </w:r>
      <w:r w:rsidR="008006DF">
        <w:t>853</w:t>
      </w:r>
      <w:r w:rsidR="000F0675">
        <w:t>r</w:t>
      </w:r>
      <w:r w:rsidR="00DB7637">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4F0406C7"/>
    <w:multiLevelType w:val="hybridMultilevel"/>
    <w:tmpl w:val="A5CC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0E92"/>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78B"/>
    <w:rsid w:val="00067B51"/>
    <w:rsid w:val="00071870"/>
    <w:rsid w:val="000762BA"/>
    <w:rsid w:val="000767E6"/>
    <w:rsid w:val="00076FAB"/>
    <w:rsid w:val="000771C3"/>
    <w:rsid w:val="00077C3D"/>
    <w:rsid w:val="00080B4C"/>
    <w:rsid w:val="00084E77"/>
    <w:rsid w:val="00087E5D"/>
    <w:rsid w:val="0009259F"/>
    <w:rsid w:val="000934C4"/>
    <w:rsid w:val="000A3030"/>
    <w:rsid w:val="000C0859"/>
    <w:rsid w:val="000C0CB3"/>
    <w:rsid w:val="000D04C2"/>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0CF3"/>
    <w:rsid w:val="00217583"/>
    <w:rsid w:val="00222F05"/>
    <w:rsid w:val="0023047A"/>
    <w:rsid w:val="00231AD3"/>
    <w:rsid w:val="002405F6"/>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3934"/>
    <w:rsid w:val="002B5C52"/>
    <w:rsid w:val="002C1896"/>
    <w:rsid w:val="002C1F7A"/>
    <w:rsid w:val="002C4947"/>
    <w:rsid w:val="002C60CD"/>
    <w:rsid w:val="002D20D6"/>
    <w:rsid w:val="002D44BE"/>
    <w:rsid w:val="002E0633"/>
    <w:rsid w:val="002E23EB"/>
    <w:rsid w:val="002E6DC1"/>
    <w:rsid w:val="002E7394"/>
    <w:rsid w:val="002F04D5"/>
    <w:rsid w:val="002F2172"/>
    <w:rsid w:val="002F22BF"/>
    <w:rsid w:val="002F47FC"/>
    <w:rsid w:val="002F6FE3"/>
    <w:rsid w:val="002F7240"/>
    <w:rsid w:val="003035FF"/>
    <w:rsid w:val="003064BC"/>
    <w:rsid w:val="003157A3"/>
    <w:rsid w:val="003249B5"/>
    <w:rsid w:val="00325630"/>
    <w:rsid w:val="0032699D"/>
    <w:rsid w:val="003269C3"/>
    <w:rsid w:val="00332467"/>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3AA7"/>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232B"/>
    <w:rsid w:val="00463238"/>
    <w:rsid w:val="00463B22"/>
    <w:rsid w:val="004746C3"/>
    <w:rsid w:val="00476830"/>
    <w:rsid w:val="00477D1F"/>
    <w:rsid w:val="00481BFA"/>
    <w:rsid w:val="00485FEE"/>
    <w:rsid w:val="00486E4A"/>
    <w:rsid w:val="00486FB3"/>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17E27"/>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1BC7"/>
    <w:rsid w:val="006A33D3"/>
    <w:rsid w:val="006A484D"/>
    <w:rsid w:val="006A72F8"/>
    <w:rsid w:val="006B288B"/>
    <w:rsid w:val="006B749D"/>
    <w:rsid w:val="006C0727"/>
    <w:rsid w:val="006E0B61"/>
    <w:rsid w:val="006E145F"/>
    <w:rsid w:val="006E6A84"/>
    <w:rsid w:val="006E7582"/>
    <w:rsid w:val="006F544B"/>
    <w:rsid w:val="0070068C"/>
    <w:rsid w:val="00705EBC"/>
    <w:rsid w:val="00711A58"/>
    <w:rsid w:val="00713C50"/>
    <w:rsid w:val="00716B35"/>
    <w:rsid w:val="0071765F"/>
    <w:rsid w:val="00722C76"/>
    <w:rsid w:val="007238AE"/>
    <w:rsid w:val="007426CA"/>
    <w:rsid w:val="00746907"/>
    <w:rsid w:val="0075553C"/>
    <w:rsid w:val="00770572"/>
    <w:rsid w:val="00771622"/>
    <w:rsid w:val="00773908"/>
    <w:rsid w:val="00783EC7"/>
    <w:rsid w:val="00784476"/>
    <w:rsid w:val="00790D17"/>
    <w:rsid w:val="007A0642"/>
    <w:rsid w:val="007A0FC0"/>
    <w:rsid w:val="007A4346"/>
    <w:rsid w:val="007B1983"/>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06DF"/>
    <w:rsid w:val="008028A5"/>
    <w:rsid w:val="0080701A"/>
    <w:rsid w:val="008127A0"/>
    <w:rsid w:val="0081351A"/>
    <w:rsid w:val="0082108B"/>
    <w:rsid w:val="008217F5"/>
    <w:rsid w:val="008250AF"/>
    <w:rsid w:val="00830A77"/>
    <w:rsid w:val="00836907"/>
    <w:rsid w:val="008377BD"/>
    <w:rsid w:val="008411DD"/>
    <w:rsid w:val="00841C34"/>
    <w:rsid w:val="00852CCA"/>
    <w:rsid w:val="00876885"/>
    <w:rsid w:val="00876EE1"/>
    <w:rsid w:val="0088033F"/>
    <w:rsid w:val="00886F0F"/>
    <w:rsid w:val="008879CE"/>
    <w:rsid w:val="008908D1"/>
    <w:rsid w:val="00890A79"/>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495F"/>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14BDE"/>
    <w:rsid w:val="00A2057D"/>
    <w:rsid w:val="00A26E4E"/>
    <w:rsid w:val="00A30874"/>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AF3E4E"/>
    <w:rsid w:val="00B01405"/>
    <w:rsid w:val="00B014F2"/>
    <w:rsid w:val="00B04410"/>
    <w:rsid w:val="00B0538D"/>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A6C77"/>
    <w:rsid w:val="00BB1832"/>
    <w:rsid w:val="00BB2276"/>
    <w:rsid w:val="00BC2C6A"/>
    <w:rsid w:val="00BC45E1"/>
    <w:rsid w:val="00BC4C11"/>
    <w:rsid w:val="00BC5C48"/>
    <w:rsid w:val="00BD39F6"/>
    <w:rsid w:val="00BD60C4"/>
    <w:rsid w:val="00BE00EB"/>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55ABF"/>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5CEA"/>
    <w:rsid w:val="00CA6807"/>
    <w:rsid w:val="00CC36D5"/>
    <w:rsid w:val="00CC3FC9"/>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18E0"/>
    <w:rsid w:val="00DA6CF6"/>
    <w:rsid w:val="00DB0401"/>
    <w:rsid w:val="00DB10A7"/>
    <w:rsid w:val="00DB7637"/>
    <w:rsid w:val="00DC0766"/>
    <w:rsid w:val="00DC2D07"/>
    <w:rsid w:val="00DC3B20"/>
    <w:rsid w:val="00DC4ADC"/>
    <w:rsid w:val="00DC5A7B"/>
    <w:rsid w:val="00DC6E9C"/>
    <w:rsid w:val="00DC7A03"/>
    <w:rsid w:val="00DD6C62"/>
    <w:rsid w:val="00DE27AC"/>
    <w:rsid w:val="00DE2F9A"/>
    <w:rsid w:val="00DE42B9"/>
    <w:rsid w:val="00DE5F58"/>
    <w:rsid w:val="00DE721B"/>
    <w:rsid w:val="00DE755F"/>
    <w:rsid w:val="00DF05C8"/>
    <w:rsid w:val="00DF0DE7"/>
    <w:rsid w:val="00DF1870"/>
    <w:rsid w:val="00DF2766"/>
    <w:rsid w:val="00E000C5"/>
    <w:rsid w:val="00E01852"/>
    <w:rsid w:val="00E101E7"/>
    <w:rsid w:val="00E10702"/>
    <w:rsid w:val="00E2236C"/>
    <w:rsid w:val="00E27565"/>
    <w:rsid w:val="00E32A01"/>
    <w:rsid w:val="00E33359"/>
    <w:rsid w:val="00E346EC"/>
    <w:rsid w:val="00E3745C"/>
    <w:rsid w:val="00E37849"/>
    <w:rsid w:val="00E37D3B"/>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0B6"/>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C48D0"/>
    <w:rsid w:val="00FD594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81EC-F744-4205-AF19-14F5460D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Edward Au</cp:lastModifiedBy>
  <cp:revision>2</cp:revision>
  <cp:lastPrinted>2016-12-12T20:01:00Z</cp:lastPrinted>
  <dcterms:created xsi:type="dcterms:W3CDTF">2018-05-07T10:18:00Z</dcterms:created>
  <dcterms:modified xsi:type="dcterms:W3CDTF">2018-05-07T10:18:00Z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