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4F2E" w:rsidRPr="00B14C6C" w:rsidRDefault="009D4F2E" w:rsidP="009D4F2E">
      <w:pPr>
        <w:pStyle w:val="T1"/>
        <w:pBdr>
          <w:bottom w:val="single" w:sz="6" w:space="0" w:color="auto"/>
        </w:pBdr>
        <w:spacing w:after="240"/>
        <w:rPr>
          <w:lang w:val="en-US"/>
        </w:rPr>
      </w:pPr>
      <w:r w:rsidRPr="00B14C6C">
        <w:rPr>
          <w:lang w:val="en-US"/>
        </w:rPr>
        <w:t>IEEE P802.11</w:t>
      </w:r>
      <w:r w:rsidRPr="00B14C6C">
        <w:rPr>
          <w:lang w:val="en-US"/>
        </w:rPr>
        <w:br/>
        <w:t>Wireless LANs</w:t>
      </w: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8"/>
        <w:gridCol w:w="1167"/>
        <w:gridCol w:w="3418"/>
        <w:gridCol w:w="2117"/>
      </w:tblGrid>
      <w:tr w:rsidR="009D4F2E" w:rsidRPr="006B52A0" w:rsidTr="00AC3430">
        <w:trPr>
          <w:trHeight w:val="485"/>
          <w:jc w:val="center"/>
        </w:trPr>
        <w:tc>
          <w:tcPr>
            <w:tcW w:w="8630" w:type="dxa"/>
            <w:gridSpan w:val="4"/>
            <w:tcBorders>
              <w:top w:val="single" w:sz="4" w:space="0" w:color="auto"/>
              <w:left w:val="single" w:sz="4" w:space="0" w:color="auto"/>
              <w:bottom w:val="single" w:sz="4" w:space="0" w:color="auto"/>
              <w:right w:val="single" w:sz="4" w:space="0" w:color="auto"/>
            </w:tcBorders>
            <w:vAlign w:val="center"/>
          </w:tcPr>
          <w:p w:rsidR="009D4F2E" w:rsidRPr="00B14C6C" w:rsidRDefault="00A5558F" w:rsidP="003B6AEB">
            <w:pPr>
              <w:pStyle w:val="T2"/>
              <w:rPr>
                <w:lang w:val="en-US"/>
              </w:rPr>
            </w:pPr>
            <w:r>
              <w:rPr>
                <w:lang w:val="en-US"/>
              </w:rPr>
              <w:t xml:space="preserve">HE-SIG-B </w:t>
            </w:r>
            <w:r w:rsidR="002241B8">
              <w:rPr>
                <w:lang w:val="en-US"/>
              </w:rPr>
              <w:t>CIDs</w:t>
            </w:r>
          </w:p>
        </w:tc>
      </w:tr>
      <w:tr w:rsidR="009D4F2E" w:rsidRPr="006B52A0" w:rsidTr="00AC3430">
        <w:trPr>
          <w:trHeight w:val="359"/>
          <w:jc w:val="center"/>
        </w:trPr>
        <w:tc>
          <w:tcPr>
            <w:tcW w:w="8630" w:type="dxa"/>
            <w:gridSpan w:val="4"/>
            <w:tcBorders>
              <w:top w:val="single" w:sz="4" w:space="0" w:color="auto"/>
              <w:left w:val="single" w:sz="4" w:space="0" w:color="auto"/>
              <w:bottom w:val="single" w:sz="4" w:space="0" w:color="auto"/>
              <w:right w:val="single" w:sz="4" w:space="0" w:color="auto"/>
            </w:tcBorders>
            <w:vAlign w:val="center"/>
          </w:tcPr>
          <w:p w:rsidR="009D4F2E" w:rsidRPr="00B14C6C" w:rsidRDefault="009D4F2E" w:rsidP="00425CCF">
            <w:pPr>
              <w:pStyle w:val="T2"/>
              <w:ind w:left="0"/>
              <w:rPr>
                <w:sz w:val="20"/>
                <w:lang w:val="en-US"/>
              </w:rPr>
            </w:pPr>
            <w:r w:rsidRPr="00B14C6C">
              <w:rPr>
                <w:sz w:val="20"/>
                <w:lang w:val="en-US"/>
              </w:rPr>
              <w:t>Date:</w:t>
            </w:r>
            <w:r w:rsidRPr="00B14C6C">
              <w:rPr>
                <w:b w:val="0"/>
                <w:sz w:val="20"/>
                <w:lang w:val="en-US"/>
              </w:rPr>
              <w:t xml:space="preserve">  </w:t>
            </w:r>
            <w:r w:rsidR="008D4BEC">
              <w:rPr>
                <w:b w:val="0"/>
                <w:sz w:val="20"/>
                <w:lang w:val="en-US"/>
              </w:rPr>
              <w:t>5/1</w:t>
            </w:r>
            <w:r w:rsidR="00700C86">
              <w:rPr>
                <w:b w:val="0"/>
                <w:sz w:val="20"/>
                <w:lang w:val="en-US"/>
              </w:rPr>
              <w:t>/2018</w:t>
            </w:r>
          </w:p>
        </w:tc>
      </w:tr>
      <w:tr w:rsidR="009D4F2E" w:rsidRPr="006B52A0" w:rsidTr="00AC3430">
        <w:trPr>
          <w:cantSplit/>
          <w:jc w:val="center"/>
        </w:trPr>
        <w:tc>
          <w:tcPr>
            <w:tcW w:w="8630" w:type="dxa"/>
            <w:gridSpan w:val="4"/>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Author(s):</w:t>
            </w:r>
          </w:p>
        </w:tc>
      </w:tr>
      <w:tr w:rsidR="00AC3430" w:rsidRPr="006B52A0" w:rsidTr="00AC3430">
        <w:trPr>
          <w:jc w:val="center"/>
        </w:trPr>
        <w:tc>
          <w:tcPr>
            <w:tcW w:w="1928" w:type="dxa"/>
            <w:tcBorders>
              <w:top w:val="single" w:sz="4" w:space="0" w:color="auto"/>
              <w:left w:val="single" w:sz="4" w:space="0" w:color="auto"/>
              <w:bottom w:val="single" w:sz="4" w:space="0" w:color="auto"/>
              <w:right w:val="single" w:sz="4" w:space="0" w:color="auto"/>
            </w:tcBorders>
            <w:vAlign w:val="center"/>
          </w:tcPr>
          <w:p w:rsidR="00AC3430" w:rsidRPr="00B14C6C" w:rsidRDefault="00AC3430" w:rsidP="00871D10">
            <w:pPr>
              <w:pStyle w:val="T2"/>
              <w:spacing w:after="0"/>
              <w:ind w:left="0" w:right="0"/>
              <w:jc w:val="left"/>
              <w:rPr>
                <w:sz w:val="20"/>
                <w:lang w:val="en-US"/>
              </w:rPr>
            </w:pPr>
            <w:r w:rsidRPr="00B14C6C">
              <w:rPr>
                <w:sz w:val="20"/>
                <w:lang w:val="en-US"/>
              </w:rPr>
              <w:t>Name</w:t>
            </w:r>
          </w:p>
        </w:tc>
        <w:tc>
          <w:tcPr>
            <w:tcW w:w="1167" w:type="dxa"/>
            <w:tcBorders>
              <w:top w:val="single" w:sz="4" w:space="0" w:color="auto"/>
              <w:left w:val="single" w:sz="4" w:space="0" w:color="auto"/>
              <w:bottom w:val="single" w:sz="4" w:space="0" w:color="auto"/>
              <w:right w:val="single" w:sz="4" w:space="0" w:color="auto"/>
            </w:tcBorders>
            <w:vAlign w:val="center"/>
          </w:tcPr>
          <w:p w:rsidR="00AC3430" w:rsidRPr="00B14C6C" w:rsidRDefault="00AC3430" w:rsidP="00871D10">
            <w:pPr>
              <w:pStyle w:val="T2"/>
              <w:spacing w:after="0"/>
              <w:ind w:left="0" w:right="0"/>
              <w:jc w:val="left"/>
              <w:rPr>
                <w:sz w:val="20"/>
                <w:lang w:val="en-US"/>
              </w:rPr>
            </w:pPr>
            <w:r w:rsidRPr="00B14C6C">
              <w:rPr>
                <w:sz w:val="20"/>
                <w:lang w:val="en-US"/>
              </w:rPr>
              <w:t>Affiliation</w:t>
            </w:r>
          </w:p>
        </w:tc>
        <w:tc>
          <w:tcPr>
            <w:tcW w:w="3418" w:type="dxa"/>
            <w:tcBorders>
              <w:top w:val="single" w:sz="4" w:space="0" w:color="auto"/>
              <w:left w:val="single" w:sz="4" w:space="0" w:color="auto"/>
              <w:bottom w:val="single" w:sz="4" w:space="0" w:color="auto"/>
              <w:right w:val="single" w:sz="4" w:space="0" w:color="auto"/>
            </w:tcBorders>
            <w:vAlign w:val="center"/>
          </w:tcPr>
          <w:p w:rsidR="00AC3430" w:rsidRPr="00B14C6C" w:rsidRDefault="00AC3430" w:rsidP="00871D10">
            <w:pPr>
              <w:pStyle w:val="T2"/>
              <w:spacing w:after="0"/>
              <w:ind w:left="0" w:right="0"/>
              <w:jc w:val="left"/>
              <w:rPr>
                <w:sz w:val="20"/>
                <w:lang w:val="en-US"/>
              </w:rPr>
            </w:pPr>
            <w:r>
              <w:rPr>
                <w:sz w:val="20"/>
                <w:lang w:val="en-US"/>
              </w:rPr>
              <w:t>Address</w:t>
            </w:r>
          </w:p>
        </w:tc>
        <w:tc>
          <w:tcPr>
            <w:tcW w:w="2117" w:type="dxa"/>
            <w:tcBorders>
              <w:top w:val="single" w:sz="4" w:space="0" w:color="auto"/>
              <w:left w:val="single" w:sz="4" w:space="0" w:color="auto"/>
              <w:bottom w:val="single" w:sz="4" w:space="0" w:color="auto"/>
              <w:right w:val="single" w:sz="4" w:space="0" w:color="auto"/>
            </w:tcBorders>
            <w:vAlign w:val="center"/>
          </w:tcPr>
          <w:p w:rsidR="00AC3430" w:rsidRPr="00B14C6C" w:rsidRDefault="00AC3430" w:rsidP="00871D10">
            <w:pPr>
              <w:pStyle w:val="T2"/>
              <w:spacing w:after="0"/>
              <w:ind w:left="0" w:right="0"/>
              <w:jc w:val="left"/>
              <w:rPr>
                <w:sz w:val="20"/>
                <w:lang w:val="en-US"/>
              </w:rPr>
            </w:pPr>
            <w:r w:rsidRPr="00B14C6C">
              <w:rPr>
                <w:sz w:val="20"/>
                <w:lang w:val="en-US"/>
              </w:rPr>
              <w:t>Email</w:t>
            </w:r>
          </w:p>
        </w:tc>
      </w:tr>
      <w:tr w:rsidR="00AC3430" w:rsidRPr="006B52A0" w:rsidTr="00E86D0C">
        <w:trPr>
          <w:jc w:val="center"/>
        </w:trPr>
        <w:tc>
          <w:tcPr>
            <w:tcW w:w="1928" w:type="dxa"/>
            <w:tcBorders>
              <w:top w:val="single" w:sz="4" w:space="0" w:color="auto"/>
              <w:left w:val="single" w:sz="4" w:space="0" w:color="auto"/>
              <w:bottom w:val="single" w:sz="4" w:space="0" w:color="auto"/>
              <w:right w:val="single" w:sz="4" w:space="0" w:color="auto"/>
            </w:tcBorders>
            <w:vAlign w:val="center"/>
          </w:tcPr>
          <w:p w:rsidR="00AC3430" w:rsidRPr="00B14C6C" w:rsidRDefault="00AC3430" w:rsidP="00871D10">
            <w:pPr>
              <w:pStyle w:val="T2"/>
              <w:spacing w:after="0"/>
              <w:ind w:left="0" w:right="0"/>
              <w:rPr>
                <w:b w:val="0"/>
                <w:sz w:val="20"/>
                <w:lang w:val="en-US"/>
              </w:rPr>
            </w:pPr>
            <w:r>
              <w:rPr>
                <w:b w:val="0"/>
                <w:sz w:val="20"/>
                <w:lang w:val="en-US"/>
              </w:rPr>
              <w:t>Sigurd Schelstraete</w:t>
            </w:r>
          </w:p>
        </w:tc>
        <w:tc>
          <w:tcPr>
            <w:tcW w:w="1167" w:type="dxa"/>
            <w:tcBorders>
              <w:top w:val="single" w:sz="4" w:space="0" w:color="auto"/>
              <w:left w:val="single" w:sz="4" w:space="0" w:color="auto"/>
              <w:bottom w:val="single" w:sz="4" w:space="0" w:color="auto"/>
              <w:right w:val="single" w:sz="4" w:space="0" w:color="auto"/>
            </w:tcBorders>
            <w:vAlign w:val="center"/>
          </w:tcPr>
          <w:p w:rsidR="00AC3430" w:rsidRPr="00B14C6C" w:rsidRDefault="00AC3430" w:rsidP="00871D10">
            <w:pPr>
              <w:pStyle w:val="T2"/>
              <w:spacing w:after="0"/>
              <w:ind w:left="0" w:right="0"/>
              <w:rPr>
                <w:b w:val="0"/>
                <w:sz w:val="20"/>
                <w:lang w:val="en-US"/>
              </w:rPr>
            </w:pPr>
            <w:r>
              <w:rPr>
                <w:b w:val="0"/>
                <w:sz w:val="20"/>
                <w:lang w:val="en-US"/>
              </w:rPr>
              <w:t>Quantenna</w:t>
            </w:r>
          </w:p>
        </w:tc>
        <w:tc>
          <w:tcPr>
            <w:tcW w:w="3418" w:type="dxa"/>
            <w:tcBorders>
              <w:top w:val="single" w:sz="4" w:space="0" w:color="auto"/>
              <w:left w:val="single" w:sz="4" w:space="0" w:color="auto"/>
              <w:bottom w:val="single" w:sz="4" w:space="0" w:color="auto"/>
              <w:right w:val="single" w:sz="4" w:space="0" w:color="auto"/>
            </w:tcBorders>
            <w:vAlign w:val="center"/>
          </w:tcPr>
          <w:p w:rsidR="00AC3430" w:rsidRPr="00B14C6C" w:rsidRDefault="00AC3430" w:rsidP="00AC3430">
            <w:pPr>
              <w:pStyle w:val="T2"/>
              <w:spacing w:after="0"/>
              <w:ind w:left="0" w:right="0"/>
              <w:rPr>
                <w:b w:val="0"/>
                <w:sz w:val="20"/>
                <w:lang w:val="en-US"/>
              </w:rPr>
            </w:pPr>
            <w:r>
              <w:rPr>
                <w:b w:val="0"/>
                <w:sz w:val="20"/>
                <w:lang w:val="en-US"/>
              </w:rPr>
              <w:t xml:space="preserve">1704 Automation Pkwy, </w:t>
            </w:r>
            <w:r>
              <w:rPr>
                <w:b w:val="0"/>
                <w:sz w:val="20"/>
                <w:lang w:val="en-US"/>
              </w:rPr>
              <w:br/>
              <w:t>San Jose, CA 95131</w:t>
            </w:r>
          </w:p>
        </w:tc>
        <w:tc>
          <w:tcPr>
            <w:tcW w:w="2117" w:type="dxa"/>
            <w:tcBorders>
              <w:top w:val="single" w:sz="4" w:space="0" w:color="auto"/>
              <w:left w:val="single" w:sz="4" w:space="0" w:color="auto"/>
              <w:bottom w:val="single" w:sz="4" w:space="0" w:color="auto"/>
              <w:right w:val="single" w:sz="4" w:space="0" w:color="auto"/>
            </w:tcBorders>
            <w:vAlign w:val="center"/>
          </w:tcPr>
          <w:p w:rsidR="00AC3430" w:rsidRPr="00C450CF" w:rsidRDefault="00121ED3" w:rsidP="00871D10">
            <w:pPr>
              <w:pStyle w:val="T2"/>
              <w:spacing w:after="0"/>
              <w:ind w:left="0" w:right="0"/>
              <w:rPr>
                <w:b w:val="0"/>
                <w:sz w:val="20"/>
                <w:lang w:val="en-US"/>
              </w:rPr>
            </w:pPr>
            <w:hyperlink r:id="rId8" w:history="1">
              <w:r w:rsidR="00AC3430" w:rsidRPr="00863250">
                <w:rPr>
                  <w:rStyle w:val="Hyperlink"/>
                  <w:b w:val="0"/>
                  <w:sz w:val="20"/>
                  <w:lang w:val="en-US"/>
                </w:rPr>
                <w:t>sigurd@quantenna.com</w:t>
              </w:r>
            </w:hyperlink>
          </w:p>
        </w:tc>
      </w:tr>
    </w:tbl>
    <w:p w:rsidR="009D4F2E" w:rsidRPr="00B14C6C" w:rsidRDefault="00C10B98" w:rsidP="009D4F2E">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0" allowOverlap="1" wp14:anchorId="59755A7F" wp14:editId="061DA596">
                <wp:simplePos x="0" y="0"/>
                <wp:positionH relativeFrom="column">
                  <wp:posOffset>-69850</wp:posOffset>
                </wp:positionH>
                <wp:positionV relativeFrom="paragraph">
                  <wp:posOffset>208280</wp:posOffset>
                </wp:positionV>
                <wp:extent cx="5943600" cy="1884680"/>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84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1ED3" w:rsidRDefault="00121ED3" w:rsidP="009D4F2E">
                            <w:pPr>
                              <w:pStyle w:val="T1"/>
                              <w:spacing w:after="120"/>
                            </w:pPr>
                            <w:r>
                              <w:t>Abstract</w:t>
                            </w:r>
                          </w:p>
                          <w:p w:rsidR="00121ED3" w:rsidRDefault="00121ED3" w:rsidP="00A5558F">
                            <w:r>
                              <w:t>This submission proposes resolutions for CIDs 14075, 14078, 14079 and 14083.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755A7F" id="_x0000_t202" coordsize="21600,21600" o:spt="202" path="m,l,21600r21600,l21600,xe">
                <v:stroke joinstyle="miter"/>
                <v:path gradientshapeok="t" o:connecttype="rect"/>
              </v:shapetype>
              <v:shape id="Text Box 2" o:spid="_x0000_s1026" type="#_x0000_t202" style="position:absolute;left:0;text-align:left;margin-left:-5.5pt;margin-top:16.4pt;width:468pt;height:14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" o:allowincell="f" stroked="f">
                <v:textbox>
                  <w:txbxContent>
                    <w:p w:rsidR="00121ED3" w:rsidRDefault="00121ED3" w:rsidP="009D4F2E">
                      <w:pPr>
                        <w:pStyle w:val="T1"/>
                        <w:spacing w:after="120"/>
                      </w:pPr>
                      <w:r>
                        <w:t>Abstract</w:t>
                      </w:r>
                    </w:p>
                    <w:p w:rsidR="00121ED3" w:rsidRDefault="00121ED3" w:rsidP="00A5558F">
                      <w:r>
                        <w:t>This submission proposes resolutions for CIDs 14075, 14078, 14079 and 14083.</w:t>
                      </w:r>
                    </w:p>
                  </w:txbxContent>
                </v:textbox>
              </v:shape>
            </w:pict>
          </mc:Fallback>
        </mc:AlternateContent>
      </w:r>
    </w:p>
    <w:p w:rsidR="00700C86" w:rsidRDefault="009645E9" w:rsidP="00700C86">
      <w:r>
        <w:t>CID 166</w:t>
      </w:r>
      <w:r w:rsidR="009D4F2E" w:rsidRPr="00B14C6C">
        <w:br w:type="page"/>
      </w:r>
    </w:p>
    <w:p w:rsidR="00E42D09" w:rsidRDefault="00F7453E" w:rsidP="00E36CB1">
      <w:pPr>
        <w:pStyle w:val="Heading1"/>
      </w:pPr>
      <w:r>
        <w:lastRenderedPageBreak/>
        <w:t>Introduction</w:t>
      </w:r>
    </w:p>
    <w:tbl>
      <w:tblPr>
        <w:tblStyle w:val="TableGrid"/>
        <w:tblW w:w="11070" w:type="dxa"/>
        <w:tblInd w:w="-1265" w:type="dxa"/>
        <w:tblLook w:val="04A0" w:firstRow="1" w:lastRow="0" w:firstColumn="1" w:lastColumn="0" w:noHBand="0" w:noVBand="1"/>
      </w:tblPr>
      <w:tblGrid>
        <w:gridCol w:w="774"/>
        <w:gridCol w:w="846"/>
        <w:gridCol w:w="1227"/>
        <w:gridCol w:w="2741"/>
        <w:gridCol w:w="2741"/>
        <w:gridCol w:w="2741"/>
      </w:tblGrid>
      <w:tr w:rsidR="00D61903" w:rsidRPr="00D61903" w:rsidTr="00D61903">
        <w:trPr>
          <w:trHeight w:val="620"/>
        </w:trPr>
        <w:tc>
          <w:tcPr>
            <w:tcW w:w="774" w:type="dxa"/>
          </w:tcPr>
          <w:p w:rsidR="00D61903" w:rsidRPr="00D61903" w:rsidRDefault="00D61903" w:rsidP="00D61903">
            <w:pPr>
              <w:jc w:val="center"/>
              <w:rPr>
                <w:b/>
              </w:rPr>
            </w:pPr>
            <w:r w:rsidRPr="00D61903">
              <w:rPr>
                <w:b/>
              </w:rPr>
              <w:t>CID</w:t>
            </w:r>
          </w:p>
        </w:tc>
        <w:tc>
          <w:tcPr>
            <w:tcW w:w="846" w:type="dxa"/>
          </w:tcPr>
          <w:p w:rsidR="00D61903" w:rsidRPr="00D61903" w:rsidRDefault="00D61903" w:rsidP="00D61903">
            <w:pPr>
              <w:jc w:val="center"/>
              <w:rPr>
                <w:b/>
              </w:rPr>
            </w:pPr>
            <w:r w:rsidRPr="00D61903">
              <w:rPr>
                <w:b/>
              </w:rPr>
              <w:t>Page/</w:t>
            </w:r>
            <w:r w:rsidRPr="00D61903">
              <w:rPr>
                <w:b/>
              </w:rPr>
              <w:br/>
              <w:t>Line</w:t>
            </w:r>
          </w:p>
        </w:tc>
        <w:tc>
          <w:tcPr>
            <w:tcW w:w="1227" w:type="dxa"/>
          </w:tcPr>
          <w:p w:rsidR="00D61903" w:rsidRPr="00D61903" w:rsidRDefault="00D61903" w:rsidP="00D61903">
            <w:pPr>
              <w:jc w:val="center"/>
              <w:rPr>
                <w:b/>
              </w:rPr>
            </w:pPr>
            <w:r w:rsidRPr="00D61903">
              <w:rPr>
                <w:b/>
              </w:rPr>
              <w:t>Section</w:t>
            </w:r>
          </w:p>
        </w:tc>
        <w:tc>
          <w:tcPr>
            <w:tcW w:w="2741" w:type="dxa"/>
          </w:tcPr>
          <w:p w:rsidR="00D61903" w:rsidRPr="00D61903" w:rsidRDefault="00D61903" w:rsidP="00D61903">
            <w:pPr>
              <w:jc w:val="center"/>
              <w:rPr>
                <w:b/>
              </w:rPr>
            </w:pPr>
            <w:r w:rsidRPr="00D61903">
              <w:rPr>
                <w:b/>
              </w:rPr>
              <w:t>Comment</w:t>
            </w:r>
          </w:p>
        </w:tc>
        <w:tc>
          <w:tcPr>
            <w:tcW w:w="2741" w:type="dxa"/>
          </w:tcPr>
          <w:p w:rsidR="00D61903" w:rsidRPr="00D61903" w:rsidRDefault="00D61903" w:rsidP="00D61903">
            <w:pPr>
              <w:jc w:val="center"/>
              <w:rPr>
                <w:b/>
              </w:rPr>
            </w:pPr>
            <w:r>
              <w:rPr>
                <w:b/>
              </w:rPr>
              <w:t>Proposed Change</w:t>
            </w:r>
          </w:p>
        </w:tc>
        <w:tc>
          <w:tcPr>
            <w:tcW w:w="2741" w:type="dxa"/>
          </w:tcPr>
          <w:p w:rsidR="00D61903" w:rsidRPr="00D61903" w:rsidRDefault="00D61903" w:rsidP="00D61903">
            <w:pPr>
              <w:jc w:val="center"/>
              <w:rPr>
                <w:b/>
              </w:rPr>
            </w:pPr>
            <w:r>
              <w:rPr>
                <w:b/>
              </w:rPr>
              <w:t>Proposed Resolution</w:t>
            </w:r>
          </w:p>
        </w:tc>
      </w:tr>
      <w:tr w:rsidR="00D61903" w:rsidRPr="00E36CB1" w:rsidTr="00D61903">
        <w:trPr>
          <w:trHeight w:val="1530"/>
        </w:trPr>
        <w:tc>
          <w:tcPr>
            <w:tcW w:w="774" w:type="dxa"/>
            <w:hideMark/>
          </w:tcPr>
          <w:p w:rsidR="00D61903" w:rsidRPr="00E36CB1" w:rsidRDefault="00D61903" w:rsidP="00D61903">
            <w:r w:rsidRPr="00E36CB1">
              <w:t>14075</w:t>
            </w:r>
          </w:p>
        </w:tc>
        <w:tc>
          <w:tcPr>
            <w:tcW w:w="846" w:type="dxa"/>
            <w:hideMark/>
          </w:tcPr>
          <w:p w:rsidR="00D61903" w:rsidRPr="00E36CB1" w:rsidRDefault="00D61903" w:rsidP="00D61903">
            <w:r w:rsidRPr="00E36CB1">
              <w:t>423.01</w:t>
            </w:r>
          </w:p>
        </w:tc>
        <w:tc>
          <w:tcPr>
            <w:tcW w:w="1227" w:type="dxa"/>
            <w:hideMark/>
          </w:tcPr>
          <w:p w:rsidR="00D61903" w:rsidRPr="00E36CB1" w:rsidRDefault="00D61903" w:rsidP="00D61903">
            <w:r w:rsidRPr="00E36CB1">
              <w:t>28.3.10.8.3</w:t>
            </w:r>
          </w:p>
        </w:tc>
        <w:tc>
          <w:tcPr>
            <w:tcW w:w="2741" w:type="dxa"/>
            <w:hideMark/>
          </w:tcPr>
          <w:p w:rsidR="00D61903" w:rsidRPr="00E36CB1" w:rsidRDefault="00D61903" w:rsidP="00D61903">
            <w:r w:rsidRPr="00E36CB1">
              <w:t>HE-SIG-B of an 80 MHz PPDU has total 256 tones including DC and guard tones.  So, saying that HE-SIG-B occupies tones [-500:-259] and duplicated on [17:258] is incorrect.  Similar comment on P423L54.</w:t>
            </w:r>
          </w:p>
        </w:tc>
        <w:tc>
          <w:tcPr>
            <w:tcW w:w="2741" w:type="dxa"/>
            <w:hideMark/>
          </w:tcPr>
          <w:p w:rsidR="00D61903" w:rsidRPr="00E36CB1" w:rsidRDefault="00D61903" w:rsidP="00D61903">
            <w:r w:rsidRPr="00E36CB1">
              <w:t>Either fix the tone indices used by HE-SIG-B content channels.</w:t>
            </w:r>
          </w:p>
        </w:tc>
        <w:tc>
          <w:tcPr>
            <w:tcW w:w="2741" w:type="dxa"/>
          </w:tcPr>
          <w:p w:rsidR="00D61903" w:rsidRDefault="00D61903" w:rsidP="00D61903">
            <w:r>
              <w:t xml:space="preserve">Revised: </w:t>
            </w:r>
          </w:p>
          <w:p w:rsidR="00D61903" w:rsidRPr="00E36CB1" w:rsidRDefault="00D61903" w:rsidP="00D61903">
            <w:r>
              <w:t>resolved by changes in D2.3. See resolution of CIDs 13368 and 11408.</w:t>
            </w:r>
          </w:p>
        </w:tc>
      </w:tr>
      <w:tr w:rsidR="00D61903" w:rsidRPr="00E36CB1" w:rsidTr="00D61903">
        <w:trPr>
          <w:trHeight w:val="1530"/>
        </w:trPr>
        <w:tc>
          <w:tcPr>
            <w:tcW w:w="774" w:type="dxa"/>
            <w:hideMark/>
          </w:tcPr>
          <w:p w:rsidR="00D61903" w:rsidRPr="00E36CB1" w:rsidRDefault="00D61903" w:rsidP="00D61903">
            <w:r w:rsidRPr="00E36CB1">
              <w:t>14078</w:t>
            </w:r>
          </w:p>
        </w:tc>
        <w:tc>
          <w:tcPr>
            <w:tcW w:w="846" w:type="dxa"/>
            <w:hideMark/>
          </w:tcPr>
          <w:p w:rsidR="00D61903" w:rsidRPr="00E36CB1" w:rsidRDefault="00D61903" w:rsidP="00D61903">
            <w:r w:rsidRPr="00E36CB1">
              <w:t>424.05</w:t>
            </w:r>
          </w:p>
        </w:tc>
        <w:tc>
          <w:tcPr>
            <w:tcW w:w="1227" w:type="dxa"/>
            <w:hideMark/>
          </w:tcPr>
          <w:p w:rsidR="00D61903" w:rsidRPr="00E36CB1" w:rsidRDefault="00D61903" w:rsidP="00D61903">
            <w:r w:rsidRPr="00E36CB1">
              <w:t>28.3.10.8.3</w:t>
            </w:r>
          </w:p>
        </w:tc>
        <w:tc>
          <w:tcPr>
            <w:tcW w:w="2741" w:type="dxa"/>
            <w:hideMark/>
          </w:tcPr>
          <w:p w:rsidR="00D61903" w:rsidRPr="00E36CB1" w:rsidRDefault="00D61903" w:rsidP="00D61903">
            <w:r w:rsidRPr="00E36CB1">
              <w:t>What is "signaling"?</w:t>
            </w:r>
          </w:p>
        </w:tc>
        <w:tc>
          <w:tcPr>
            <w:tcW w:w="2741" w:type="dxa"/>
            <w:hideMark/>
          </w:tcPr>
          <w:p w:rsidR="00D61903" w:rsidRPr="00E36CB1" w:rsidRDefault="00D61903" w:rsidP="00D61903">
            <w:r w:rsidRPr="00E36CB1">
              <w:t>Clarify the meaning of "the signaling is carried in both HE-SIG-B content channels placed</w:t>
            </w:r>
            <w:r w:rsidRPr="00E36CB1">
              <w:br/>
              <w:t>in the order of the absolute subcarrier index."</w:t>
            </w:r>
          </w:p>
        </w:tc>
        <w:tc>
          <w:tcPr>
            <w:tcW w:w="2741" w:type="dxa"/>
          </w:tcPr>
          <w:p w:rsidR="00D61903" w:rsidRDefault="00390597" w:rsidP="00D61903">
            <w:r>
              <w:t>Revised:</w:t>
            </w:r>
          </w:p>
          <w:p w:rsidR="00390597" w:rsidRPr="00E36CB1" w:rsidRDefault="00390597" w:rsidP="00D61903">
            <w:r>
              <w:t>Make text modifications as shown in 802.11-18/</w:t>
            </w:r>
            <w:r w:rsidR="00C94A7F">
              <w:t>0815r0</w:t>
            </w:r>
          </w:p>
        </w:tc>
      </w:tr>
      <w:tr w:rsidR="00D61903" w:rsidRPr="00E36CB1" w:rsidTr="00D61903">
        <w:trPr>
          <w:trHeight w:val="1785"/>
        </w:trPr>
        <w:tc>
          <w:tcPr>
            <w:tcW w:w="774" w:type="dxa"/>
            <w:hideMark/>
          </w:tcPr>
          <w:p w:rsidR="00D61903" w:rsidRPr="00E36CB1" w:rsidRDefault="00D61903" w:rsidP="00D61903">
            <w:r w:rsidRPr="00E36CB1">
              <w:t>14079</w:t>
            </w:r>
          </w:p>
        </w:tc>
        <w:tc>
          <w:tcPr>
            <w:tcW w:w="846" w:type="dxa"/>
            <w:hideMark/>
          </w:tcPr>
          <w:p w:rsidR="00D61903" w:rsidRPr="00E36CB1" w:rsidRDefault="00D61903" w:rsidP="00D61903">
            <w:r w:rsidRPr="00E36CB1">
              <w:t>424.46</w:t>
            </w:r>
          </w:p>
        </w:tc>
        <w:tc>
          <w:tcPr>
            <w:tcW w:w="1227" w:type="dxa"/>
            <w:hideMark/>
          </w:tcPr>
          <w:p w:rsidR="00D61903" w:rsidRPr="00E36CB1" w:rsidRDefault="00D61903" w:rsidP="00D61903">
            <w:r w:rsidRPr="00E36CB1">
              <w:t>28.3.10.8.3</w:t>
            </w:r>
          </w:p>
        </w:tc>
        <w:tc>
          <w:tcPr>
            <w:tcW w:w="2741" w:type="dxa"/>
            <w:hideMark/>
          </w:tcPr>
          <w:p w:rsidR="00D61903" w:rsidRPr="00E36CB1" w:rsidRDefault="00D61903" w:rsidP="00D61903">
            <w:r w:rsidRPr="00E36CB1">
              <w:t>What does "punctured 20 MHz channels removed" mean?  For example, in case of BW field = 4 in HE-SIGA for HE MU PPDU, do the two HE-SIG-B content channels both have two RU Allocation tables?  Similar comment on P424L53.</w:t>
            </w:r>
          </w:p>
        </w:tc>
        <w:tc>
          <w:tcPr>
            <w:tcW w:w="2741" w:type="dxa"/>
            <w:hideMark/>
          </w:tcPr>
          <w:p w:rsidR="00D61903" w:rsidRPr="00E36CB1" w:rsidRDefault="00D61903" w:rsidP="00D61903">
            <w:r w:rsidRPr="00E36CB1">
              <w:t>Clarify what "punctured 20 MHz channels removed" means.</w:t>
            </w:r>
          </w:p>
        </w:tc>
        <w:tc>
          <w:tcPr>
            <w:tcW w:w="2741" w:type="dxa"/>
          </w:tcPr>
          <w:p w:rsidR="00390597" w:rsidRDefault="00390597" w:rsidP="00390597">
            <w:r>
              <w:t>Revised:</w:t>
            </w:r>
          </w:p>
          <w:p w:rsidR="00D61903" w:rsidRPr="00E36CB1" w:rsidRDefault="00390597" w:rsidP="00390597">
            <w:r>
              <w:t>Make text modifications as shown in 802.11-18/</w:t>
            </w:r>
            <w:r w:rsidR="00C94A7F">
              <w:t>0815r0</w:t>
            </w:r>
          </w:p>
        </w:tc>
      </w:tr>
      <w:tr w:rsidR="00D61903" w:rsidRPr="00E36CB1" w:rsidTr="00D61903">
        <w:trPr>
          <w:trHeight w:val="510"/>
        </w:trPr>
        <w:tc>
          <w:tcPr>
            <w:tcW w:w="774" w:type="dxa"/>
            <w:hideMark/>
          </w:tcPr>
          <w:p w:rsidR="00D61903" w:rsidRPr="00E36CB1" w:rsidRDefault="00D61903" w:rsidP="00D61903">
            <w:r w:rsidRPr="00E36CB1">
              <w:t>14083</w:t>
            </w:r>
          </w:p>
        </w:tc>
        <w:tc>
          <w:tcPr>
            <w:tcW w:w="846" w:type="dxa"/>
            <w:hideMark/>
          </w:tcPr>
          <w:p w:rsidR="00D61903" w:rsidRPr="00E36CB1" w:rsidRDefault="00D61903" w:rsidP="00D61903">
            <w:r w:rsidRPr="00E36CB1">
              <w:t>432.32</w:t>
            </w:r>
          </w:p>
        </w:tc>
        <w:tc>
          <w:tcPr>
            <w:tcW w:w="1227" w:type="dxa"/>
            <w:hideMark/>
          </w:tcPr>
          <w:p w:rsidR="00D61903" w:rsidRPr="00E36CB1" w:rsidRDefault="00D61903" w:rsidP="00D61903">
            <w:r w:rsidRPr="00E36CB1">
              <w:t>28.3.10.8.6</w:t>
            </w:r>
          </w:p>
        </w:tc>
        <w:tc>
          <w:tcPr>
            <w:tcW w:w="2741" w:type="dxa"/>
            <w:hideMark/>
          </w:tcPr>
          <w:p w:rsidR="00D61903" w:rsidRPr="00E36CB1" w:rsidRDefault="00D61903" w:rsidP="00D61903">
            <w:r w:rsidRPr="00E36CB1">
              <w:t>What does "load bala</w:t>
            </w:r>
            <w:r>
              <w:t>n</w:t>
            </w:r>
            <w:r w:rsidRPr="00E36CB1">
              <w:t>cing for RUs" mean?</w:t>
            </w:r>
          </w:p>
        </w:tc>
        <w:tc>
          <w:tcPr>
            <w:tcW w:w="2741" w:type="dxa"/>
            <w:hideMark/>
          </w:tcPr>
          <w:p w:rsidR="00D61903" w:rsidRPr="00E36CB1" w:rsidRDefault="00D61903" w:rsidP="00D61903">
            <w:r w:rsidRPr="00E36CB1">
              <w:t>Clarify what "load balancing" is.</w:t>
            </w:r>
          </w:p>
        </w:tc>
        <w:tc>
          <w:tcPr>
            <w:tcW w:w="2741" w:type="dxa"/>
          </w:tcPr>
          <w:p w:rsidR="00390597" w:rsidRDefault="00390597" w:rsidP="00390597">
            <w:r>
              <w:t>Revised:</w:t>
            </w:r>
          </w:p>
          <w:p w:rsidR="00390597" w:rsidRDefault="00390597" w:rsidP="00390597">
            <w:r>
              <w:t>resolved by CID 11496.</w:t>
            </w:r>
          </w:p>
          <w:p w:rsidR="00D61903" w:rsidRPr="00E36CB1" w:rsidRDefault="00D61903" w:rsidP="00D61903"/>
        </w:tc>
      </w:tr>
    </w:tbl>
    <w:p w:rsidR="00D61903" w:rsidRDefault="00D61903" w:rsidP="00D61903"/>
    <w:p w:rsidR="00D61903" w:rsidRDefault="00D61903" w:rsidP="00D61903">
      <w:pPr>
        <w:pStyle w:val="Heading1"/>
      </w:pPr>
      <w:r>
        <w:lastRenderedPageBreak/>
        <w:t>Discussion and proposed resolutions</w:t>
      </w:r>
    </w:p>
    <w:p w:rsidR="00A5558F" w:rsidRPr="00A5558F" w:rsidRDefault="00A5558F" w:rsidP="00E149A5">
      <w:pPr>
        <w:pStyle w:val="Heading2"/>
      </w:pPr>
      <w:r>
        <w:t>CID 14075</w:t>
      </w:r>
    </w:p>
    <w:tbl>
      <w:tblPr>
        <w:tblStyle w:val="TableGrid"/>
        <w:tblW w:w="0" w:type="auto"/>
        <w:tblLook w:val="04A0" w:firstRow="1" w:lastRow="0" w:firstColumn="1" w:lastColumn="0" w:noHBand="0" w:noVBand="1"/>
      </w:tblPr>
      <w:tblGrid>
        <w:gridCol w:w="774"/>
        <w:gridCol w:w="893"/>
        <w:gridCol w:w="673"/>
        <w:gridCol w:w="1234"/>
        <w:gridCol w:w="2844"/>
        <w:gridCol w:w="2212"/>
      </w:tblGrid>
      <w:tr w:rsidR="00E36CB1" w:rsidRPr="00E36CB1" w:rsidTr="00D61903">
        <w:trPr>
          <w:trHeight w:val="1530"/>
        </w:trPr>
        <w:tc>
          <w:tcPr>
            <w:tcW w:w="774" w:type="dxa"/>
            <w:hideMark/>
          </w:tcPr>
          <w:p w:rsidR="00E36CB1" w:rsidRPr="00E36CB1" w:rsidRDefault="00E36CB1" w:rsidP="00E36CB1">
            <w:r w:rsidRPr="00E36CB1">
              <w:t>14075</w:t>
            </w:r>
          </w:p>
        </w:tc>
        <w:tc>
          <w:tcPr>
            <w:tcW w:w="893" w:type="dxa"/>
            <w:hideMark/>
          </w:tcPr>
          <w:p w:rsidR="00E36CB1" w:rsidRPr="00E36CB1" w:rsidRDefault="00E36CB1" w:rsidP="00E36CB1">
            <w:r w:rsidRPr="00E36CB1">
              <w:t>423.01</w:t>
            </w:r>
          </w:p>
        </w:tc>
        <w:tc>
          <w:tcPr>
            <w:tcW w:w="673" w:type="dxa"/>
            <w:hideMark/>
          </w:tcPr>
          <w:p w:rsidR="00E36CB1" w:rsidRPr="00E36CB1" w:rsidRDefault="00E36CB1">
            <w:r w:rsidRPr="00E36CB1">
              <w:t>1</w:t>
            </w:r>
          </w:p>
        </w:tc>
        <w:tc>
          <w:tcPr>
            <w:tcW w:w="1234" w:type="dxa"/>
            <w:hideMark/>
          </w:tcPr>
          <w:p w:rsidR="00E36CB1" w:rsidRPr="00E36CB1" w:rsidRDefault="00E36CB1">
            <w:r w:rsidRPr="00E36CB1">
              <w:t>28.3.10.8.3</w:t>
            </w:r>
          </w:p>
        </w:tc>
        <w:tc>
          <w:tcPr>
            <w:tcW w:w="2844" w:type="dxa"/>
            <w:hideMark/>
          </w:tcPr>
          <w:p w:rsidR="00E36CB1" w:rsidRPr="00E36CB1" w:rsidRDefault="00E36CB1">
            <w:r w:rsidRPr="00E36CB1">
              <w:t>HE-SIG-B of an 80 MHz PPDU has total 256 tones including DC and guard tones.  So, saying that HE-SIG-B occupies tones [-500:-259] and duplicated on [17:258] is incorrect.  Similar comment on P423L54.</w:t>
            </w:r>
          </w:p>
        </w:tc>
        <w:tc>
          <w:tcPr>
            <w:tcW w:w="2212" w:type="dxa"/>
            <w:hideMark/>
          </w:tcPr>
          <w:p w:rsidR="00E36CB1" w:rsidRPr="00E36CB1" w:rsidRDefault="00E36CB1">
            <w:r w:rsidRPr="00E36CB1">
              <w:t>Either fix the tone indices used by HE-SIG-B content channels.</w:t>
            </w:r>
          </w:p>
        </w:tc>
      </w:tr>
    </w:tbl>
    <w:p w:rsidR="002C51D9" w:rsidRPr="00325198" w:rsidRDefault="002C51D9" w:rsidP="00E36CB1">
      <w:pPr>
        <w:rPr>
          <w:b/>
        </w:rPr>
      </w:pPr>
      <w:r w:rsidRPr="00325198">
        <w:rPr>
          <w:b/>
        </w:rPr>
        <w:t>Discussion</w:t>
      </w:r>
    </w:p>
    <w:p w:rsidR="00E36CB1" w:rsidRDefault="002C51D9" w:rsidP="00E36CB1">
      <w:r>
        <w:t xml:space="preserve">The commenter is correct. The text seems to confuse the tones occupied by HE-SIG-B (which uses “legacy” tone width) with the tones that correspond to 242-tone RUs. The </w:t>
      </w:r>
      <w:r w:rsidR="008E3C15">
        <w:t>same</w:t>
      </w:r>
      <w:r>
        <w:t xml:space="preserve"> mistake appears in several places in this se</w:t>
      </w:r>
      <w:r w:rsidR="008E3C15">
        <w:t>c</w:t>
      </w:r>
      <w:r>
        <w:t>tion and in Figures 28-26, 28-27, 28-28 and 28-29.</w:t>
      </w:r>
    </w:p>
    <w:p w:rsidR="002C51D9" w:rsidRDefault="008E3C15" w:rsidP="00E36CB1">
      <w:r>
        <w:t xml:space="preserve">However, the text has been updated between draft 2.0 and draft 2.3 to remove references to the tones </w:t>
      </w:r>
      <w:r w:rsidRPr="00E36CB1">
        <w:t>[-500:-259]</w:t>
      </w:r>
      <w:r>
        <w:t xml:space="preserve">, </w:t>
      </w:r>
      <w:r w:rsidRPr="00E36CB1">
        <w:t>[17:258]</w:t>
      </w:r>
      <w:r>
        <w:t>, etc …</w:t>
      </w:r>
    </w:p>
    <w:p w:rsidR="008E3C15" w:rsidRDefault="008E3C15" w:rsidP="00E36CB1">
      <w:r>
        <w:t>The same section now reads:</w:t>
      </w:r>
    </w:p>
    <w:p w:rsidR="008E3C15" w:rsidRDefault="008E3C15" w:rsidP="00E36CB1">
      <w:r>
        <w:rPr>
          <w:noProof/>
        </w:rPr>
        <w:drawing>
          <wp:inline distT="0" distB="0" distL="0" distR="0" wp14:anchorId="18B1A275" wp14:editId="6FC5D61C">
            <wp:extent cx="5486400" cy="11150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86400" cy="1115060"/>
                    </a:xfrm>
                    <a:prstGeom prst="rect">
                      <a:avLst/>
                    </a:prstGeom>
                  </pic:spPr>
                </pic:pic>
              </a:graphicData>
            </a:graphic>
          </wp:inline>
        </w:drawing>
      </w:r>
    </w:p>
    <w:p w:rsidR="008E3C15" w:rsidRDefault="008E3C15" w:rsidP="008E3C15">
      <w:r>
        <w:t>References to tones have also been removed from Figures 28-26, 28-27, 28-28 and 28-29.</w:t>
      </w:r>
    </w:p>
    <w:p w:rsidR="008E3C15" w:rsidRPr="00325198" w:rsidRDefault="008E3C15" w:rsidP="00E36CB1">
      <w:pPr>
        <w:rPr>
          <w:b/>
        </w:rPr>
      </w:pPr>
      <w:r w:rsidRPr="00325198">
        <w:rPr>
          <w:b/>
        </w:rPr>
        <w:t>Resolution</w:t>
      </w:r>
    </w:p>
    <w:p w:rsidR="008E3C15" w:rsidRDefault="008E3C15" w:rsidP="00E36CB1">
      <w:r>
        <w:t>Revised: resolved by changes in D2.3. See resolution of CIDs 13368 and 11408.</w:t>
      </w:r>
    </w:p>
    <w:p w:rsidR="002C51D9" w:rsidRDefault="002C51D9" w:rsidP="00E36CB1"/>
    <w:p w:rsidR="00A5558F" w:rsidRDefault="00A5558F" w:rsidP="00A5558F">
      <w:pPr>
        <w:pStyle w:val="Heading2"/>
      </w:pPr>
      <w:r>
        <w:t>CID 14078</w:t>
      </w:r>
    </w:p>
    <w:tbl>
      <w:tblPr>
        <w:tblStyle w:val="TableGrid"/>
        <w:tblW w:w="0" w:type="auto"/>
        <w:tblLook w:val="04A0" w:firstRow="1" w:lastRow="0" w:firstColumn="1" w:lastColumn="0" w:noHBand="0" w:noVBand="1"/>
      </w:tblPr>
      <w:tblGrid>
        <w:gridCol w:w="775"/>
        <w:gridCol w:w="892"/>
        <w:gridCol w:w="667"/>
        <w:gridCol w:w="1233"/>
        <w:gridCol w:w="2852"/>
        <w:gridCol w:w="2211"/>
      </w:tblGrid>
      <w:tr w:rsidR="00E36CB1" w:rsidRPr="00E36CB1" w:rsidTr="00E149A5">
        <w:trPr>
          <w:trHeight w:val="1530"/>
        </w:trPr>
        <w:tc>
          <w:tcPr>
            <w:tcW w:w="775" w:type="dxa"/>
            <w:hideMark/>
          </w:tcPr>
          <w:p w:rsidR="00E36CB1" w:rsidRPr="00E36CB1" w:rsidRDefault="00E36CB1" w:rsidP="00E36CB1">
            <w:r w:rsidRPr="00E36CB1">
              <w:t>14078</w:t>
            </w:r>
          </w:p>
        </w:tc>
        <w:tc>
          <w:tcPr>
            <w:tcW w:w="892" w:type="dxa"/>
            <w:hideMark/>
          </w:tcPr>
          <w:p w:rsidR="00E36CB1" w:rsidRPr="00E36CB1" w:rsidRDefault="00E36CB1" w:rsidP="00E36CB1">
            <w:r w:rsidRPr="00E36CB1">
              <w:t>424.05</w:t>
            </w:r>
          </w:p>
        </w:tc>
        <w:tc>
          <w:tcPr>
            <w:tcW w:w="667" w:type="dxa"/>
            <w:hideMark/>
          </w:tcPr>
          <w:p w:rsidR="00E36CB1" w:rsidRPr="00E36CB1" w:rsidRDefault="00E36CB1">
            <w:r w:rsidRPr="00E36CB1">
              <w:t>5</w:t>
            </w:r>
          </w:p>
        </w:tc>
        <w:tc>
          <w:tcPr>
            <w:tcW w:w="1233" w:type="dxa"/>
            <w:hideMark/>
          </w:tcPr>
          <w:p w:rsidR="00E36CB1" w:rsidRPr="00E36CB1" w:rsidRDefault="00E36CB1">
            <w:r w:rsidRPr="00E36CB1">
              <w:t>28.3.10.8.3</w:t>
            </w:r>
          </w:p>
        </w:tc>
        <w:tc>
          <w:tcPr>
            <w:tcW w:w="2852" w:type="dxa"/>
            <w:hideMark/>
          </w:tcPr>
          <w:p w:rsidR="00E36CB1" w:rsidRPr="00E36CB1" w:rsidRDefault="00E36CB1">
            <w:r w:rsidRPr="00E36CB1">
              <w:t>What is "signaling"?</w:t>
            </w:r>
          </w:p>
        </w:tc>
        <w:tc>
          <w:tcPr>
            <w:tcW w:w="2211" w:type="dxa"/>
            <w:hideMark/>
          </w:tcPr>
          <w:p w:rsidR="00E36CB1" w:rsidRPr="00E36CB1" w:rsidRDefault="00E36CB1">
            <w:r w:rsidRPr="00E36CB1">
              <w:t>Clarify the meaning of "the signaling is carried in both HE-SIG-B content channels placed</w:t>
            </w:r>
            <w:r w:rsidRPr="00E36CB1">
              <w:br/>
              <w:t xml:space="preserve">in the order of the </w:t>
            </w:r>
            <w:r w:rsidRPr="00E36CB1">
              <w:lastRenderedPageBreak/>
              <w:t>absolute subcarrier index."</w:t>
            </w:r>
          </w:p>
        </w:tc>
      </w:tr>
    </w:tbl>
    <w:p w:rsidR="00E36CB1" w:rsidRDefault="00E36CB1" w:rsidP="00E36CB1"/>
    <w:p w:rsidR="00F35128" w:rsidRPr="00325198" w:rsidRDefault="00F35128" w:rsidP="00E36CB1">
      <w:pPr>
        <w:rPr>
          <w:b/>
        </w:rPr>
      </w:pPr>
      <w:r w:rsidRPr="00325198">
        <w:rPr>
          <w:b/>
        </w:rPr>
        <w:t>Discussion</w:t>
      </w:r>
    </w:p>
    <w:p w:rsidR="00325198" w:rsidRDefault="00325198" w:rsidP="00E36CB1">
      <w:r>
        <w:t xml:space="preserve">The sentence referred to in CID 14078 is shown below in context. </w:t>
      </w:r>
    </w:p>
    <w:p w:rsidR="00F35128" w:rsidRDefault="00F35128" w:rsidP="00E36CB1">
      <w:r>
        <w:rPr>
          <w:noProof/>
        </w:rPr>
        <w:drawing>
          <wp:inline distT="0" distB="0" distL="0" distR="0" wp14:anchorId="5C0AD3D9" wp14:editId="4825EFDE">
            <wp:extent cx="5486400" cy="83121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86400" cy="831215"/>
                    </a:xfrm>
                    <a:prstGeom prst="rect">
                      <a:avLst/>
                    </a:prstGeom>
                  </pic:spPr>
                </pic:pic>
              </a:graphicData>
            </a:graphic>
          </wp:inline>
        </w:drawing>
      </w:r>
    </w:p>
    <w:p w:rsidR="00F35128" w:rsidRDefault="00325198" w:rsidP="00E36CB1">
      <w:r>
        <w:t>The text deals with the case of an RU that overlaps with two (or more) of the 20 MHz segments. In that case, there should be an RU allocation subfield entry in each of the content channels. Note that the text above specifically deals with 160 MHz. For 80</w:t>
      </w:r>
      <w:r w:rsidR="00F35128">
        <w:t xml:space="preserve"> MHz, the </w:t>
      </w:r>
      <w:r>
        <w:t>corresponding text has already been cleaned up and modified. It reads</w:t>
      </w:r>
      <w:r w:rsidR="00F35128">
        <w:t>:</w:t>
      </w:r>
    </w:p>
    <w:p w:rsidR="00F35128" w:rsidRDefault="00F35128" w:rsidP="00E36CB1">
      <w:r>
        <w:rPr>
          <w:noProof/>
        </w:rPr>
        <w:drawing>
          <wp:inline distT="0" distB="0" distL="0" distR="0" wp14:anchorId="461CF063" wp14:editId="60B948FE">
            <wp:extent cx="5486400" cy="9550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86400" cy="955040"/>
                    </a:xfrm>
                    <a:prstGeom prst="rect">
                      <a:avLst/>
                    </a:prstGeom>
                  </pic:spPr>
                </pic:pic>
              </a:graphicData>
            </a:graphic>
          </wp:inline>
        </w:drawing>
      </w:r>
    </w:p>
    <w:p w:rsidR="00F35128" w:rsidRDefault="00325198" w:rsidP="00E36CB1">
      <w:r>
        <w:t>So, s</w:t>
      </w:r>
      <w:r w:rsidR="00DB4CC7">
        <w:t>ome effort has already been made to improve the wording for the case of a</w:t>
      </w:r>
      <w:r w:rsidR="00853034">
        <w:t>n</w:t>
      </w:r>
      <w:r w:rsidR="00DB4CC7">
        <w:t xml:space="preserve"> 80 MHz PPDU, but even there, the reference to frequency segment may not be appropriate. We propose to modify the language of the 80 MHz case and </w:t>
      </w:r>
      <w:r w:rsidR="00853034">
        <w:t xml:space="preserve">then </w:t>
      </w:r>
      <w:r w:rsidR="00DB4CC7">
        <w:t xml:space="preserve">use </w:t>
      </w:r>
      <w:r w:rsidR="00853034">
        <w:t xml:space="preserve">similar, </w:t>
      </w:r>
      <w:r>
        <w:t>consistent</w:t>
      </w:r>
      <w:r w:rsidR="00DB4CC7">
        <w:t xml:space="preserve"> language for 160 MHz.</w:t>
      </w:r>
    </w:p>
    <w:p w:rsidR="00DB4CC7" w:rsidRDefault="00DB4CC7" w:rsidP="00E36CB1">
      <w:r>
        <w:t>The proposed text update is shown below.</w:t>
      </w:r>
    </w:p>
    <w:p w:rsidR="00325198" w:rsidRPr="00325198" w:rsidRDefault="00325198" w:rsidP="00E36CB1">
      <w:pPr>
        <w:rPr>
          <w:b/>
        </w:rPr>
      </w:pPr>
      <w:r w:rsidRPr="00325198">
        <w:rPr>
          <w:b/>
        </w:rPr>
        <w:t>Proposed text modifications</w:t>
      </w:r>
      <w:r>
        <w:rPr>
          <w:b/>
        </w:rPr>
        <w:t xml:space="preserve"> (page 468, line 22 to page 469, line 3</w:t>
      </w:r>
      <w:r w:rsidR="006D601D">
        <w:rPr>
          <w:b/>
        </w:rPr>
        <w:t xml:space="preserve"> of D2.3</w:t>
      </w:r>
      <w:r>
        <w:rPr>
          <w:b/>
        </w:rPr>
        <w:t>)</w:t>
      </w:r>
    </w:p>
    <w:p w:rsidR="00325198" w:rsidRDefault="00325198" w:rsidP="00325198">
      <w:pPr>
        <w:rPr>
          <w:sz w:val="20"/>
          <w:szCs w:val="20"/>
        </w:rPr>
      </w:pPr>
      <w:r>
        <w:rPr>
          <w:sz w:val="20"/>
          <w:szCs w:val="20"/>
        </w:rPr>
        <w:t xml:space="preserve">The 80 MHz PPDU contains two HE-SIG-B content channels each of which are duplicated once as shown in Figure 28-28 (Mapping of the two HE-SIG-B content channels and their duplication in an 80 MHz PPDU when the SIGB Compression field in the HE-SIG-A field of an HE MU PPDU is set to 0(#11438)). HE-SIG-B content channel 1 occupies the 20 MHz frequency segment that is lowest in frequency and is duplicated on the 20 MHz frequency segment that is third lowest in frequency. HE-SIG-B content channel 2 occupies the 20 MHz frequency segment that is second lowest in frequency and is duplicated on the 20 MHz frequency segment that is fourth lowest in frequency. (#13368, #11408) </w:t>
      </w:r>
    </w:p>
    <w:p w:rsidR="00325198" w:rsidRPr="005C6E28" w:rsidRDefault="00325198" w:rsidP="00325198">
      <w:pPr>
        <w:rPr>
          <w:color w:val="FF0000"/>
          <w:sz w:val="20"/>
          <w:szCs w:val="20"/>
          <w:u w:val="single"/>
        </w:rPr>
      </w:pPr>
      <w:r>
        <w:rPr>
          <w:sz w:val="20"/>
          <w:szCs w:val="20"/>
        </w:rPr>
        <w:t xml:space="preserve">The first HE-SIG-B content channel </w:t>
      </w:r>
      <w:r w:rsidRPr="00FB698D">
        <w:rPr>
          <w:strike/>
          <w:color w:val="FF0000"/>
          <w:sz w:val="20"/>
          <w:szCs w:val="20"/>
        </w:rPr>
        <w:t>appearing in the 20 MHz segments</w:t>
      </w:r>
      <w:r>
        <w:rPr>
          <w:sz w:val="20"/>
          <w:szCs w:val="20"/>
        </w:rPr>
        <w:t xml:space="preserve"> of the 80 MHz PPDU carries a Common field and User Specific field corresponding to RUs </w:t>
      </w:r>
      <w:r w:rsidRPr="00FB698D">
        <w:rPr>
          <w:color w:val="FF0000"/>
          <w:sz w:val="20"/>
          <w:szCs w:val="20"/>
          <w:u w:val="single"/>
        </w:rPr>
        <w:t>signaled in the Common field</w:t>
      </w:r>
      <w:r>
        <w:rPr>
          <w:sz w:val="20"/>
          <w:szCs w:val="20"/>
        </w:rPr>
        <w:t>.</w:t>
      </w:r>
      <w:r w:rsidRPr="00FB698D">
        <w:rPr>
          <w:strike/>
          <w:color w:val="FF0000"/>
          <w:sz w:val="20"/>
          <w:szCs w:val="20"/>
        </w:rPr>
        <w:t>with subcarriers indices that overlap those frequency segments.</w:t>
      </w:r>
      <w:r>
        <w:rPr>
          <w:sz w:val="20"/>
          <w:szCs w:val="20"/>
        </w:rPr>
        <w:t xml:space="preserve"> The Common field of HE-SIG-B content channel 1 contains the following: an RU Allocation subfield for RUs with subcarrier indices in the range [-500:-259] or overlapping with [-500:-259] if the RU is larger than 242 subcarriers, followed by a second RU Allocation </w:t>
      </w:r>
      <w:r>
        <w:rPr>
          <w:sz w:val="20"/>
          <w:szCs w:val="20"/>
        </w:rPr>
        <w:lastRenderedPageBreak/>
        <w:t xml:space="preserve">subfield for RUs with subcarrier indices in the range [17:258] or overlapping with [17:258] if the RU is larger than 242 subcarriers </w:t>
      </w:r>
      <w:r w:rsidRPr="00537705">
        <w:rPr>
          <w:strike/>
          <w:color w:val="FF0000"/>
          <w:sz w:val="20"/>
          <w:szCs w:val="20"/>
        </w:rPr>
        <w:t>and</w:t>
      </w:r>
      <w:r w:rsidRPr="00537705">
        <w:rPr>
          <w:color w:val="FF0000"/>
          <w:sz w:val="20"/>
          <w:szCs w:val="20"/>
          <w:u w:val="single"/>
        </w:rPr>
        <w:t>,</w:t>
      </w:r>
      <w:r w:rsidRPr="00537705">
        <w:rPr>
          <w:color w:val="FF0000"/>
          <w:sz w:val="20"/>
          <w:szCs w:val="20"/>
        </w:rPr>
        <w:t xml:space="preserve"> </w:t>
      </w:r>
      <w:r w:rsidRPr="00537705">
        <w:rPr>
          <w:color w:val="FF0000"/>
          <w:sz w:val="20"/>
          <w:szCs w:val="20"/>
          <w:u w:val="single"/>
        </w:rPr>
        <w:t xml:space="preserve">followed by a </w:t>
      </w:r>
      <w:r>
        <w:rPr>
          <w:sz w:val="20"/>
          <w:szCs w:val="20"/>
        </w:rPr>
        <w:t xml:space="preserve">1 bit Center 26-tone RU subfield to indicate the presence of the User field corresponding to the center 26-tone RU that spans subcarriers [-16:-4, 4:16].(#13465, #14076) </w:t>
      </w:r>
    </w:p>
    <w:p w:rsidR="00325198" w:rsidRDefault="00325198" w:rsidP="00325198">
      <w:pPr>
        <w:rPr>
          <w:sz w:val="20"/>
          <w:szCs w:val="20"/>
        </w:rPr>
      </w:pPr>
      <w:r>
        <w:rPr>
          <w:sz w:val="20"/>
          <w:szCs w:val="20"/>
        </w:rPr>
        <w:t xml:space="preserve">The second HE-SIG-B content channel of the 80 MHz PPDU carries a Common field and User Specific field corresponding to RUs </w:t>
      </w:r>
      <w:r w:rsidRPr="00FB698D">
        <w:rPr>
          <w:color w:val="FF0000"/>
          <w:sz w:val="20"/>
          <w:szCs w:val="20"/>
          <w:u w:val="single"/>
        </w:rPr>
        <w:t>signaled in the Common field</w:t>
      </w:r>
      <w:r>
        <w:rPr>
          <w:sz w:val="20"/>
          <w:szCs w:val="20"/>
        </w:rPr>
        <w:t xml:space="preserve"> </w:t>
      </w:r>
      <w:r w:rsidRPr="00FB698D">
        <w:rPr>
          <w:strike/>
          <w:color w:val="FF0000"/>
          <w:sz w:val="20"/>
          <w:szCs w:val="20"/>
        </w:rPr>
        <w:t>with subcarrier indices that fall in those segments</w:t>
      </w:r>
      <w:r>
        <w:rPr>
          <w:sz w:val="20"/>
          <w:szCs w:val="20"/>
        </w:rPr>
        <w:t xml:space="preserve">. The Common field of HE-SIG-B content channel 2 contains the following: an RU Allocation field for RUs whose subcarrier indices fall in the range [-258:-17] or overlapping with [-258:-17] if the RU is larger than 242 subcarriers, followed by a second RU Allocation field for RUs with subcarrier indices in the range [259:500] or overlapping with [259:500] if the RU is larger than 242 subcarriers </w:t>
      </w:r>
      <w:r w:rsidRPr="00537705">
        <w:rPr>
          <w:strike/>
          <w:color w:val="FF0000"/>
          <w:sz w:val="20"/>
          <w:szCs w:val="20"/>
        </w:rPr>
        <w:t>and</w:t>
      </w:r>
      <w:r w:rsidRPr="00537705">
        <w:rPr>
          <w:color w:val="FF0000"/>
          <w:sz w:val="20"/>
          <w:szCs w:val="20"/>
          <w:u w:val="single"/>
        </w:rPr>
        <w:t>,</w:t>
      </w:r>
      <w:r w:rsidRPr="00537705">
        <w:rPr>
          <w:color w:val="FF0000"/>
          <w:sz w:val="20"/>
          <w:szCs w:val="20"/>
        </w:rPr>
        <w:t xml:space="preserve"> </w:t>
      </w:r>
      <w:r w:rsidRPr="00537705">
        <w:rPr>
          <w:color w:val="FF0000"/>
          <w:sz w:val="20"/>
          <w:szCs w:val="20"/>
          <w:u w:val="single"/>
        </w:rPr>
        <w:t xml:space="preserve">followed by a </w:t>
      </w:r>
      <w:r>
        <w:rPr>
          <w:sz w:val="20"/>
          <w:szCs w:val="20"/>
        </w:rPr>
        <w:t xml:space="preserve">1 bit Center 26-tone RU subfield to indicate the presence of a User field corresponding to the center 26-tone RU that spans subcarriers [-16:-4, 4:16].(#14076) </w:t>
      </w:r>
      <w:r w:rsidRPr="00FB698D">
        <w:rPr>
          <w:strike/>
          <w:color w:val="FF0000"/>
          <w:sz w:val="20"/>
          <w:szCs w:val="20"/>
        </w:rPr>
        <w:t>When an RU overlaps with more than one frequency segment, it has an RU Allocation sub-field for each of the frequency segments with which it overlaps</w:t>
      </w:r>
      <w:r>
        <w:rPr>
          <w:sz w:val="20"/>
          <w:szCs w:val="20"/>
        </w:rPr>
        <w:t xml:space="preserve">. </w:t>
      </w:r>
    </w:p>
    <w:p w:rsidR="00325198" w:rsidRDefault="00325198" w:rsidP="00325198">
      <w:pPr>
        <w:rPr>
          <w:sz w:val="20"/>
          <w:szCs w:val="20"/>
        </w:rPr>
      </w:pPr>
      <w:r>
        <w:rPr>
          <w:color w:val="FF0000"/>
          <w:sz w:val="20"/>
          <w:szCs w:val="20"/>
          <w:u w:val="single"/>
        </w:rPr>
        <w:t xml:space="preserve">If a single RU overlaps with more than one of the tone </w:t>
      </w:r>
      <w:r w:rsidRPr="00CD6080">
        <w:rPr>
          <w:color w:val="FF0000"/>
          <w:sz w:val="20"/>
          <w:szCs w:val="20"/>
          <w:u w:val="single"/>
        </w:rPr>
        <w:t>ranges [-500:-259], [-258:-17], [17:258] or [259:500], it shall have an RU allocation subfield in the respective content channels for each of the ranges with which it overlaps.</w:t>
      </w:r>
    </w:p>
    <w:p w:rsidR="00325198" w:rsidRDefault="00325198" w:rsidP="00325198">
      <w:pPr>
        <w:rPr>
          <w:sz w:val="20"/>
          <w:szCs w:val="20"/>
        </w:rPr>
      </w:pPr>
      <w:r>
        <w:rPr>
          <w:sz w:val="20"/>
          <w:szCs w:val="20"/>
        </w:rPr>
        <w:t>Each signaling for the presence of the User field corresponding to a center 26-tone RU of the 80 MHz PPDU carries the same value in both HE-SIG-B content channels. When assigned, the User field corresponding to the center 26-tone RU that spans subcarriers [-16:-4, 4:16] is carried as the last User field in the HE-SIG-B content channel 1.(#14077, #11409, #13369)</w:t>
      </w:r>
    </w:p>
    <w:p w:rsidR="00325198" w:rsidRDefault="00C61DBE" w:rsidP="00325198">
      <w:pPr>
        <w:rPr>
          <w:sz w:val="20"/>
          <w:szCs w:val="20"/>
        </w:rPr>
      </w:pPr>
      <w:r>
        <w:rPr>
          <w:sz w:val="20"/>
          <w:szCs w:val="20"/>
        </w:rPr>
        <w:t>(…)</w:t>
      </w:r>
    </w:p>
    <w:p w:rsidR="00325198" w:rsidRDefault="00325198" w:rsidP="00325198">
      <w:pPr>
        <w:rPr>
          <w:sz w:val="20"/>
          <w:szCs w:val="20"/>
        </w:rPr>
      </w:pPr>
      <w:r>
        <w:rPr>
          <w:sz w:val="20"/>
          <w:szCs w:val="20"/>
        </w:rPr>
        <w:t xml:space="preserve">The 160 MHz PPDU contains two HE-SIG-B content channels each of which are duplicated four times as shown in Figure 28-29 (Mapping of the two HE-SIG-B content channels and their duplication in a 160 MHz PPDU when the SIGB Compression field in the HE-SIG-A field of an HE MU PPDU is set to 0(#11439)). HE-SIG-B content channel 1 occupies the 20 MHz frequency segment that is lowest in frequency and is duplicated on the 20 MHz frequency segments that are third, fifth and seventh lowest in frequency. HE-SIG-B content channel 2 occupies the 20 MHz frequency segment that is second lowest in frequency and is duplicated on the 20 MHz frequency segments that are fourth, sixth and eighth lowest in frequency.(#13368, #11410) </w:t>
      </w:r>
    </w:p>
    <w:p w:rsidR="00325198" w:rsidRPr="00537705" w:rsidRDefault="00325198" w:rsidP="00325198">
      <w:pPr>
        <w:rPr>
          <w:color w:val="FF0000"/>
          <w:sz w:val="20"/>
          <w:szCs w:val="20"/>
          <w:u w:val="single"/>
        </w:rPr>
      </w:pPr>
      <w:r w:rsidRPr="00537705">
        <w:rPr>
          <w:color w:val="FF0000"/>
          <w:sz w:val="20"/>
          <w:szCs w:val="20"/>
          <w:u w:val="single"/>
        </w:rPr>
        <w:t xml:space="preserve">The </w:t>
      </w:r>
      <w:r>
        <w:rPr>
          <w:color w:val="FF0000"/>
          <w:sz w:val="20"/>
          <w:szCs w:val="20"/>
          <w:u w:val="single"/>
        </w:rPr>
        <w:t>first</w:t>
      </w:r>
      <w:r w:rsidRPr="00537705">
        <w:rPr>
          <w:color w:val="FF0000"/>
          <w:sz w:val="20"/>
          <w:szCs w:val="20"/>
          <w:u w:val="single"/>
        </w:rPr>
        <w:t xml:space="preserve"> HE-SIG-B content channel of a 160 MHz PPDU carries a Common field and User Specific field corresponding to RUs signaled in the Common field. The Common field of HE-SIG-B content channel 1 contains the following: an RU Allocation subfield for RUs with subcarrier indices in the range [-</w:t>
      </w:r>
      <w:r>
        <w:rPr>
          <w:color w:val="FF0000"/>
          <w:sz w:val="20"/>
          <w:szCs w:val="20"/>
          <w:u w:val="single"/>
        </w:rPr>
        <w:t>1012:-771</w:t>
      </w:r>
      <w:r w:rsidRPr="00537705">
        <w:rPr>
          <w:color w:val="FF0000"/>
          <w:sz w:val="20"/>
          <w:szCs w:val="20"/>
          <w:u w:val="single"/>
        </w:rPr>
        <w:t>] or overlapping with [-</w:t>
      </w:r>
      <w:r>
        <w:rPr>
          <w:color w:val="FF0000"/>
          <w:sz w:val="20"/>
          <w:szCs w:val="20"/>
          <w:u w:val="single"/>
        </w:rPr>
        <w:t>1012:-771</w:t>
      </w:r>
      <w:r w:rsidRPr="00537705">
        <w:rPr>
          <w:color w:val="FF0000"/>
          <w:sz w:val="20"/>
          <w:szCs w:val="20"/>
          <w:u w:val="single"/>
        </w:rPr>
        <w:t xml:space="preserve">] if the RU is larger than 242 subcarriers, followed by a second RU Allocation subfield for RUs with subcarrier indices in the range </w:t>
      </w:r>
      <w:r>
        <w:rPr>
          <w:color w:val="FF0000"/>
          <w:sz w:val="20"/>
          <w:szCs w:val="20"/>
          <w:u w:val="single"/>
        </w:rPr>
        <w:t>[-495:-254</w:t>
      </w:r>
      <w:r w:rsidRPr="00537705">
        <w:rPr>
          <w:color w:val="FF0000"/>
          <w:sz w:val="20"/>
          <w:szCs w:val="20"/>
          <w:u w:val="single"/>
        </w:rPr>
        <w:t xml:space="preserve">] or overlapping with </w:t>
      </w:r>
      <w:r>
        <w:rPr>
          <w:color w:val="FF0000"/>
          <w:sz w:val="20"/>
          <w:szCs w:val="20"/>
          <w:u w:val="single"/>
        </w:rPr>
        <w:t>[-495:-254</w:t>
      </w:r>
      <w:r w:rsidRPr="00537705">
        <w:rPr>
          <w:color w:val="FF0000"/>
          <w:sz w:val="20"/>
          <w:szCs w:val="20"/>
          <w:u w:val="single"/>
        </w:rPr>
        <w:t>] if the RU is larger than 242 subcarriers,  followed by a third RU Allocation subfield for RUs with subcarrier indices in the range [</w:t>
      </w:r>
      <w:r>
        <w:rPr>
          <w:color w:val="FF0000"/>
          <w:sz w:val="20"/>
          <w:szCs w:val="20"/>
          <w:u w:val="single"/>
        </w:rPr>
        <w:t>12:253</w:t>
      </w:r>
      <w:r w:rsidRPr="00537705">
        <w:rPr>
          <w:color w:val="FF0000"/>
          <w:sz w:val="20"/>
          <w:szCs w:val="20"/>
          <w:u w:val="single"/>
        </w:rPr>
        <w:t>] or overlapping with [</w:t>
      </w:r>
      <w:r>
        <w:rPr>
          <w:color w:val="FF0000"/>
          <w:sz w:val="20"/>
          <w:szCs w:val="20"/>
          <w:u w:val="single"/>
        </w:rPr>
        <w:t>12:253</w:t>
      </w:r>
      <w:r w:rsidRPr="00537705">
        <w:rPr>
          <w:color w:val="FF0000"/>
          <w:sz w:val="20"/>
          <w:szCs w:val="20"/>
          <w:u w:val="single"/>
        </w:rPr>
        <w:t>] if the RU is larger than 242 subcarriers,  followed by a fourth RU Allocation subfield for RUs with subcarrier indices in the range [</w:t>
      </w:r>
      <w:r>
        <w:rPr>
          <w:color w:val="FF0000"/>
          <w:sz w:val="20"/>
          <w:szCs w:val="20"/>
          <w:u w:val="single"/>
        </w:rPr>
        <w:t>529:770</w:t>
      </w:r>
      <w:r w:rsidRPr="00537705">
        <w:rPr>
          <w:color w:val="FF0000"/>
          <w:sz w:val="20"/>
          <w:szCs w:val="20"/>
          <w:u w:val="single"/>
        </w:rPr>
        <w:t>] or overlapping with [</w:t>
      </w:r>
      <w:r>
        <w:rPr>
          <w:color w:val="FF0000"/>
          <w:sz w:val="20"/>
          <w:szCs w:val="20"/>
          <w:u w:val="single"/>
        </w:rPr>
        <w:t>529:770</w:t>
      </w:r>
      <w:r w:rsidRPr="00537705">
        <w:rPr>
          <w:color w:val="FF0000"/>
          <w:sz w:val="20"/>
          <w:szCs w:val="20"/>
          <w:u w:val="single"/>
        </w:rPr>
        <w:t xml:space="preserve">] if the RU is larger than 242 subcarriers, followed by 1 bit Center 26-tone RU subfield to indicate the presence of the User field corresponding to the center 26-tone RU that spans subcarriers </w:t>
      </w:r>
      <w:r w:rsidRPr="006B6A53">
        <w:rPr>
          <w:color w:val="FF0000"/>
          <w:sz w:val="20"/>
          <w:szCs w:val="20"/>
          <w:u w:val="single"/>
        </w:rPr>
        <w:t>[-528:-516, -508:-496].</w:t>
      </w:r>
    </w:p>
    <w:p w:rsidR="00325198" w:rsidRDefault="00325198" w:rsidP="00325198">
      <w:pPr>
        <w:rPr>
          <w:color w:val="FF0000"/>
          <w:sz w:val="20"/>
          <w:szCs w:val="20"/>
          <w:u w:val="single"/>
        </w:rPr>
      </w:pPr>
      <w:r>
        <w:rPr>
          <w:sz w:val="20"/>
          <w:szCs w:val="20"/>
        </w:rPr>
        <w:t xml:space="preserve">The </w:t>
      </w:r>
      <w:r>
        <w:rPr>
          <w:color w:val="FF0000"/>
          <w:sz w:val="20"/>
          <w:szCs w:val="20"/>
          <w:u w:val="single"/>
        </w:rPr>
        <w:t>second</w:t>
      </w:r>
      <w:r w:rsidRPr="00FB698D">
        <w:rPr>
          <w:color w:val="FF0000"/>
          <w:sz w:val="20"/>
          <w:szCs w:val="20"/>
          <w:u w:val="single"/>
        </w:rPr>
        <w:t xml:space="preserve"> </w:t>
      </w:r>
      <w:r>
        <w:rPr>
          <w:sz w:val="20"/>
          <w:szCs w:val="20"/>
        </w:rPr>
        <w:t xml:space="preserve">HE-SIG-B content channel </w:t>
      </w:r>
      <w:r w:rsidRPr="00FB698D">
        <w:rPr>
          <w:strike/>
          <w:color w:val="FF0000"/>
          <w:sz w:val="20"/>
          <w:szCs w:val="20"/>
        </w:rPr>
        <w:t xml:space="preserve">1 </w:t>
      </w:r>
      <w:r>
        <w:rPr>
          <w:sz w:val="20"/>
          <w:szCs w:val="20"/>
        </w:rPr>
        <w:t xml:space="preserve">of a 160 MHz PPDU carries </w:t>
      </w:r>
      <w:r w:rsidRPr="00FB698D">
        <w:rPr>
          <w:color w:val="FF0000"/>
          <w:sz w:val="20"/>
          <w:szCs w:val="20"/>
          <w:u w:val="single"/>
        </w:rPr>
        <w:t>a Common field and User Specific field corresponding to RUs signaled in the Common field</w:t>
      </w:r>
      <w:r>
        <w:rPr>
          <w:color w:val="FF0000"/>
          <w:sz w:val="20"/>
          <w:szCs w:val="20"/>
          <w:u w:val="single"/>
        </w:rPr>
        <w:t xml:space="preserve">. </w:t>
      </w:r>
      <w:r w:rsidRPr="00FB698D">
        <w:rPr>
          <w:color w:val="FF0000"/>
          <w:sz w:val="20"/>
          <w:szCs w:val="20"/>
          <w:u w:val="single"/>
        </w:rPr>
        <w:t xml:space="preserve">The Common field of HE-SIG-B content channel </w:t>
      </w:r>
      <w:r>
        <w:rPr>
          <w:color w:val="FF0000"/>
          <w:sz w:val="20"/>
          <w:szCs w:val="20"/>
          <w:u w:val="single"/>
        </w:rPr>
        <w:t>2</w:t>
      </w:r>
      <w:r w:rsidRPr="00FB698D">
        <w:rPr>
          <w:color w:val="FF0000"/>
          <w:sz w:val="20"/>
          <w:szCs w:val="20"/>
          <w:u w:val="single"/>
        </w:rPr>
        <w:t xml:space="preserve"> contains the following: an RU Allocation subfield for RUs with subcarrier indices in the range [-</w:t>
      </w:r>
      <w:r>
        <w:rPr>
          <w:color w:val="FF0000"/>
          <w:sz w:val="20"/>
          <w:szCs w:val="20"/>
          <w:u w:val="single"/>
        </w:rPr>
        <w:t>770</w:t>
      </w:r>
      <w:r w:rsidRPr="00FB698D">
        <w:rPr>
          <w:color w:val="FF0000"/>
          <w:sz w:val="20"/>
          <w:szCs w:val="20"/>
          <w:u w:val="single"/>
        </w:rPr>
        <w:t>:-</w:t>
      </w:r>
      <w:r>
        <w:rPr>
          <w:color w:val="FF0000"/>
          <w:sz w:val="20"/>
          <w:szCs w:val="20"/>
          <w:u w:val="single"/>
        </w:rPr>
        <w:t>529</w:t>
      </w:r>
      <w:r w:rsidRPr="00FB698D">
        <w:rPr>
          <w:color w:val="FF0000"/>
          <w:sz w:val="20"/>
          <w:szCs w:val="20"/>
          <w:u w:val="single"/>
        </w:rPr>
        <w:t xml:space="preserve">] </w:t>
      </w:r>
      <w:r w:rsidRPr="00FB698D">
        <w:rPr>
          <w:color w:val="FF0000"/>
          <w:sz w:val="20"/>
          <w:szCs w:val="20"/>
          <w:u w:val="single"/>
        </w:rPr>
        <w:lastRenderedPageBreak/>
        <w:t>or overlapping with [-</w:t>
      </w:r>
      <w:r>
        <w:rPr>
          <w:color w:val="FF0000"/>
          <w:sz w:val="20"/>
          <w:szCs w:val="20"/>
          <w:u w:val="single"/>
        </w:rPr>
        <w:t>770</w:t>
      </w:r>
      <w:r w:rsidRPr="00FB698D">
        <w:rPr>
          <w:color w:val="FF0000"/>
          <w:sz w:val="20"/>
          <w:szCs w:val="20"/>
          <w:u w:val="single"/>
        </w:rPr>
        <w:t>:-</w:t>
      </w:r>
      <w:r>
        <w:rPr>
          <w:color w:val="FF0000"/>
          <w:sz w:val="20"/>
          <w:szCs w:val="20"/>
          <w:u w:val="single"/>
        </w:rPr>
        <w:t>529</w:t>
      </w:r>
      <w:r w:rsidRPr="00FB698D">
        <w:rPr>
          <w:color w:val="FF0000"/>
          <w:sz w:val="20"/>
          <w:szCs w:val="20"/>
          <w:u w:val="single"/>
        </w:rPr>
        <w:t>] if the RU is larger than 242 subcarriers, followed by a second RU Allocation subfield for RUs with subcarrier indices in the range [</w:t>
      </w:r>
      <w:r>
        <w:rPr>
          <w:color w:val="FF0000"/>
          <w:sz w:val="20"/>
          <w:szCs w:val="20"/>
          <w:u w:val="single"/>
        </w:rPr>
        <w:t>-253:-12</w:t>
      </w:r>
      <w:r w:rsidRPr="00FB698D">
        <w:rPr>
          <w:color w:val="FF0000"/>
          <w:sz w:val="20"/>
          <w:szCs w:val="20"/>
          <w:u w:val="single"/>
        </w:rPr>
        <w:t>] or overlapping with [</w:t>
      </w:r>
      <w:r>
        <w:rPr>
          <w:color w:val="FF0000"/>
          <w:sz w:val="20"/>
          <w:szCs w:val="20"/>
          <w:u w:val="single"/>
        </w:rPr>
        <w:t>-253:-12</w:t>
      </w:r>
      <w:r w:rsidRPr="00FB698D">
        <w:rPr>
          <w:color w:val="FF0000"/>
          <w:sz w:val="20"/>
          <w:szCs w:val="20"/>
          <w:u w:val="single"/>
        </w:rPr>
        <w:t>] if the RU is larger than 242 subcarriers</w:t>
      </w:r>
      <w:r>
        <w:rPr>
          <w:color w:val="FF0000"/>
          <w:sz w:val="20"/>
          <w:szCs w:val="20"/>
          <w:u w:val="single"/>
        </w:rPr>
        <w:t xml:space="preserve">, </w:t>
      </w:r>
      <w:r w:rsidRPr="00FB698D">
        <w:rPr>
          <w:color w:val="FF0000"/>
          <w:sz w:val="20"/>
          <w:szCs w:val="20"/>
          <w:u w:val="single"/>
        </w:rPr>
        <w:t xml:space="preserve"> followed by a </w:t>
      </w:r>
      <w:r>
        <w:rPr>
          <w:color w:val="FF0000"/>
          <w:sz w:val="20"/>
          <w:szCs w:val="20"/>
          <w:u w:val="single"/>
        </w:rPr>
        <w:t>third</w:t>
      </w:r>
      <w:r w:rsidRPr="00FB698D">
        <w:rPr>
          <w:color w:val="FF0000"/>
          <w:sz w:val="20"/>
          <w:szCs w:val="20"/>
          <w:u w:val="single"/>
        </w:rPr>
        <w:t xml:space="preserve"> RU Allocation subfield for RUs with subcarrier indices in the range </w:t>
      </w:r>
      <w:r>
        <w:rPr>
          <w:color w:val="FF0000"/>
          <w:sz w:val="20"/>
          <w:szCs w:val="20"/>
          <w:u w:val="single"/>
        </w:rPr>
        <w:t>[254:495</w:t>
      </w:r>
      <w:r w:rsidRPr="00FB698D">
        <w:rPr>
          <w:color w:val="FF0000"/>
          <w:sz w:val="20"/>
          <w:szCs w:val="20"/>
          <w:u w:val="single"/>
        </w:rPr>
        <w:t xml:space="preserve">] or overlapping with </w:t>
      </w:r>
      <w:r>
        <w:rPr>
          <w:color w:val="FF0000"/>
          <w:sz w:val="20"/>
          <w:szCs w:val="20"/>
          <w:u w:val="single"/>
        </w:rPr>
        <w:t>[254:495</w:t>
      </w:r>
      <w:r w:rsidRPr="00FB698D">
        <w:rPr>
          <w:color w:val="FF0000"/>
          <w:sz w:val="20"/>
          <w:szCs w:val="20"/>
          <w:u w:val="single"/>
        </w:rPr>
        <w:t>] if the RU is larger than 242 subcarriers</w:t>
      </w:r>
      <w:r>
        <w:rPr>
          <w:color w:val="FF0000"/>
          <w:sz w:val="20"/>
          <w:szCs w:val="20"/>
          <w:u w:val="single"/>
        </w:rPr>
        <w:t xml:space="preserve">, </w:t>
      </w:r>
      <w:r w:rsidRPr="00FB698D">
        <w:rPr>
          <w:color w:val="FF0000"/>
          <w:sz w:val="20"/>
          <w:szCs w:val="20"/>
          <w:u w:val="single"/>
        </w:rPr>
        <w:t xml:space="preserve"> followed by a </w:t>
      </w:r>
      <w:r>
        <w:rPr>
          <w:color w:val="FF0000"/>
          <w:sz w:val="20"/>
          <w:szCs w:val="20"/>
          <w:u w:val="single"/>
        </w:rPr>
        <w:t>fourth</w:t>
      </w:r>
      <w:r w:rsidRPr="00FB698D">
        <w:rPr>
          <w:color w:val="FF0000"/>
          <w:sz w:val="20"/>
          <w:szCs w:val="20"/>
          <w:u w:val="single"/>
        </w:rPr>
        <w:t xml:space="preserve"> RU Allocation subfield for RUs with subcarrier indices in the range </w:t>
      </w:r>
      <w:r>
        <w:rPr>
          <w:color w:val="FF0000"/>
          <w:sz w:val="20"/>
          <w:szCs w:val="20"/>
          <w:u w:val="single"/>
        </w:rPr>
        <w:t>[771:1012</w:t>
      </w:r>
      <w:r w:rsidRPr="00FB698D">
        <w:rPr>
          <w:color w:val="FF0000"/>
          <w:sz w:val="20"/>
          <w:szCs w:val="20"/>
          <w:u w:val="single"/>
        </w:rPr>
        <w:t xml:space="preserve">] or overlapping with </w:t>
      </w:r>
      <w:r>
        <w:rPr>
          <w:color w:val="FF0000"/>
          <w:sz w:val="20"/>
          <w:szCs w:val="20"/>
          <w:u w:val="single"/>
        </w:rPr>
        <w:t>[771:1012</w:t>
      </w:r>
      <w:r w:rsidRPr="00FB698D">
        <w:rPr>
          <w:color w:val="FF0000"/>
          <w:sz w:val="20"/>
          <w:szCs w:val="20"/>
          <w:u w:val="single"/>
        </w:rPr>
        <w:t>] if the RU is larger than 242 subcarriers</w:t>
      </w:r>
      <w:r>
        <w:rPr>
          <w:color w:val="FF0000"/>
          <w:sz w:val="20"/>
          <w:szCs w:val="20"/>
          <w:u w:val="single"/>
        </w:rPr>
        <w:t>,</w:t>
      </w:r>
      <w:r w:rsidRPr="00FB698D">
        <w:rPr>
          <w:color w:val="FF0000"/>
          <w:sz w:val="20"/>
          <w:szCs w:val="20"/>
          <w:u w:val="single"/>
        </w:rPr>
        <w:t xml:space="preserve"> </w:t>
      </w:r>
      <w:r>
        <w:rPr>
          <w:color w:val="FF0000"/>
          <w:sz w:val="20"/>
          <w:szCs w:val="20"/>
          <w:u w:val="single"/>
        </w:rPr>
        <w:t>followed by</w:t>
      </w:r>
      <w:r w:rsidRPr="00FB698D">
        <w:rPr>
          <w:color w:val="FF0000"/>
          <w:sz w:val="20"/>
          <w:szCs w:val="20"/>
          <w:u w:val="single"/>
        </w:rPr>
        <w:t xml:space="preserve"> 1 bit Center 26-tone RU subfield to indicate the presence of the User field corresponding to the center 26-tone RU that spans subcarriers</w:t>
      </w:r>
      <w:r>
        <w:rPr>
          <w:color w:val="FF0000"/>
          <w:sz w:val="20"/>
          <w:szCs w:val="20"/>
          <w:u w:val="single"/>
        </w:rPr>
        <w:t xml:space="preserve"> </w:t>
      </w:r>
      <w:r w:rsidRPr="006B6A53">
        <w:rPr>
          <w:color w:val="FF0000"/>
          <w:sz w:val="20"/>
          <w:szCs w:val="20"/>
          <w:u w:val="single"/>
        </w:rPr>
        <w:t>[496:508, 516:528].</w:t>
      </w:r>
    </w:p>
    <w:p w:rsidR="00325198" w:rsidRDefault="00325198" w:rsidP="00325198">
      <w:pPr>
        <w:rPr>
          <w:sz w:val="20"/>
          <w:szCs w:val="20"/>
        </w:rPr>
      </w:pPr>
      <w:r>
        <w:rPr>
          <w:color w:val="FF0000"/>
          <w:sz w:val="20"/>
          <w:szCs w:val="20"/>
          <w:u w:val="single"/>
        </w:rPr>
        <w:t xml:space="preserve">If a single RU overlaps with more than one of the tone </w:t>
      </w:r>
      <w:r w:rsidRPr="00CD6080">
        <w:rPr>
          <w:color w:val="FF0000"/>
          <w:sz w:val="20"/>
          <w:szCs w:val="20"/>
          <w:u w:val="single"/>
        </w:rPr>
        <w:t xml:space="preserve">ranges </w:t>
      </w:r>
      <w:r w:rsidRPr="00537705">
        <w:rPr>
          <w:color w:val="FF0000"/>
          <w:sz w:val="20"/>
          <w:szCs w:val="20"/>
          <w:u w:val="single"/>
        </w:rPr>
        <w:t>[-</w:t>
      </w:r>
      <w:r>
        <w:rPr>
          <w:color w:val="FF0000"/>
          <w:sz w:val="20"/>
          <w:szCs w:val="20"/>
          <w:u w:val="single"/>
        </w:rPr>
        <w:t xml:space="preserve">1012:-771], </w:t>
      </w:r>
      <w:r w:rsidRPr="00FB698D">
        <w:rPr>
          <w:color w:val="FF0000"/>
          <w:sz w:val="20"/>
          <w:szCs w:val="20"/>
          <w:u w:val="single"/>
        </w:rPr>
        <w:t>[-</w:t>
      </w:r>
      <w:r>
        <w:rPr>
          <w:color w:val="FF0000"/>
          <w:sz w:val="20"/>
          <w:szCs w:val="20"/>
          <w:u w:val="single"/>
        </w:rPr>
        <w:t>770</w:t>
      </w:r>
      <w:r w:rsidRPr="00FB698D">
        <w:rPr>
          <w:color w:val="FF0000"/>
          <w:sz w:val="20"/>
          <w:szCs w:val="20"/>
          <w:u w:val="single"/>
        </w:rPr>
        <w:t>:-</w:t>
      </w:r>
      <w:r>
        <w:rPr>
          <w:color w:val="FF0000"/>
          <w:sz w:val="20"/>
          <w:szCs w:val="20"/>
          <w:u w:val="single"/>
        </w:rPr>
        <w:t xml:space="preserve">529], [-495:-254], </w:t>
      </w:r>
      <w:r w:rsidRPr="00FB698D">
        <w:rPr>
          <w:color w:val="FF0000"/>
          <w:sz w:val="20"/>
          <w:szCs w:val="20"/>
          <w:u w:val="single"/>
        </w:rPr>
        <w:t>[</w:t>
      </w:r>
      <w:r>
        <w:rPr>
          <w:color w:val="FF0000"/>
          <w:sz w:val="20"/>
          <w:szCs w:val="20"/>
          <w:u w:val="single"/>
        </w:rPr>
        <w:t xml:space="preserve">-253:-12], </w:t>
      </w:r>
      <w:r w:rsidRPr="00537705">
        <w:rPr>
          <w:color w:val="FF0000"/>
          <w:sz w:val="20"/>
          <w:szCs w:val="20"/>
          <w:u w:val="single"/>
        </w:rPr>
        <w:t>[</w:t>
      </w:r>
      <w:r>
        <w:rPr>
          <w:color w:val="FF0000"/>
          <w:sz w:val="20"/>
          <w:szCs w:val="20"/>
          <w:u w:val="single"/>
        </w:rPr>
        <w:t xml:space="preserve">12:253], [254:495], </w:t>
      </w:r>
      <w:r w:rsidRPr="00537705">
        <w:rPr>
          <w:color w:val="FF0000"/>
          <w:sz w:val="20"/>
          <w:szCs w:val="20"/>
          <w:u w:val="single"/>
        </w:rPr>
        <w:t>[</w:t>
      </w:r>
      <w:r>
        <w:rPr>
          <w:color w:val="FF0000"/>
          <w:sz w:val="20"/>
          <w:szCs w:val="20"/>
          <w:u w:val="single"/>
        </w:rPr>
        <w:t xml:space="preserve">529:770] </w:t>
      </w:r>
      <w:r w:rsidRPr="00CD6080">
        <w:rPr>
          <w:color w:val="FF0000"/>
          <w:sz w:val="20"/>
          <w:szCs w:val="20"/>
          <w:u w:val="single"/>
        </w:rPr>
        <w:t xml:space="preserve"> or </w:t>
      </w:r>
      <w:r>
        <w:rPr>
          <w:color w:val="FF0000"/>
          <w:sz w:val="20"/>
          <w:szCs w:val="20"/>
          <w:u w:val="single"/>
        </w:rPr>
        <w:t xml:space="preserve">[771:1012], </w:t>
      </w:r>
      <w:r w:rsidRPr="00CD6080">
        <w:rPr>
          <w:color w:val="FF0000"/>
          <w:sz w:val="20"/>
          <w:szCs w:val="20"/>
          <w:u w:val="single"/>
        </w:rPr>
        <w:t>it shall have an RU allocation subfield in the respective content channels for each of the ranges with which it overlaps.</w:t>
      </w:r>
    </w:p>
    <w:p w:rsidR="00325198" w:rsidRPr="00E36CB1" w:rsidRDefault="00325198" w:rsidP="00325198">
      <w:r w:rsidRPr="00542591">
        <w:rPr>
          <w:strike/>
          <w:color w:val="FF0000"/>
          <w:sz w:val="20"/>
          <w:szCs w:val="20"/>
        </w:rPr>
        <w:t>RU allocation signaling for RUs that overlap the 20 MHz frequency segments in which the HE-SIG-B content channel 1 is carried. The HE-SIG-B con-tent channel 2 carries RU allocation signaling for RUs that overlap the 20 MHz frequency segments in which the HE-SIG-B content channel 2 is carried.(#13469) The signaling for the presence of the User field corresponding to a center 26-tone RU in the 80 MHz segment with the lower subcarrier index is carried in HE-SIG-B content channel 1 as a 1-bit Center 26-tone RU field after the RU Allocation field in the Common field. Similarly, signaling for the center 26-tone RU in the 80 MHz segment with the higher subcarrier index is carried in HE-SIG-B content channel 2 as 1-bit Center 26-tone RU field after the RU Allocation field in the Common field.</w:t>
      </w:r>
      <w:r w:rsidRPr="00542591">
        <w:rPr>
          <w:color w:val="FF0000"/>
          <w:sz w:val="20"/>
          <w:szCs w:val="20"/>
        </w:rPr>
        <w:t xml:space="preserve"> </w:t>
      </w:r>
      <w:r>
        <w:rPr>
          <w:sz w:val="20"/>
          <w:szCs w:val="20"/>
        </w:rPr>
        <w:t xml:space="preserve">When assigned, the User field corresponding to the center 26-tone RU in the 80 MHz segments is carried as the last User field in their respective HE-SIG-B content channels. </w:t>
      </w:r>
      <w:r w:rsidRPr="00542591">
        <w:rPr>
          <w:strike/>
          <w:color w:val="FF0000"/>
          <w:sz w:val="20"/>
          <w:szCs w:val="20"/>
        </w:rPr>
        <w:t>When RUs greater than 242 subcarriers are signaled in the RU Allocation field in a portion of the bandwidth, the signaling is carried in both HE-SIG-B content channels placed in the order of the absolute subcarrier index.</w:t>
      </w:r>
    </w:p>
    <w:p w:rsidR="00A4028C" w:rsidRPr="00325198" w:rsidRDefault="00A4028C" w:rsidP="00A4028C">
      <w:pPr>
        <w:rPr>
          <w:b/>
        </w:rPr>
      </w:pPr>
      <w:r w:rsidRPr="00325198">
        <w:rPr>
          <w:b/>
        </w:rPr>
        <w:t>Resolution</w:t>
      </w:r>
    </w:p>
    <w:p w:rsidR="00F35128" w:rsidRDefault="00A4028C" w:rsidP="00E36CB1">
      <w:r>
        <w:t>Revised: Make text modifications as shown in 802.11-18/</w:t>
      </w:r>
      <w:r w:rsidR="00C94A7F">
        <w:t>0815r0</w:t>
      </w:r>
    </w:p>
    <w:p w:rsidR="00A4028C" w:rsidRDefault="00A4028C" w:rsidP="00E36CB1"/>
    <w:p w:rsidR="00A5558F" w:rsidRPr="00A5558F" w:rsidRDefault="00A5558F" w:rsidP="00E149A5">
      <w:pPr>
        <w:pStyle w:val="Heading2"/>
      </w:pPr>
      <w:r>
        <w:t>CID 14079</w:t>
      </w:r>
    </w:p>
    <w:tbl>
      <w:tblPr>
        <w:tblStyle w:val="TableGrid"/>
        <w:tblW w:w="0" w:type="auto"/>
        <w:tblLook w:val="04A0" w:firstRow="1" w:lastRow="0" w:firstColumn="1" w:lastColumn="0" w:noHBand="0" w:noVBand="1"/>
      </w:tblPr>
      <w:tblGrid>
        <w:gridCol w:w="775"/>
        <w:gridCol w:w="891"/>
        <w:gridCol w:w="697"/>
        <w:gridCol w:w="1233"/>
        <w:gridCol w:w="2808"/>
        <w:gridCol w:w="2226"/>
      </w:tblGrid>
      <w:tr w:rsidR="00E36CB1" w:rsidRPr="00E36CB1" w:rsidTr="00E36CB1">
        <w:trPr>
          <w:trHeight w:val="1785"/>
        </w:trPr>
        <w:tc>
          <w:tcPr>
            <w:tcW w:w="600" w:type="dxa"/>
            <w:hideMark/>
          </w:tcPr>
          <w:p w:rsidR="00E36CB1" w:rsidRPr="00E36CB1" w:rsidRDefault="00E36CB1" w:rsidP="00E36CB1">
            <w:r w:rsidRPr="00E36CB1">
              <w:t>14079</w:t>
            </w:r>
          </w:p>
        </w:tc>
        <w:tc>
          <w:tcPr>
            <w:tcW w:w="920" w:type="dxa"/>
            <w:hideMark/>
          </w:tcPr>
          <w:p w:rsidR="00E36CB1" w:rsidRPr="00E36CB1" w:rsidRDefault="00E36CB1" w:rsidP="00E36CB1">
            <w:r w:rsidRPr="00E36CB1">
              <w:t>424.46</w:t>
            </w:r>
          </w:p>
        </w:tc>
        <w:tc>
          <w:tcPr>
            <w:tcW w:w="820" w:type="dxa"/>
            <w:hideMark/>
          </w:tcPr>
          <w:p w:rsidR="00E36CB1" w:rsidRPr="00E36CB1" w:rsidRDefault="00E36CB1">
            <w:r w:rsidRPr="00E36CB1">
              <w:t>46</w:t>
            </w:r>
          </w:p>
        </w:tc>
        <w:tc>
          <w:tcPr>
            <w:tcW w:w="1240" w:type="dxa"/>
            <w:hideMark/>
          </w:tcPr>
          <w:p w:rsidR="00E36CB1" w:rsidRPr="00E36CB1" w:rsidRDefault="00E36CB1">
            <w:r w:rsidRPr="00E36CB1">
              <w:t>28.3.10.8.3</w:t>
            </w:r>
          </w:p>
        </w:tc>
        <w:tc>
          <w:tcPr>
            <w:tcW w:w="3560" w:type="dxa"/>
            <w:hideMark/>
          </w:tcPr>
          <w:p w:rsidR="00E36CB1" w:rsidRPr="00E36CB1" w:rsidRDefault="00E36CB1">
            <w:r w:rsidRPr="00E36CB1">
              <w:t>What does "punctured 20 MHz channels removed" mean?  For example, in case of BW field = 4 in HE-SIGA for HE MU PPDU, do the two HE-SIG-B content channels both have two RU Allocation tables?  Similar comment on P424L53.</w:t>
            </w:r>
          </w:p>
        </w:tc>
        <w:tc>
          <w:tcPr>
            <w:tcW w:w="2700" w:type="dxa"/>
            <w:hideMark/>
          </w:tcPr>
          <w:p w:rsidR="00E36CB1" w:rsidRPr="00E36CB1" w:rsidRDefault="00E36CB1">
            <w:r w:rsidRPr="00E36CB1">
              <w:t>Clarify what "punctured 20 MHz channels removed" means.</w:t>
            </w:r>
          </w:p>
        </w:tc>
      </w:tr>
    </w:tbl>
    <w:p w:rsidR="00E36CB1" w:rsidRDefault="00E36CB1" w:rsidP="00E36CB1"/>
    <w:p w:rsidR="006D601D" w:rsidRPr="00325198" w:rsidRDefault="006D601D" w:rsidP="006D601D">
      <w:pPr>
        <w:keepNext/>
        <w:rPr>
          <w:b/>
        </w:rPr>
      </w:pPr>
      <w:r w:rsidRPr="00325198">
        <w:rPr>
          <w:b/>
        </w:rPr>
        <w:lastRenderedPageBreak/>
        <w:t>Discussion</w:t>
      </w:r>
    </w:p>
    <w:p w:rsidR="006D601D" w:rsidRDefault="006D601D" w:rsidP="006D601D">
      <w:r>
        <w:t>The sentence referred to in CID 1407</w:t>
      </w:r>
      <w:r w:rsidR="0027614D">
        <w:t>9</w:t>
      </w:r>
      <w:r>
        <w:t xml:space="preserve"> is shown below in context. </w:t>
      </w:r>
    </w:p>
    <w:p w:rsidR="008C03FD" w:rsidRDefault="008C03FD" w:rsidP="00E36CB1">
      <w:r>
        <w:rPr>
          <w:noProof/>
        </w:rPr>
        <w:drawing>
          <wp:inline distT="0" distB="0" distL="0" distR="0" wp14:anchorId="1B18D4CF" wp14:editId="26EFC606">
            <wp:extent cx="5486400" cy="734695"/>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86400" cy="734695"/>
                    </a:xfrm>
                    <a:prstGeom prst="rect">
                      <a:avLst/>
                    </a:prstGeom>
                  </pic:spPr>
                </pic:pic>
              </a:graphicData>
            </a:graphic>
          </wp:inline>
        </w:drawing>
      </w:r>
    </w:p>
    <w:p w:rsidR="00DB4CC7" w:rsidRDefault="00B1356B" w:rsidP="00E36CB1">
      <w:r>
        <w:t>It looks like the intended interpretation is that the HE-SIG-B content is prepared exactly as if no puncturing was done. The only difference is that in the frequency domain, the segments corresponding to the punctured part of the preamble will not be transmitted.</w:t>
      </w:r>
      <w:r w:rsidR="00D61903">
        <w:t xml:space="preserve"> We can make this clear by distinguishing between the bit content and the frequency domain content of HE-SIG-B. A text proposal is given below.</w:t>
      </w:r>
    </w:p>
    <w:p w:rsidR="00B1356B" w:rsidRPr="00325198" w:rsidRDefault="00325198" w:rsidP="00E36CB1">
      <w:pPr>
        <w:rPr>
          <w:b/>
        </w:rPr>
      </w:pPr>
      <w:r w:rsidRPr="00325198">
        <w:rPr>
          <w:b/>
        </w:rPr>
        <w:t>Proposed text modification</w:t>
      </w:r>
      <w:r w:rsidR="006D601D">
        <w:rPr>
          <w:b/>
        </w:rPr>
        <w:t xml:space="preserve"> (page 470, lines 44 to 57 of D2.3)</w:t>
      </w:r>
    </w:p>
    <w:p w:rsidR="00B1356B" w:rsidRPr="006D35E3" w:rsidRDefault="00B1356B" w:rsidP="00E36CB1">
      <w:pPr>
        <w:rPr>
          <w:sz w:val="20"/>
          <w:szCs w:val="20"/>
          <w:u w:val="single"/>
        </w:rPr>
      </w:pPr>
      <w:r>
        <w:rPr>
          <w:sz w:val="20"/>
          <w:szCs w:val="20"/>
        </w:rPr>
        <w:t xml:space="preserve">When preamble puncturing is present and the Bandwidth field in the HE-SIG-A field of an HE MU PPDU (see Table 28-19 (HE-SIG-A field of an HE MU PPDU)) takes values 4 or 5, </w:t>
      </w:r>
      <w:r w:rsidRPr="00B1356B">
        <w:rPr>
          <w:color w:val="FF0000"/>
          <w:sz w:val="20"/>
          <w:szCs w:val="20"/>
          <w:u w:val="single"/>
        </w:rPr>
        <w:t>the</w:t>
      </w:r>
      <w:r>
        <w:rPr>
          <w:color w:val="FF0000"/>
          <w:sz w:val="20"/>
          <w:szCs w:val="20"/>
          <w:u w:val="single"/>
        </w:rPr>
        <w:t xml:space="preserve"> content of Content Channel 1 and 2 </w:t>
      </w:r>
      <w:r w:rsidRPr="00B1356B">
        <w:rPr>
          <w:strike/>
          <w:color w:val="FF0000"/>
          <w:sz w:val="20"/>
          <w:szCs w:val="20"/>
        </w:rPr>
        <w:t>the frequency domain structure of HE-SIG-B</w:t>
      </w:r>
      <w:r w:rsidRPr="00B1356B">
        <w:rPr>
          <w:color w:val="FF0000"/>
          <w:sz w:val="20"/>
          <w:szCs w:val="20"/>
        </w:rPr>
        <w:t xml:space="preserve"> </w:t>
      </w:r>
      <w:r>
        <w:rPr>
          <w:sz w:val="20"/>
          <w:szCs w:val="20"/>
        </w:rPr>
        <w:t xml:space="preserve">shall be </w:t>
      </w:r>
      <w:r w:rsidRPr="00B1356B">
        <w:rPr>
          <w:color w:val="FF0000"/>
          <w:sz w:val="20"/>
          <w:szCs w:val="20"/>
          <w:u w:val="single"/>
        </w:rPr>
        <w:t xml:space="preserve">constructed in the same way </w:t>
      </w:r>
      <w:r w:rsidRPr="00B1356B">
        <w:rPr>
          <w:strike/>
          <w:color w:val="FF0000"/>
          <w:sz w:val="20"/>
          <w:szCs w:val="20"/>
        </w:rPr>
        <w:t>the same</w:t>
      </w:r>
      <w:r w:rsidRPr="00B1356B">
        <w:rPr>
          <w:color w:val="FF0000"/>
          <w:sz w:val="20"/>
          <w:szCs w:val="20"/>
        </w:rPr>
        <w:t xml:space="preserve"> </w:t>
      </w:r>
      <w:r w:rsidRPr="00B1356B">
        <w:rPr>
          <w:color w:val="FF0000"/>
          <w:sz w:val="20"/>
          <w:szCs w:val="20"/>
          <w:u w:val="single"/>
        </w:rPr>
        <w:t xml:space="preserve">as described above </w:t>
      </w:r>
      <w:r>
        <w:rPr>
          <w:sz w:val="20"/>
          <w:szCs w:val="20"/>
        </w:rPr>
        <w:t>for an 80 MHz PPDU</w:t>
      </w:r>
      <w:r w:rsidR="006D35E3" w:rsidRPr="006D35E3">
        <w:rPr>
          <w:color w:val="FF0000"/>
          <w:sz w:val="20"/>
          <w:szCs w:val="20"/>
          <w:u w:val="single"/>
        </w:rPr>
        <w:t xml:space="preserve"> without preamble puncturing</w:t>
      </w:r>
      <w:r>
        <w:rPr>
          <w:sz w:val="20"/>
          <w:szCs w:val="20"/>
        </w:rPr>
        <w:t xml:space="preserve"> </w:t>
      </w:r>
      <w:r w:rsidRPr="00B1356B">
        <w:rPr>
          <w:strike/>
          <w:color w:val="FF0000"/>
          <w:sz w:val="20"/>
          <w:szCs w:val="20"/>
        </w:rPr>
        <w:t>(see Figure 28-28 (Mapping of the two HE-SIG-B content channels and their duplication in an 80 MHz PPDU when the SIGB Compression field in the HE-SIG-A field of an HE MU PPDU is set to 0(#11438))), but with the punctured 20 MHz channels removed</w:t>
      </w:r>
      <w:r>
        <w:rPr>
          <w:sz w:val="20"/>
          <w:szCs w:val="20"/>
        </w:rPr>
        <w:t>.</w:t>
      </w:r>
      <w:r w:rsidRPr="00B1356B">
        <w:rPr>
          <w:color w:val="FF0000"/>
          <w:sz w:val="20"/>
          <w:szCs w:val="20"/>
          <w:u w:val="single"/>
        </w:rPr>
        <w:t xml:space="preserve"> </w:t>
      </w:r>
      <w:r w:rsidR="006D35E3">
        <w:rPr>
          <w:color w:val="FF0000"/>
          <w:sz w:val="20"/>
          <w:szCs w:val="20"/>
          <w:u w:val="single"/>
        </w:rPr>
        <w:t xml:space="preserve">The mapping of the HE-SIG-B content channels to frequency segments shall be the same as for an 80 MHz PPDU </w:t>
      </w:r>
      <w:r w:rsidR="006D35E3" w:rsidRPr="006D35E3">
        <w:rPr>
          <w:color w:val="FF0000"/>
          <w:sz w:val="20"/>
          <w:szCs w:val="20"/>
          <w:u w:val="single"/>
        </w:rPr>
        <w:t>(see Figure 28-28 (Mapping of the two HE-SIG-B content channels and their duplication in an 80 MHz PPDU when the SIGB Compression field in the HE-SIG-A field of an HE MU PPDU is set to 0(#11438))),</w:t>
      </w:r>
      <w:r w:rsidR="006D35E3">
        <w:rPr>
          <w:color w:val="FF0000"/>
          <w:sz w:val="20"/>
          <w:szCs w:val="20"/>
          <w:u w:val="single"/>
        </w:rPr>
        <w:t xml:space="preserve"> with the exception that puncture</w:t>
      </w:r>
      <w:r w:rsidR="00613EB3">
        <w:rPr>
          <w:color w:val="FF0000"/>
          <w:sz w:val="20"/>
          <w:szCs w:val="20"/>
          <w:u w:val="single"/>
        </w:rPr>
        <w:t>d</w:t>
      </w:r>
      <w:r w:rsidR="006D35E3">
        <w:rPr>
          <w:color w:val="FF0000"/>
          <w:sz w:val="20"/>
          <w:szCs w:val="20"/>
          <w:u w:val="single"/>
        </w:rPr>
        <w:t xml:space="preserve"> 20 MHz channels shall be excluded.</w:t>
      </w:r>
    </w:p>
    <w:p w:rsidR="00B1356B" w:rsidRDefault="00B1356B" w:rsidP="00B1356B">
      <w:pPr>
        <w:rPr>
          <w:sz w:val="20"/>
          <w:szCs w:val="20"/>
        </w:rPr>
      </w:pPr>
      <w:r>
        <w:rPr>
          <w:sz w:val="20"/>
          <w:szCs w:val="20"/>
        </w:rPr>
        <w:t xml:space="preserve">When preamble puncturing is present and the Bandwidth field in the HE-SIG-A field of an HE MU PPDU (see Table 28-19 (HE-SIG-A field of an HE MU PPDU)) takes values 6 or 7, </w:t>
      </w:r>
      <w:r w:rsidRPr="00B1356B">
        <w:rPr>
          <w:color w:val="FF0000"/>
          <w:sz w:val="20"/>
          <w:szCs w:val="20"/>
          <w:u w:val="single"/>
        </w:rPr>
        <w:t>the</w:t>
      </w:r>
      <w:r>
        <w:rPr>
          <w:color w:val="FF0000"/>
          <w:sz w:val="20"/>
          <w:szCs w:val="20"/>
          <w:u w:val="single"/>
        </w:rPr>
        <w:t xml:space="preserve"> content of Content Channel 1 and 2 </w:t>
      </w:r>
      <w:r w:rsidRPr="00B1356B">
        <w:rPr>
          <w:strike/>
          <w:color w:val="FF0000"/>
          <w:sz w:val="20"/>
          <w:szCs w:val="20"/>
        </w:rPr>
        <w:t>the frequency domain structure of HE-SIG-B</w:t>
      </w:r>
      <w:r>
        <w:rPr>
          <w:sz w:val="20"/>
          <w:szCs w:val="20"/>
        </w:rPr>
        <w:t xml:space="preserve"> shall </w:t>
      </w:r>
      <w:r w:rsidRPr="00B1356B">
        <w:rPr>
          <w:color w:val="FF0000"/>
          <w:sz w:val="20"/>
          <w:szCs w:val="20"/>
          <w:u w:val="single"/>
        </w:rPr>
        <w:t xml:space="preserve">constructed in the same way </w:t>
      </w:r>
      <w:r w:rsidRPr="00B1356B">
        <w:rPr>
          <w:strike/>
          <w:color w:val="FF0000"/>
          <w:sz w:val="20"/>
          <w:szCs w:val="20"/>
        </w:rPr>
        <w:t>the same</w:t>
      </w:r>
      <w:r w:rsidRPr="00B1356B">
        <w:rPr>
          <w:color w:val="FF0000"/>
          <w:sz w:val="20"/>
          <w:szCs w:val="20"/>
        </w:rPr>
        <w:t xml:space="preserve"> </w:t>
      </w:r>
      <w:r w:rsidRPr="00B1356B">
        <w:rPr>
          <w:color w:val="FF0000"/>
          <w:sz w:val="20"/>
          <w:szCs w:val="20"/>
          <w:u w:val="single"/>
        </w:rPr>
        <w:t xml:space="preserve">as described above </w:t>
      </w:r>
      <w:r>
        <w:rPr>
          <w:sz w:val="20"/>
          <w:szCs w:val="20"/>
        </w:rPr>
        <w:t xml:space="preserve">for an 160 MHz PPDU </w:t>
      </w:r>
      <w:r w:rsidR="006D35E3" w:rsidRPr="006D35E3">
        <w:rPr>
          <w:color w:val="FF0000"/>
          <w:sz w:val="20"/>
          <w:szCs w:val="20"/>
          <w:u w:val="single"/>
        </w:rPr>
        <w:t>without preamble puncturing</w:t>
      </w:r>
      <w:r w:rsidR="006D35E3" w:rsidRPr="00B1356B">
        <w:rPr>
          <w:strike/>
          <w:color w:val="FF0000"/>
          <w:sz w:val="20"/>
          <w:szCs w:val="20"/>
        </w:rPr>
        <w:t xml:space="preserve"> </w:t>
      </w:r>
      <w:r w:rsidRPr="00B1356B">
        <w:rPr>
          <w:strike/>
          <w:color w:val="FF0000"/>
          <w:sz w:val="20"/>
          <w:szCs w:val="20"/>
        </w:rPr>
        <w:t>(see Figure 28-29 (Mapping of the two HE-SIG-B content channels and their duplication in a 160 MHz PPDU when the SIGB Compression field in the HE-SIG-A field of an HE MU PPDU is set to 0(#11439))), but with the punctured 20 MHz channels removed</w:t>
      </w:r>
      <w:r w:rsidRPr="00B1356B">
        <w:rPr>
          <w:color w:val="FF0000"/>
          <w:sz w:val="20"/>
          <w:szCs w:val="20"/>
        </w:rPr>
        <w:t xml:space="preserve">. </w:t>
      </w:r>
      <w:r w:rsidR="006D35E3">
        <w:rPr>
          <w:color w:val="FF0000"/>
          <w:sz w:val="20"/>
          <w:szCs w:val="20"/>
          <w:u w:val="single"/>
        </w:rPr>
        <w:t xml:space="preserve">The mapping of the HE-SIG-B content channels to frequency segments shall be the same as for an 80 MHz </w:t>
      </w:r>
      <w:r w:rsidR="006D35E3" w:rsidRPr="006D35E3">
        <w:rPr>
          <w:color w:val="FF0000"/>
          <w:sz w:val="20"/>
          <w:szCs w:val="20"/>
          <w:u w:val="single"/>
        </w:rPr>
        <w:t xml:space="preserve">PPDU (see Figure 28-29 (Mapping of the two HE-SIG-B content channels and their duplication in a 160 MHz PPDU when the SIGB Compression field in the HE-SIG-A field of an HE MU PPDU is set to 0(#11439))), </w:t>
      </w:r>
      <w:r w:rsidR="006D35E3">
        <w:rPr>
          <w:color w:val="FF0000"/>
          <w:sz w:val="20"/>
          <w:szCs w:val="20"/>
          <w:u w:val="single"/>
        </w:rPr>
        <w:t>with the exception that puncture</w:t>
      </w:r>
      <w:r w:rsidR="00613EB3">
        <w:rPr>
          <w:color w:val="FF0000"/>
          <w:sz w:val="20"/>
          <w:szCs w:val="20"/>
          <w:u w:val="single"/>
        </w:rPr>
        <w:t>d</w:t>
      </w:r>
      <w:r w:rsidR="006D35E3">
        <w:rPr>
          <w:color w:val="FF0000"/>
          <w:sz w:val="20"/>
          <w:szCs w:val="20"/>
          <w:u w:val="single"/>
        </w:rPr>
        <w:t xml:space="preserve"> 20 MHz channels shall be excluded.</w:t>
      </w:r>
    </w:p>
    <w:p w:rsidR="00B1356B" w:rsidRDefault="00B1356B" w:rsidP="00E36CB1"/>
    <w:p w:rsidR="00542591" w:rsidRPr="00542591" w:rsidRDefault="00542591" w:rsidP="00E149A5">
      <w:pPr>
        <w:pStyle w:val="Heading2"/>
      </w:pPr>
      <w:r>
        <w:t>CID 14083</w:t>
      </w:r>
    </w:p>
    <w:tbl>
      <w:tblPr>
        <w:tblStyle w:val="TableGrid"/>
        <w:tblW w:w="0" w:type="auto"/>
        <w:tblLook w:val="04A0" w:firstRow="1" w:lastRow="0" w:firstColumn="1" w:lastColumn="0" w:noHBand="0" w:noVBand="1"/>
      </w:tblPr>
      <w:tblGrid>
        <w:gridCol w:w="774"/>
        <w:gridCol w:w="892"/>
        <w:gridCol w:w="704"/>
        <w:gridCol w:w="1234"/>
        <w:gridCol w:w="2798"/>
        <w:gridCol w:w="2228"/>
      </w:tblGrid>
      <w:tr w:rsidR="00E36CB1" w:rsidRPr="00E36CB1" w:rsidTr="006B7181">
        <w:trPr>
          <w:trHeight w:val="510"/>
        </w:trPr>
        <w:tc>
          <w:tcPr>
            <w:tcW w:w="774" w:type="dxa"/>
            <w:hideMark/>
          </w:tcPr>
          <w:p w:rsidR="00E36CB1" w:rsidRPr="00E36CB1" w:rsidRDefault="00E36CB1" w:rsidP="00E36CB1">
            <w:r w:rsidRPr="00E36CB1">
              <w:t>14083</w:t>
            </w:r>
          </w:p>
        </w:tc>
        <w:tc>
          <w:tcPr>
            <w:tcW w:w="892" w:type="dxa"/>
            <w:hideMark/>
          </w:tcPr>
          <w:p w:rsidR="00E36CB1" w:rsidRPr="00E36CB1" w:rsidRDefault="00E36CB1" w:rsidP="00E36CB1">
            <w:r w:rsidRPr="00E36CB1">
              <w:t>432.32</w:t>
            </w:r>
          </w:p>
        </w:tc>
        <w:tc>
          <w:tcPr>
            <w:tcW w:w="704" w:type="dxa"/>
            <w:hideMark/>
          </w:tcPr>
          <w:p w:rsidR="00E36CB1" w:rsidRPr="00E36CB1" w:rsidRDefault="00E36CB1">
            <w:r w:rsidRPr="00E36CB1">
              <w:t>32</w:t>
            </w:r>
          </w:p>
        </w:tc>
        <w:tc>
          <w:tcPr>
            <w:tcW w:w="1234" w:type="dxa"/>
            <w:hideMark/>
          </w:tcPr>
          <w:p w:rsidR="00E36CB1" w:rsidRPr="00E36CB1" w:rsidRDefault="00E36CB1">
            <w:r w:rsidRPr="00E36CB1">
              <w:t>28.3.10.8.6</w:t>
            </w:r>
          </w:p>
        </w:tc>
        <w:tc>
          <w:tcPr>
            <w:tcW w:w="2798" w:type="dxa"/>
            <w:hideMark/>
          </w:tcPr>
          <w:p w:rsidR="00E36CB1" w:rsidRPr="00E36CB1" w:rsidRDefault="00E36CB1">
            <w:r w:rsidRPr="00E36CB1">
              <w:t>What does "load bala</w:t>
            </w:r>
            <w:r w:rsidR="006B7181">
              <w:t>n</w:t>
            </w:r>
            <w:r w:rsidRPr="00E36CB1">
              <w:t>cing for RUs" mean?</w:t>
            </w:r>
          </w:p>
        </w:tc>
        <w:tc>
          <w:tcPr>
            <w:tcW w:w="2228" w:type="dxa"/>
            <w:hideMark/>
          </w:tcPr>
          <w:p w:rsidR="00E36CB1" w:rsidRPr="00E36CB1" w:rsidRDefault="00E36CB1">
            <w:r w:rsidRPr="00E36CB1">
              <w:t>Clarify what "load balancing" is.</w:t>
            </w:r>
          </w:p>
        </w:tc>
      </w:tr>
    </w:tbl>
    <w:p w:rsidR="0027614D" w:rsidRDefault="0027614D" w:rsidP="0027614D">
      <w:pPr>
        <w:keepNext/>
        <w:rPr>
          <w:b/>
        </w:rPr>
      </w:pPr>
      <w:r w:rsidRPr="0027614D">
        <w:rPr>
          <w:b/>
        </w:rPr>
        <w:t>Discussion</w:t>
      </w:r>
    </w:p>
    <w:p w:rsidR="0027614D" w:rsidRPr="0027614D" w:rsidRDefault="0027614D" w:rsidP="0027614D">
      <w:r>
        <w:t xml:space="preserve">The sentence referred to in CID 14083 is shown below in context. </w:t>
      </w:r>
    </w:p>
    <w:p w:rsidR="00E36CB1" w:rsidRDefault="006B7181" w:rsidP="00E36CB1">
      <w:r>
        <w:rPr>
          <w:noProof/>
        </w:rPr>
        <w:lastRenderedPageBreak/>
        <w:drawing>
          <wp:inline distT="0" distB="0" distL="0" distR="0" wp14:anchorId="07D8B10A" wp14:editId="397DE050">
            <wp:extent cx="5486400" cy="11690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86400" cy="1169035"/>
                    </a:xfrm>
                    <a:prstGeom prst="rect">
                      <a:avLst/>
                    </a:prstGeom>
                  </pic:spPr>
                </pic:pic>
              </a:graphicData>
            </a:graphic>
          </wp:inline>
        </w:drawing>
      </w:r>
    </w:p>
    <w:p w:rsidR="00E36CB1" w:rsidRDefault="00687354" w:rsidP="00E36CB1">
      <w:r>
        <w:t xml:space="preserve">CID 11496 makes a related comment about the use of the term “load balancing”. As a result, the term is no longer in use (at least not in the context of HE-SIG-B) and the new text </w:t>
      </w:r>
      <w:r w:rsidR="0027614D">
        <w:t xml:space="preserve">in D2.3 </w:t>
      </w:r>
      <w:r>
        <w:t>spells out the case more explicitly:</w:t>
      </w:r>
    </w:p>
    <w:p w:rsidR="006B7181" w:rsidRDefault="006B7181" w:rsidP="00E36CB1">
      <w:r>
        <w:rPr>
          <w:noProof/>
        </w:rPr>
        <w:drawing>
          <wp:inline distT="0" distB="0" distL="0" distR="0" wp14:anchorId="22160BC1" wp14:editId="48C880B9">
            <wp:extent cx="5486400" cy="35452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86400" cy="3545205"/>
                    </a:xfrm>
                    <a:prstGeom prst="rect">
                      <a:avLst/>
                    </a:prstGeom>
                  </pic:spPr>
                </pic:pic>
              </a:graphicData>
            </a:graphic>
          </wp:inline>
        </w:drawing>
      </w:r>
    </w:p>
    <w:p w:rsidR="0027614D" w:rsidRDefault="0027614D" w:rsidP="00E36CB1">
      <w:r>
        <w:t>As such, the CID is obsolete following changes that were made in D2.3.</w:t>
      </w:r>
    </w:p>
    <w:p w:rsidR="006B7181" w:rsidRPr="0027614D" w:rsidRDefault="006B7181" w:rsidP="00E36CB1">
      <w:pPr>
        <w:rPr>
          <w:b/>
        </w:rPr>
      </w:pPr>
      <w:r w:rsidRPr="0027614D">
        <w:rPr>
          <w:b/>
        </w:rPr>
        <w:t>Resolution:</w:t>
      </w:r>
    </w:p>
    <w:p w:rsidR="006B7181" w:rsidRDefault="006B7181" w:rsidP="00E36CB1">
      <w:r>
        <w:t xml:space="preserve">Revised </w:t>
      </w:r>
      <w:r w:rsidR="00A768B6">
        <w:t>–</w:t>
      </w:r>
      <w:r>
        <w:t xml:space="preserve"> </w:t>
      </w:r>
      <w:r w:rsidR="00A768B6">
        <w:t>resolved by CID 11496.</w:t>
      </w:r>
    </w:p>
    <w:p w:rsidR="00B75A29" w:rsidRDefault="00B75A29">
      <w:pPr>
        <w:spacing w:before="0" w:after="0" w:line="240" w:lineRule="auto"/>
      </w:pPr>
    </w:p>
    <w:sectPr w:rsidR="00B75A29" w:rsidSect="00085889">
      <w:headerReference w:type="default" r:id="rId15"/>
      <w:footerReference w:type="defaul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1D12" w:rsidRDefault="00521D12" w:rsidP="0035409E">
      <w:pPr>
        <w:spacing w:after="0" w:line="240" w:lineRule="auto"/>
      </w:pPr>
      <w:r>
        <w:separator/>
      </w:r>
    </w:p>
  </w:endnote>
  <w:endnote w:type="continuationSeparator" w:id="0">
    <w:p w:rsidR="00521D12" w:rsidRDefault="00521D12" w:rsidP="00354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1ED3" w:rsidRDefault="00121ED3" w:rsidP="00BE1CBC">
    <w:pPr>
      <w:pStyle w:val="Footer"/>
      <w:pBdr>
        <w:top w:val="single" w:sz="4" w:space="1" w:color="auto"/>
      </w:pBdr>
      <w:jc w:val="both"/>
    </w:pPr>
    <w:r>
      <w:t>Submission</w:t>
    </w:r>
    <w:r>
      <w:ptab w:relativeTo="margin" w:alignment="center" w:leader="none"/>
    </w:r>
    <w:r>
      <w:t xml:space="preserve">page </w:t>
    </w:r>
    <w:sdt>
      <w:sdtPr>
        <w:id w:val="-173283345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428C4">
          <w:rPr>
            <w:noProof/>
          </w:rPr>
          <w:t>1</w:t>
        </w:r>
        <w:r>
          <w:rPr>
            <w:noProof/>
          </w:rPr>
          <w:fldChar w:fldCharType="end"/>
        </w:r>
      </w:sdtContent>
    </w:sdt>
    <w:r>
      <w:rPr>
        <w:noProof/>
      </w:rPr>
      <w:t xml:space="preserve"> </w:t>
    </w:r>
    <w:r>
      <w:ptab w:relativeTo="margin" w:alignment="right" w:leader="none"/>
    </w:r>
    <w:r>
      <w:t>Sigurd Schelstraete, Quantenna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1D12" w:rsidRDefault="00521D12" w:rsidP="0035409E">
      <w:pPr>
        <w:spacing w:after="0" w:line="240" w:lineRule="auto"/>
      </w:pPr>
      <w:r>
        <w:separator/>
      </w:r>
    </w:p>
  </w:footnote>
  <w:footnote w:type="continuationSeparator" w:id="0">
    <w:p w:rsidR="00521D12" w:rsidRDefault="00521D12" w:rsidP="003540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1ED3" w:rsidRPr="00B43485" w:rsidRDefault="00121ED3" w:rsidP="00B43485">
    <w:pPr>
      <w:pStyle w:val="Header"/>
      <w:pBdr>
        <w:bottom w:val="single" w:sz="6" w:space="2" w:color="auto"/>
      </w:pBdr>
      <w:tabs>
        <w:tab w:val="right" w:pos="12960"/>
      </w:tabs>
      <w:spacing w:before="0"/>
      <w:rPr>
        <w:rFonts w:ascii="Times New Roman" w:eastAsia="Times New Roman" w:hAnsi="Times New Roman" w:cs="Times New Roman"/>
        <w:b/>
        <w:sz w:val="28"/>
        <w:szCs w:val="20"/>
        <w:lang w:val="en-GB" w:bidi="ar-SA"/>
      </w:rPr>
    </w:pPr>
    <w:r>
      <w:rPr>
        <w:rFonts w:ascii="Times New Roman" w:eastAsia="Times New Roman" w:hAnsi="Times New Roman" w:cs="Times New Roman"/>
        <w:b/>
        <w:sz w:val="28"/>
        <w:szCs w:val="20"/>
        <w:lang w:val="en-GB" w:bidi="ar-SA"/>
      </w:rPr>
      <w:t>May 2018</w:t>
    </w:r>
    <w:r w:rsidRPr="00B43485">
      <w:rPr>
        <w:rFonts w:ascii="Times New Roman" w:eastAsia="Times New Roman" w:hAnsi="Times New Roman" w:cs="Times New Roman"/>
        <w:b/>
        <w:sz w:val="28"/>
        <w:szCs w:val="20"/>
        <w:lang w:val="en-GB" w:bidi="ar-SA"/>
      </w:rPr>
      <w:tab/>
    </w:r>
    <w:r w:rsidRPr="00B43485">
      <w:rPr>
        <w:rFonts w:ascii="Times New Roman" w:eastAsia="Times New Roman" w:hAnsi="Times New Roman" w:cs="Times New Roman"/>
        <w:b/>
        <w:sz w:val="28"/>
        <w:szCs w:val="20"/>
        <w:lang w:val="en-GB" w:bidi="ar-SA"/>
      </w:rPr>
      <w:tab/>
    </w:r>
    <w:r>
      <w:rPr>
        <w:rFonts w:ascii="Times New Roman" w:eastAsia="Times New Roman" w:hAnsi="Times New Roman" w:cs="Times New Roman"/>
        <w:b/>
        <w:sz w:val="28"/>
        <w:szCs w:val="20"/>
        <w:lang w:val="en-GB" w:bidi="ar-SA"/>
      </w:rPr>
      <w:t>doc.: IEEE 802.11-18/</w:t>
    </w:r>
    <w:r w:rsidR="00C94A7F">
      <w:rPr>
        <w:rFonts w:ascii="Times New Roman" w:eastAsia="Times New Roman" w:hAnsi="Times New Roman" w:cs="Times New Roman"/>
        <w:b/>
        <w:sz w:val="28"/>
        <w:szCs w:val="20"/>
        <w:lang w:val="en-GB" w:bidi="ar-SA"/>
      </w:rPr>
      <w:t>0815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C594A"/>
    <w:multiLevelType w:val="hybridMultilevel"/>
    <w:tmpl w:val="822090F0"/>
    <w:lvl w:ilvl="0" w:tplc="F05203D6">
      <w:start w:val="1"/>
      <w:numFmt w:val="bullet"/>
      <w:lvlText w:val="•"/>
      <w:lvlJc w:val="left"/>
      <w:pPr>
        <w:tabs>
          <w:tab w:val="num" w:pos="720"/>
        </w:tabs>
        <w:ind w:left="720" w:hanging="360"/>
      </w:pPr>
      <w:rPr>
        <w:rFonts w:ascii="Times New Roman" w:hAnsi="Times New Roman" w:hint="default"/>
      </w:rPr>
    </w:lvl>
    <w:lvl w:ilvl="1" w:tplc="756E5C22">
      <w:start w:val="1"/>
      <w:numFmt w:val="bullet"/>
      <w:lvlText w:val="•"/>
      <w:lvlJc w:val="left"/>
      <w:pPr>
        <w:tabs>
          <w:tab w:val="num" w:pos="1440"/>
        </w:tabs>
        <w:ind w:left="1440" w:hanging="360"/>
      </w:pPr>
      <w:rPr>
        <w:rFonts w:ascii="Times New Roman" w:hAnsi="Times New Roman" w:hint="default"/>
      </w:rPr>
    </w:lvl>
    <w:lvl w:ilvl="2" w:tplc="E7705D80" w:tentative="1">
      <w:start w:val="1"/>
      <w:numFmt w:val="bullet"/>
      <w:lvlText w:val="•"/>
      <w:lvlJc w:val="left"/>
      <w:pPr>
        <w:tabs>
          <w:tab w:val="num" w:pos="2160"/>
        </w:tabs>
        <w:ind w:left="2160" w:hanging="360"/>
      </w:pPr>
      <w:rPr>
        <w:rFonts w:ascii="Times New Roman" w:hAnsi="Times New Roman" w:hint="default"/>
      </w:rPr>
    </w:lvl>
    <w:lvl w:ilvl="3" w:tplc="6F1AA22C" w:tentative="1">
      <w:start w:val="1"/>
      <w:numFmt w:val="bullet"/>
      <w:lvlText w:val="•"/>
      <w:lvlJc w:val="left"/>
      <w:pPr>
        <w:tabs>
          <w:tab w:val="num" w:pos="2880"/>
        </w:tabs>
        <w:ind w:left="2880" w:hanging="360"/>
      </w:pPr>
      <w:rPr>
        <w:rFonts w:ascii="Times New Roman" w:hAnsi="Times New Roman" w:hint="default"/>
      </w:rPr>
    </w:lvl>
    <w:lvl w:ilvl="4" w:tplc="17D8F6FC" w:tentative="1">
      <w:start w:val="1"/>
      <w:numFmt w:val="bullet"/>
      <w:lvlText w:val="•"/>
      <w:lvlJc w:val="left"/>
      <w:pPr>
        <w:tabs>
          <w:tab w:val="num" w:pos="3600"/>
        </w:tabs>
        <w:ind w:left="3600" w:hanging="360"/>
      </w:pPr>
      <w:rPr>
        <w:rFonts w:ascii="Times New Roman" w:hAnsi="Times New Roman" w:hint="default"/>
      </w:rPr>
    </w:lvl>
    <w:lvl w:ilvl="5" w:tplc="D116BE9A" w:tentative="1">
      <w:start w:val="1"/>
      <w:numFmt w:val="bullet"/>
      <w:lvlText w:val="•"/>
      <w:lvlJc w:val="left"/>
      <w:pPr>
        <w:tabs>
          <w:tab w:val="num" w:pos="4320"/>
        </w:tabs>
        <w:ind w:left="4320" w:hanging="360"/>
      </w:pPr>
      <w:rPr>
        <w:rFonts w:ascii="Times New Roman" w:hAnsi="Times New Roman" w:hint="default"/>
      </w:rPr>
    </w:lvl>
    <w:lvl w:ilvl="6" w:tplc="AC5CBB56" w:tentative="1">
      <w:start w:val="1"/>
      <w:numFmt w:val="bullet"/>
      <w:lvlText w:val="•"/>
      <w:lvlJc w:val="left"/>
      <w:pPr>
        <w:tabs>
          <w:tab w:val="num" w:pos="5040"/>
        </w:tabs>
        <w:ind w:left="5040" w:hanging="360"/>
      </w:pPr>
      <w:rPr>
        <w:rFonts w:ascii="Times New Roman" w:hAnsi="Times New Roman" w:hint="default"/>
      </w:rPr>
    </w:lvl>
    <w:lvl w:ilvl="7" w:tplc="63C29602" w:tentative="1">
      <w:start w:val="1"/>
      <w:numFmt w:val="bullet"/>
      <w:lvlText w:val="•"/>
      <w:lvlJc w:val="left"/>
      <w:pPr>
        <w:tabs>
          <w:tab w:val="num" w:pos="5760"/>
        </w:tabs>
        <w:ind w:left="5760" w:hanging="360"/>
      </w:pPr>
      <w:rPr>
        <w:rFonts w:ascii="Times New Roman" w:hAnsi="Times New Roman" w:hint="default"/>
      </w:rPr>
    </w:lvl>
    <w:lvl w:ilvl="8" w:tplc="4796A87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B194CF0"/>
    <w:multiLevelType w:val="hybridMultilevel"/>
    <w:tmpl w:val="0EB82DD4"/>
    <w:lvl w:ilvl="0" w:tplc="021C5B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56327"/>
    <w:multiLevelType w:val="hybridMultilevel"/>
    <w:tmpl w:val="4A88B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184717"/>
    <w:multiLevelType w:val="hybridMultilevel"/>
    <w:tmpl w:val="021E7EAA"/>
    <w:lvl w:ilvl="0" w:tplc="BEE62E56">
      <w:start w:val="1"/>
      <w:numFmt w:val="bullet"/>
      <w:lvlText w:val="•"/>
      <w:lvlJc w:val="left"/>
      <w:pPr>
        <w:tabs>
          <w:tab w:val="num" w:pos="360"/>
        </w:tabs>
        <w:ind w:left="360" w:hanging="360"/>
      </w:pPr>
      <w:rPr>
        <w:rFonts w:ascii="Times New Roman" w:hAnsi="Times New Roman" w:hint="default"/>
      </w:rPr>
    </w:lvl>
    <w:lvl w:ilvl="1" w:tplc="F14C939C">
      <w:start w:val="1"/>
      <w:numFmt w:val="bullet"/>
      <w:lvlText w:val="•"/>
      <w:lvlJc w:val="left"/>
      <w:pPr>
        <w:tabs>
          <w:tab w:val="num" w:pos="1080"/>
        </w:tabs>
        <w:ind w:left="1080" w:hanging="360"/>
      </w:pPr>
      <w:rPr>
        <w:rFonts w:ascii="Times New Roman" w:hAnsi="Times New Roman" w:hint="default"/>
      </w:rPr>
    </w:lvl>
    <w:lvl w:ilvl="2" w:tplc="498613AE">
      <w:start w:val="1"/>
      <w:numFmt w:val="bullet"/>
      <w:lvlText w:val="•"/>
      <w:lvlJc w:val="left"/>
      <w:pPr>
        <w:tabs>
          <w:tab w:val="num" w:pos="1800"/>
        </w:tabs>
        <w:ind w:left="1800" w:hanging="360"/>
      </w:pPr>
      <w:rPr>
        <w:rFonts w:ascii="Times New Roman" w:hAnsi="Times New Roman" w:hint="default"/>
      </w:rPr>
    </w:lvl>
    <w:lvl w:ilvl="3" w:tplc="5D2CFEE8" w:tentative="1">
      <w:start w:val="1"/>
      <w:numFmt w:val="bullet"/>
      <w:lvlText w:val="•"/>
      <w:lvlJc w:val="left"/>
      <w:pPr>
        <w:tabs>
          <w:tab w:val="num" w:pos="2520"/>
        </w:tabs>
        <w:ind w:left="2520" w:hanging="360"/>
      </w:pPr>
      <w:rPr>
        <w:rFonts w:ascii="Times New Roman" w:hAnsi="Times New Roman" w:hint="default"/>
      </w:rPr>
    </w:lvl>
    <w:lvl w:ilvl="4" w:tplc="95B4A252" w:tentative="1">
      <w:start w:val="1"/>
      <w:numFmt w:val="bullet"/>
      <w:lvlText w:val="•"/>
      <w:lvlJc w:val="left"/>
      <w:pPr>
        <w:tabs>
          <w:tab w:val="num" w:pos="3240"/>
        </w:tabs>
        <w:ind w:left="3240" w:hanging="360"/>
      </w:pPr>
      <w:rPr>
        <w:rFonts w:ascii="Times New Roman" w:hAnsi="Times New Roman" w:hint="default"/>
      </w:rPr>
    </w:lvl>
    <w:lvl w:ilvl="5" w:tplc="C7660968" w:tentative="1">
      <w:start w:val="1"/>
      <w:numFmt w:val="bullet"/>
      <w:lvlText w:val="•"/>
      <w:lvlJc w:val="left"/>
      <w:pPr>
        <w:tabs>
          <w:tab w:val="num" w:pos="3960"/>
        </w:tabs>
        <w:ind w:left="3960" w:hanging="360"/>
      </w:pPr>
      <w:rPr>
        <w:rFonts w:ascii="Times New Roman" w:hAnsi="Times New Roman" w:hint="default"/>
      </w:rPr>
    </w:lvl>
    <w:lvl w:ilvl="6" w:tplc="270690AC" w:tentative="1">
      <w:start w:val="1"/>
      <w:numFmt w:val="bullet"/>
      <w:lvlText w:val="•"/>
      <w:lvlJc w:val="left"/>
      <w:pPr>
        <w:tabs>
          <w:tab w:val="num" w:pos="4680"/>
        </w:tabs>
        <w:ind w:left="4680" w:hanging="360"/>
      </w:pPr>
      <w:rPr>
        <w:rFonts w:ascii="Times New Roman" w:hAnsi="Times New Roman" w:hint="default"/>
      </w:rPr>
    </w:lvl>
    <w:lvl w:ilvl="7" w:tplc="7BDACDA2" w:tentative="1">
      <w:start w:val="1"/>
      <w:numFmt w:val="bullet"/>
      <w:lvlText w:val="•"/>
      <w:lvlJc w:val="left"/>
      <w:pPr>
        <w:tabs>
          <w:tab w:val="num" w:pos="5400"/>
        </w:tabs>
        <w:ind w:left="5400" w:hanging="360"/>
      </w:pPr>
      <w:rPr>
        <w:rFonts w:ascii="Times New Roman" w:hAnsi="Times New Roman" w:hint="default"/>
      </w:rPr>
    </w:lvl>
    <w:lvl w:ilvl="8" w:tplc="361E702A" w:tentative="1">
      <w:start w:val="1"/>
      <w:numFmt w:val="bullet"/>
      <w:lvlText w:val="•"/>
      <w:lvlJc w:val="left"/>
      <w:pPr>
        <w:tabs>
          <w:tab w:val="num" w:pos="6120"/>
        </w:tabs>
        <w:ind w:left="6120" w:hanging="360"/>
      </w:pPr>
      <w:rPr>
        <w:rFonts w:ascii="Times New Roman" w:hAnsi="Times New Roman" w:hint="default"/>
      </w:rPr>
    </w:lvl>
  </w:abstractNum>
  <w:abstractNum w:abstractNumId="4" w15:restartNumberingAfterBreak="0">
    <w:nsid w:val="21C402DC"/>
    <w:multiLevelType w:val="hybridMultilevel"/>
    <w:tmpl w:val="5EA68A0E"/>
    <w:lvl w:ilvl="0" w:tplc="DCF8BBC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767AC7"/>
    <w:multiLevelType w:val="hybridMultilevel"/>
    <w:tmpl w:val="E806C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8A517A"/>
    <w:multiLevelType w:val="hybridMultilevel"/>
    <w:tmpl w:val="651AF456"/>
    <w:lvl w:ilvl="0" w:tplc="0409000F">
      <w:start w:val="1"/>
      <w:numFmt w:val="decimal"/>
      <w:lvlText w:val="%1."/>
      <w:lvlJc w:val="left"/>
      <w:pPr>
        <w:tabs>
          <w:tab w:val="num" w:pos="720"/>
        </w:tabs>
        <w:ind w:left="720" w:hanging="360"/>
      </w:pPr>
    </w:lvl>
    <w:lvl w:ilvl="1" w:tplc="009E09A6" w:tentative="1">
      <w:start w:val="1"/>
      <w:numFmt w:val="decimal"/>
      <w:lvlText w:val="%2."/>
      <w:lvlJc w:val="left"/>
      <w:pPr>
        <w:tabs>
          <w:tab w:val="num" w:pos="1440"/>
        </w:tabs>
        <w:ind w:left="1440" w:hanging="360"/>
      </w:pPr>
    </w:lvl>
    <w:lvl w:ilvl="2" w:tplc="A8A2C56C" w:tentative="1">
      <w:start w:val="1"/>
      <w:numFmt w:val="decimal"/>
      <w:lvlText w:val="%3."/>
      <w:lvlJc w:val="left"/>
      <w:pPr>
        <w:tabs>
          <w:tab w:val="num" w:pos="2160"/>
        </w:tabs>
        <w:ind w:left="2160" w:hanging="360"/>
      </w:pPr>
    </w:lvl>
    <w:lvl w:ilvl="3" w:tplc="60340994" w:tentative="1">
      <w:start w:val="1"/>
      <w:numFmt w:val="decimal"/>
      <w:lvlText w:val="%4."/>
      <w:lvlJc w:val="left"/>
      <w:pPr>
        <w:tabs>
          <w:tab w:val="num" w:pos="2880"/>
        </w:tabs>
        <w:ind w:left="2880" w:hanging="360"/>
      </w:pPr>
    </w:lvl>
    <w:lvl w:ilvl="4" w:tplc="BB1213AE" w:tentative="1">
      <w:start w:val="1"/>
      <w:numFmt w:val="decimal"/>
      <w:lvlText w:val="%5."/>
      <w:lvlJc w:val="left"/>
      <w:pPr>
        <w:tabs>
          <w:tab w:val="num" w:pos="3600"/>
        </w:tabs>
        <w:ind w:left="3600" w:hanging="360"/>
      </w:pPr>
    </w:lvl>
    <w:lvl w:ilvl="5" w:tplc="78AA74D4" w:tentative="1">
      <w:start w:val="1"/>
      <w:numFmt w:val="decimal"/>
      <w:lvlText w:val="%6."/>
      <w:lvlJc w:val="left"/>
      <w:pPr>
        <w:tabs>
          <w:tab w:val="num" w:pos="4320"/>
        </w:tabs>
        <w:ind w:left="4320" w:hanging="360"/>
      </w:pPr>
    </w:lvl>
    <w:lvl w:ilvl="6" w:tplc="77FEED80" w:tentative="1">
      <w:start w:val="1"/>
      <w:numFmt w:val="decimal"/>
      <w:lvlText w:val="%7."/>
      <w:lvlJc w:val="left"/>
      <w:pPr>
        <w:tabs>
          <w:tab w:val="num" w:pos="5040"/>
        </w:tabs>
        <w:ind w:left="5040" w:hanging="360"/>
      </w:pPr>
    </w:lvl>
    <w:lvl w:ilvl="7" w:tplc="CAE8CD6E" w:tentative="1">
      <w:start w:val="1"/>
      <w:numFmt w:val="decimal"/>
      <w:lvlText w:val="%8."/>
      <w:lvlJc w:val="left"/>
      <w:pPr>
        <w:tabs>
          <w:tab w:val="num" w:pos="5760"/>
        </w:tabs>
        <w:ind w:left="5760" w:hanging="360"/>
      </w:pPr>
    </w:lvl>
    <w:lvl w:ilvl="8" w:tplc="6BFE7216" w:tentative="1">
      <w:start w:val="1"/>
      <w:numFmt w:val="decimal"/>
      <w:lvlText w:val="%9."/>
      <w:lvlJc w:val="left"/>
      <w:pPr>
        <w:tabs>
          <w:tab w:val="num" w:pos="6480"/>
        </w:tabs>
        <w:ind w:left="6480" w:hanging="360"/>
      </w:pPr>
    </w:lvl>
  </w:abstractNum>
  <w:abstractNum w:abstractNumId="7" w15:restartNumberingAfterBreak="0">
    <w:nsid w:val="2E7F686E"/>
    <w:multiLevelType w:val="hybridMultilevel"/>
    <w:tmpl w:val="42F87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E43AAF"/>
    <w:multiLevelType w:val="hybridMultilevel"/>
    <w:tmpl w:val="F95C0B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467E5C"/>
    <w:multiLevelType w:val="hybridMultilevel"/>
    <w:tmpl w:val="BDA4DC68"/>
    <w:lvl w:ilvl="0" w:tplc="85EEA306">
      <w:start w:val="9"/>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DE46B3"/>
    <w:multiLevelType w:val="hybridMultilevel"/>
    <w:tmpl w:val="C026FED4"/>
    <w:lvl w:ilvl="0" w:tplc="0E1EE76C">
      <w:start w:val="1"/>
      <w:numFmt w:val="bullet"/>
      <w:lvlText w:val="•"/>
      <w:lvlJc w:val="left"/>
      <w:pPr>
        <w:tabs>
          <w:tab w:val="num" w:pos="720"/>
        </w:tabs>
        <w:ind w:left="720" w:hanging="360"/>
      </w:pPr>
      <w:rPr>
        <w:rFonts w:ascii="Times New Roman" w:hAnsi="Times New Roman" w:hint="default"/>
      </w:rPr>
    </w:lvl>
    <w:lvl w:ilvl="1" w:tplc="B82E5AD2">
      <w:start w:val="1"/>
      <w:numFmt w:val="bullet"/>
      <w:lvlText w:val="•"/>
      <w:lvlJc w:val="left"/>
      <w:pPr>
        <w:tabs>
          <w:tab w:val="num" w:pos="1440"/>
        </w:tabs>
        <w:ind w:left="1440" w:hanging="360"/>
      </w:pPr>
      <w:rPr>
        <w:rFonts w:ascii="Times New Roman" w:hAnsi="Times New Roman" w:hint="default"/>
      </w:rPr>
    </w:lvl>
    <w:lvl w:ilvl="2" w:tplc="BDDAF0AE" w:tentative="1">
      <w:start w:val="1"/>
      <w:numFmt w:val="bullet"/>
      <w:lvlText w:val="•"/>
      <w:lvlJc w:val="left"/>
      <w:pPr>
        <w:tabs>
          <w:tab w:val="num" w:pos="2160"/>
        </w:tabs>
        <w:ind w:left="2160" w:hanging="360"/>
      </w:pPr>
      <w:rPr>
        <w:rFonts w:ascii="Times New Roman" w:hAnsi="Times New Roman" w:hint="default"/>
      </w:rPr>
    </w:lvl>
    <w:lvl w:ilvl="3" w:tplc="0770D646" w:tentative="1">
      <w:start w:val="1"/>
      <w:numFmt w:val="bullet"/>
      <w:lvlText w:val="•"/>
      <w:lvlJc w:val="left"/>
      <w:pPr>
        <w:tabs>
          <w:tab w:val="num" w:pos="2880"/>
        </w:tabs>
        <w:ind w:left="2880" w:hanging="360"/>
      </w:pPr>
      <w:rPr>
        <w:rFonts w:ascii="Times New Roman" w:hAnsi="Times New Roman" w:hint="default"/>
      </w:rPr>
    </w:lvl>
    <w:lvl w:ilvl="4" w:tplc="BB368674" w:tentative="1">
      <w:start w:val="1"/>
      <w:numFmt w:val="bullet"/>
      <w:lvlText w:val="•"/>
      <w:lvlJc w:val="left"/>
      <w:pPr>
        <w:tabs>
          <w:tab w:val="num" w:pos="3600"/>
        </w:tabs>
        <w:ind w:left="3600" w:hanging="360"/>
      </w:pPr>
      <w:rPr>
        <w:rFonts w:ascii="Times New Roman" w:hAnsi="Times New Roman" w:hint="default"/>
      </w:rPr>
    </w:lvl>
    <w:lvl w:ilvl="5" w:tplc="A3A0A600" w:tentative="1">
      <w:start w:val="1"/>
      <w:numFmt w:val="bullet"/>
      <w:lvlText w:val="•"/>
      <w:lvlJc w:val="left"/>
      <w:pPr>
        <w:tabs>
          <w:tab w:val="num" w:pos="4320"/>
        </w:tabs>
        <w:ind w:left="4320" w:hanging="360"/>
      </w:pPr>
      <w:rPr>
        <w:rFonts w:ascii="Times New Roman" w:hAnsi="Times New Roman" w:hint="default"/>
      </w:rPr>
    </w:lvl>
    <w:lvl w:ilvl="6" w:tplc="E446DA26" w:tentative="1">
      <w:start w:val="1"/>
      <w:numFmt w:val="bullet"/>
      <w:lvlText w:val="•"/>
      <w:lvlJc w:val="left"/>
      <w:pPr>
        <w:tabs>
          <w:tab w:val="num" w:pos="5040"/>
        </w:tabs>
        <w:ind w:left="5040" w:hanging="360"/>
      </w:pPr>
      <w:rPr>
        <w:rFonts w:ascii="Times New Roman" w:hAnsi="Times New Roman" w:hint="default"/>
      </w:rPr>
    </w:lvl>
    <w:lvl w:ilvl="7" w:tplc="838AA838" w:tentative="1">
      <w:start w:val="1"/>
      <w:numFmt w:val="bullet"/>
      <w:lvlText w:val="•"/>
      <w:lvlJc w:val="left"/>
      <w:pPr>
        <w:tabs>
          <w:tab w:val="num" w:pos="5760"/>
        </w:tabs>
        <w:ind w:left="5760" w:hanging="360"/>
      </w:pPr>
      <w:rPr>
        <w:rFonts w:ascii="Times New Roman" w:hAnsi="Times New Roman" w:hint="default"/>
      </w:rPr>
    </w:lvl>
    <w:lvl w:ilvl="8" w:tplc="D5BABDE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F236EAC"/>
    <w:multiLevelType w:val="hybridMultilevel"/>
    <w:tmpl w:val="D63C5C88"/>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8559D5"/>
    <w:multiLevelType w:val="hybridMultilevel"/>
    <w:tmpl w:val="278E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431615"/>
    <w:multiLevelType w:val="hybridMultilevel"/>
    <w:tmpl w:val="AAF28810"/>
    <w:lvl w:ilvl="0" w:tplc="44B2C244">
      <w:start w:val="1"/>
      <w:numFmt w:val="decimal"/>
      <w:lvlText w:val="%1."/>
      <w:lvlJc w:val="left"/>
      <w:pPr>
        <w:tabs>
          <w:tab w:val="num" w:pos="720"/>
        </w:tabs>
        <w:ind w:left="720" w:hanging="360"/>
      </w:pPr>
    </w:lvl>
    <w:lvl w:ilvl="1" w:tplc="582E3FBA" w:tentative="1">
      <w:start w:val="1"/>
      <w:numFmt w:val="decimal"/>
      <w:lvlText w:val="%2."/>
      <w:lvlJc w:val="left"/>
      <w:pPr>
        <w:tabs>
          <w:tab w:val="num" w:pos="1440"/>
        </w:tabs>
        <w:ind w:left="1440" w:hanging="360"/>
      </w:pPr>
    </w:lvl>
    <w:lvl w:ilvl="2" w:tplc="46D84454" w:tentative="1">
      <w:start w:val="1"/>
      <w:numFmt w:val="decimal"/>
      <w:lvlText w:val="%3."/>
      <w:lvlJc w:val="left"/>
      <w:pPr>
        <w:tabs>
          <w:tab w:val="num" w:pos="2160"/>
        </w:tabs>
        <w:ind w:left="2160" w:hanging="360"/>
      </w:pPr>
    </w:lvl>
    <w:lvl w:ilvl="3" w:tplc="DCA0830E" w:tentative="1">
      <w:start w:val="1"/>
      <w:numFmt w:val="decimal"/>
      <w:lvlText w:val="%4."/>
      <w:lvlJc w:val="left"/>
      <w:pPr>
        <w:tabs>
          <w:tab w:val="num" w:pos="2880"/>
        </w:tabs>
        <w:ind w:left="2880" w:hanging="360"/>
      </w:pPr>
    </w:lvl>
    <w:lvl w:ilvl="4" w:tplc="4FE20EF0" w:tentative="1">
      <w:start w:val="1"/>
      <w:numFmt w:val="decimal"/>
      <w:lvlText w:val="%5."/>
      <w:lvlJc w:val="left"/>
      <w:pPr>
        <w:tabs>
          <w:tab w:val="num" w:pos="3600"/>
        </w:tabs>
        <w:ind w:left="3600" w:hanging="360"/>
      </w:pPr>
    </w:lvl>
    <w:lvl w:ilvl="5" w:tplc="7D7A14AC" w:tentative="1">
      <w:start w:val="1"/>
      <w:numFmt w:val="decimal"/>
      <w:lvlText w:val="%6."/>
      <w:lvlJc w:val="left"/>
      <w:pPr>
        <w:tabs>
          <w:tab w:val="num" w:pos="4320"/>
        </w:tabs>
        <w:ind w:left="4320" w:hanging="360"/>
      </w:pPr>
    </w:lvl>
    <w:lvl w:ilvl="6" w:tplc="843A3B2A" w:tentative="1">
      <w:start w:val="1"/>
      <w:numFmt w:val="decimal"/>
      <w:lvlText w:val="%7."/>
      <w:lvlJc w:val="left"/>
      <w:pPr>
        <w:tabs>
          <w:tab w:val="num" w:pos="5040"/>
        </w:tabs>
        <w:ind w:left="5040" w:hanging="360"/>
      </w:pPr>
    </w:lvl>
    <w:lvl w:ilvl="7" w:tplc="3FD64930" w:tentative="1">
      <w:start w:val="1"/>
      <w:numFmt w:val="decimal"/>
      <w:lvlText w:val="%8."/>
      <w:lvlJc w:val="left"/>
      <w:pPr>
        <w:tabs>
          <w:tab w:val="num" w:pos="5760"/>
        </w:tabs>
        <w:ind w:left="5760" w:hanging="360"/>
      </w:pPr>
    </w:lvl>
    <w:lvl w:ilvl="8" w:tplc="09AECCF2" w:tentative="1">
      <w:start w:val="1"/>
      <w:numFmt w:val="decimal"/>
      <w:lvlText w:val="%9."/>
      <w:lvlJc w:val="left"/>
      <w:pPr>
        <w:tabs>
          <w:tab w:val="num" w:pos="6480"/>
        </w:tabs>
        <w:ind w:left="6480" w:hanging="360"/>
      </w:pPr>
    </w:lvl>
  </w:abstractNum>
  <w:abstractNum w:abstractNumId="15" w15:restartNumberingAfterBreak="0">
    <w:nsid w:val="6A273638"/>
    <w:multiLevelType w:val="hybridMultilevel"/>
    <w:tmpl w:val="321A9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1DB2145"/>
    <w:multiLevelType w:val="hybridMultilevel"/>
    <w:tmpl w:val="3940A104"/>
    <w:lvl w:ilvl="0" w:tplc="0B2CFDA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E55679"/>
    <w:multiLevelType w:val="hybridMultilevel"/>
    <w:tmpl w:val="32D46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0C0C8B"/>
    <w:multiLevelType w:val="hybridMultilevel"/>
    <w:tmpl w:val="B2C237B6"/>
    <w:lvl w:ilvl="0" w:tplc="C86666C2">
      <w:start w:val="1"/>
      <w:numFmt w:val="bullet"/>
      <w:lvlText w:val="•"/>
      <w:lvlJc w:val="left"/>
      <w:pPr>
        <w:tabs>
          <w:tab w:val="num" w:pos="1080"/>
        </w:tabs>
        <w:ind w:left="1080" w:hanging="360"/>
      </w:pPr>
      <w:rPr>
        <w:rFonts w:ascii="Times New Roman" w:hAnsi="Times New Roman" w:hint="default"/>
      </w:rPr>
    </w:lvl>
    <w:lvl w:ilvl="1" w:tplc="98EAC582">
      <w:start w:val="525"/>
      <w:numFmt w:val="bullet"/>
      <w:lvlText w:val="–"/>
      <w:lvlJc w:val="left"/>
      <w:pPr>
        <w:tabs>
          <w:tab w:val="num" w:pos="1800"/>
        </w:tabs>
        <w:ind w:left="1800" w:hanging="360"/>
      </w:pPr>
      <w:rPr>
        <w:rFonts w:ascii="Times New Roman" w:hAnsi="Times New Roman" w:hint="default"/>
      </w:rPr>
    </w:lvl>
    <w:lvl w:ilvl="2" w:tplc="83C231D4" w:tentative="1">
      <w:start w:val="1"/>
      <w:numFmt w:val="bullet"/>
      <w:lvlText w:val="•"/>
      <w:lvlJc w:val="left"/>
      <w:pPr>
        <w:tabs>
          <w:tab w:val="num" w:pos="2520"/>
        </w:tabs>
        <w:ind w:left="2520" w:hanging="360"/>
      </w:pPr>
      <w:rPr>
        <w:rFonts w:ascii="Times New Roman" w:hAnsi="Times New Roman" w:hint="default"/>
      </w:rPr>
    </w:lvl>
    <w:lvl w:ilvl="3" w:tplc="F27282C2" w:tentative="1">
      <w:start w:val="1"/>
      <w:numFmt w:val="bullet"/>
      <w:lvlText w:val="•"/>
      <w:lvlJc w:val="left"/>
      <w:pPr>
        <w:tabs>
          <w:tab w:val="num" w:pos="3240"/>
        </w:tabs>
        <w:ind w:left="3240" w:hanging="360"/>
      </w:pPr>
      <w:rPr>
        <w:rFonts w:ascii="Times New Roman" w:hAnsi="Times New Roman" w:hint="default"/>
      </w:rPr>
    </w:lvl>
    <w:lvl w:ilvl="4" w:tplc="DD4C31D4" w:tentative="1">
      <w:start w:val="1"/>
      <w:numFmt w:val="bullet"/>
      <w:lvlText w:val="•"/>
      <w:lvlJc w:val="left"/>
      <w:pPr>
        <w:tabs>
          <w:tab w:val="num" w:pos="3960"/>
        </w:tabs>
        <w:ind w:left="3960" w:hanging="360"/>
      </w:pPr>
      <w:rPr>
        <w:rFonts w:ascii="Times New Roman" w:hAnsi="Times New Roman" w:hint="default"/>
      </w:rPr>
    </w:lvl>
    <w:lvl w:ilvl="5" w:tplc="1A9E8D4C" w:tentative="1">
      <w:start w:val="1"/>
      <w:numFmt w:val="bullet"/>
      <w:lvlText w:val="•"/>
      <w:lvlJc w:val="left"/>
      <w:pPr>
        <w:tabs>
          <w:tab w:val="num" w:pos="4680"/>
        </w:tabs>
        <w:ind w:left="4680" w:hanging="360"/>
      </w:pPr>
      <w:rPr>
        <w:rFonts w:ascii="Times New Roman" w:hAnsi="Times New Roman" w:hint="default"/>
      </w:rPr>
    </w:lvl>
    <w:lvl w:ilvl="6" w:tplc="26E0BE96" w:tentative="1">
      <w:start w:val="1"/>
      <w:numFmt w:val="bullet"/>
      <w:lvlText w:val="•"/>
      <w:lvlJc w:val="left"/>
      <w:pPr>
        <w:tabs>
          <w:tab w:val="num" w:pos="5400"/>
        </w:tabs>
        <w:ind w:left="5400" w:hanging="360"/>
      </w:pPr>
      <w:rPr>
        <w:rFonts w:ascii="Times New Roman" w:hAnsi="Times New Roman" w:hint="default"/>
      </w:rPr>
    </w:lvl>
    <w:lvl w:ilvl="7" w:tplc="2CC6FC18" w:tentative="1">
      <w:start w:val="1"/>
      <w:numFmt w:val="bullet"/>
      <w:lvlText w:val="•"/>
      <w:lvlJc w:val="left"/>
      <w:pPr>
        <w:tabs>
          <w:tab w:val="num" w:pos="6120"/>
        </w:tabs>
        <w:ind w:left="6120" w:hanging="360"/>
      </w:pPr>
      <w:rPr>
        <w:rFonts w:ascii="Times New Roman" w:hAnsi="Times New Roman" w:hint="default"/>
      </w:rPr>
    </w:lvl>
    <w:lvl w:ilvl="8" w:tplc="D22218DC" w:tentative="1">
      <w:start w:val="1"/>
      <w:numFmt w:val="bullet"/>
      <w:lvlText w:val="•"/>
      <w:lvlJc w:val="left"/>
      <w:pPr>
        <w:tabs>
          <w:tab w:val="num" w:pos="6840"/>
        </w:tabs>
        <w:ind w:left="6840" w:hanging="360"/>
      </w:pPr>
      <w:rPr>
        <w:rFonts w:ascii="Times New Roman" w:hAnsi="Times New Roman" w:hint="default"/>
      </w:rPr>
    </w:lvl>
  </w:abstractNum>
  <w:abstractNum w:abstractNumId="19" w15:restartNumberingAfterBreak="0">
    <w:nsid w:val="7C8B2926"/>
    <w:multiLevelType w:val="hybridMultilevel"/>
    <w:tmpl w:val="C5CCC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4"/>
  </w:num>
  <w:num w:numId="3">
    <w:abstractNumId w:val="6"/>
  </w:num>
  <w:num w:numId="4">
    <w:abstractNumId w:val="18"/>
  </w:num>
  <w:num w:numId="5">
    <w:abstractNumId w:val="2"/>
  </w:num>
  <w:num w:numId="6">
    <w:abstractNumId w:val="3"/>
  </w:num>
  <w:num w:numId="7">
    <w:abstractNumId w:val="17"/>
  </w:num>
  <w:num w:numId="8">
    <w:abstractNumId w:val="10"/>
  </w:num>
  <w:num w:numId="9">
    <w:abstractNumId w:val="0"/>
  </w:num>
  <w:num w:numId="10">
    <w:abstractNumId w:val="15"/>
  </w:num>
  <w:num w:numId="11">
    <w:abstractNumId w:val="12"/>
  </w:num>
  <w:num w:numId="12">
    <w:abstractNumId w:val="19"/>
  </w:num>
  <w:num w:numId="13">
    <w:abstractNumId w:val="1"/>
  </w:num>
  <w:num w:numId="14">
    <w:abstractNumId w:val="7"/>
  </w:num>
  <w:num w:numId="15">
    <w:abstractNumId w:val="8"/>
  </w:num>
  <w:num w:numId="16">
    <w:abstractNumId w:val="13"/>
  </w:num>
  <w:num w:numId="17">
    <w:abstractNumId w:val="5"/>
  </w:num>
  <w:num w:numId="18">
    <w:abstractNumId w:val="9"/>
  </w:num>
  <w:num w:numId="19">
    <w:abstractNumId w:val="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C86"/>
    <w:rsid w:val="0000477D"/>
    <w:rsid w:val="00004BCB"/>
    <w:rsid w:val="00006478"/>
    <w:rsid w:val="00015323"/>
    <w:rsid w:val="00025750"/>
    <w:rsid w:val="00025F06"/>
    <w:rsid w:val="00027DA9"/>
    <w:rsid w:val="00033794"/>
    <w:rsid w:val="00040C75"/>
    <w:rsid w:val="000606ED"/>
    <w:rsid w:val="00064465"/>
    <w:rsid w:val="00085889"/>
    <w:rsid w:val="000908C9"/>
    <w:rsid w:val="00091360"/>
    <w:rsid w:val="00094387"/>
    <w:rsid w:val="000A31C7"/>
    <w:rsid w:val="000B234B"/>
    <w:rsid w:val="000B60D2"/>
    <w:rsid w:val="000B6283"/>
    <w:rsid w:val="000B786E"/>
    <w:rsid w:val="000C5407"/>
    <w:rsid w:val="000D07D3"/>
    <w:rsid w:val="000D2E03"/>
    <w:rsid w:val="000D4E39"/>
    <w:rsid w:val="000E1D76"/>
    <w:rsid w:val="000F4DE1"/>
    <w:rsid w:val="000F661A"/>
    <w:rsid w:val="001012E7"/>
    <w:rsid w:val="00121ED3"/>
    <w:rsid w:val="00123880"/>
    <w:rsid w:val="00127AA7"/>
    <w:rsid w:val="00134749"/>
    <w:rsid w:val="00136F7E"/>
    <w:rsid w:val="00145AF1"/>
    <w:rsid w:val="001569BA"/>
    <w:rsid w:val="001908D2"/>
    <w:rsid w:val="001923C5"/>
    <w:rsid w:val="001A32CD"/>
    <w:rsid w:val="001B55F1"/>
    <w:rsid w:val="001D2A9C"/>
    <w:rsid w:val="001D7B7F"/>
    <w:rsid w:val="001E40B9"/>
    <w:rsid w:val="001F48DD"/>
    <w:rsid w:val="001F5925"/>
    <w:rsid w:val="00221ECE"/>
    <w:rsid w:val="002241B8"/>
    <w:rsid w:val="002254C5"/>
    <w:rsid w:val="00225736"/>
    <w:rsid w:val="00226386"/>
    <w:rsid w:val="00226FBF"/>
    <w:rsid w:val="0023074D"/>
    <w:rsid w:val="0023595F"/>
    <w:rsid w:val="00241C73"/>
    <w:rsid w:val="00250B91"/>
    <w:rsid w:val="00257CD0"/>
    <w:rsid w:val="002646A2"/>
    <w:rsid w:val="00267C18"/>
    <w:rsid w:val="00274BAD"/>
    <w:rsid w:val="0027614D"/>
    <w:rsid w:val="002932E5"/>
    <w:rsid w:val="002A2327"/>
    <w:rsid w:val="002A4536"/>
    <w:rsid w:val="002B2ED2"/>
    <w:rsid w:val="002B6639"/>
    <w:rsid w:val="002C51D9"/>
    <w:rsid w:val="002C58BE"/>
    <w:rsid w:val="002C68E8"/>
    <w:rsid w:val="002C6943"/>
    <w:rsid w:val="002D602E"/>
    <w:rsid w:val="002E14F4"/>
    <w:rsid w:val="002E20BD"/>
    <w:rsid w:val="002E55B8"/>
    <w:rsid w:val="002F0734"/>
    <w:rsid w:val="002F0EFB"/>
    <w:rsid w:val="002F5B56"/>
    <w:rsid w:val="002F6D5F"/>
    <w:rsid w:val="00316F36"/>
    <w:rsid w:val="00325198"/>
    <w:rsid w:val="0034005B"/>
    <w:rsid w:val="00344E71"/>
    <w:rsid w:val="0035409E"/>
    <w:rsid w:val="00354C2F"/>
    <w:rsid w:val="00363B59"/>
    <w:rsid w:val="0038282B"/>
    <w:rsid w:val="00387F4C"/>
    <w:rsid w:val="00390597"/>
    <w:rsid w:val="00391D07"/>
    <w:rsid w:val="00391DCF"/>
    <w:rsid w:val="0039245E"/>
    <w:rsid w:val="00397E79"/>
    <w:rsid w:val="003B290D"/>
    <w:rsid w:val="003B34F8"/>
    <w:rsid w:val="003B6AEB"/>
    <w:rsid w:val="003C500D"/>
    <w:rsid w:val="003D32AA"/>
    <w:rsid w:val="003E57BF"/>
    <w:rsid w:val="003F5B53"/>
    <w:rsid w:val="00401240"/>
    <w:rsid w:val="00413B24"/>
    <w:rsid w:val="00413C93"/>
    <w:rsid w:val="004148F8"/>
    <w:rsid w:val="00415A4E"/>
    <w:rsid w:val="00425CCF"/>
    <w:rsid w:val="00431BB7"/>
    <w:rsid w:val="00440136"/>
    <w:rsid w:val="00442CBC"/>
    <w:rsid w:val="00461DD5"/>
    <w:rsid w:val="00465843"/>
    <w:rsid w:val="00470BF7"/>
    <w:rsid w:val="00471186"/>
    <w:rsid w:val="004750E6"/>
    <w:rsid w:val="00480F1D"/>
    <w:rsid w:val="00483FA2"/>
    <w:rsid w:val="00485E58"/>
    <w:rsid w:val="00487F26"/>
    <w:rsid w:val="00492646"/>
    <w:rsid w:val="00494CAB"/>
    <w:rsid w:val="00495F20"/>
    <w:rsid w:val="004A09A5"/>
    <w:rsid w:val="004C5CDC"/>
    <w:rsid w:val="004D001E"/>
    <w:rsid w:val="004D6147"/>
    <w:rsid w:val="004D6DE3"/>
    <w:rsid w:val="004F7294"/>
    <w:rsid w:val="005052A0"/>
    <w:rsid w:val="00516713"/>
    <w:rsid w:val="0051758F"/>
    <w:rsid w:val="00521D12"/>
    <w:rsid w:val="0052327F"/>
    <w:rsid w:val="005251EA"/>
    <w:rsid w:val="00537705"/>
    <w:rsid w:val="00540C15"/>
    <w:rsid w:val="00542591"/>
    <w:rsid w:val="00553CD5"/>
    <w:rsid w:val="00561034"/>
    <w:rsid w:val="0056228C"/>
    <w:rsid w:val="005805F0"/>
    <w:rsid w:val="00584D1D"/>
    <w:rsid w:val="00585180"/>
    <w:rsid w:val="00595939"/>
    <w:rsid w:val="005A1B18"/>
    <w:rsid w:val="005A6208"/>
    <w:rsid w:val="005A685B"/>
    <w:rsid w:val="005B559B"/>
    <w:rsid w:val="005B76EB"/>
    <w:rsid w:val="005C6CF8"/>
    <w:rsid w:val="005C6E28"/>
    <w:rsid w:val="005E33D0"/>
    <w:rsid w:val="005E587F"/>
    <w:rsid w:val="005F18E5"/>
    <w:rsid w:val="00613359"/>
    <w:rsid w:val="00613EB3"/>
    <w:rsid w:val="00615044"/>
    <w:rsid w:val="00615333"/>
    <w:rsid w:val="00623744"/>
    <w:rsid w:val="006241EC"/>
    <w:rsid w:val="00641A0A"/>
    <w:rsid w:val="00651DA4"/>
    <w:rsid w:val="00653D72"/>
    <w:rsid w:val="00653DE4"/>
    <w:rsid w:val="006551E5"/>
    <w:rsid w:val="00674F23"/>
    <w:rsid w:val="00680F41"/>
    <w:rsid w:val="00687354"/>
    <w:rsid w:val="00690216"/>
    <w:rsid w:val="00693445"/>
    <w:rsid w:val="0069365C"/>
    <w:rsid w:val="00693F0D"/>
    <w:rsid w:val="006B08BC"/>
    <w:rsid w:val="006B244C"/>
    <w:rsid w:val="006B4CFE"/>
    <w:rsid w:val="006B52A0"/>
    <w:rsid w:val="006B607E"/>
    <w:rsid w:val="006B6A53"/>
    <w:rsid w:val="006B7181"/>
    <w:rsid w:val="006C63AE"/>
    <w:rsid w:val="006C7FFC"/>
    <w:rsid w:val="006D35E3"/>
    <w:rsid w:val="006D5E78"/>
    <w:rsid w:val="006D601D"/>
    <w:rsid w:val="006E0FB0"/>
    <w:rsid w:val="006E28BD"/>
    <w:rsid w:val="00700C86"/>
    <w:rsid w:val="007144CC"/>
    <w:rsid w:val="00722983"/>
    <w:rsid w:val="00725E78"/>
    <w:rsid w:val="007334CE"/>
    <w:rsid w:val="00733B3B"/>
    <w:rsid w:val="00742851"/>
    <w:rsid w:val="00750576"/>
    <w:rsid w:val="0075205E"/>
    <w:rsid w:val="00782609"/>
    <w:rsid w:val="00795D0D"/>
    <w:rsid w:val="007964F6"/>
    <w:rsid w:val="007A014F"/>
    <w:rsid w:val="007A4FDF"/>
    <w:rsid w:val="007A6334"/>
    <w:rsid w:val="007B525A"/>
    <w:rsid w:val="007B7AFF"/>
    <w:rsid w:val="007E1544"/>
    <w:rsid w:val="007E2718"/>
    <w:rsid w:val="007E30EE"/>
    <w:rsid w:val="007E3885"/>
    <w:rsid w:val="007E470A"/>
    <w:rsid w:val="00801680"/>
    <w:rsid w:val="0080620D"/>
    <w:rsid w:val="00813388"/>
    <w:rsid w:val="008145FA"/>
    <w:rsid w:val="008202DB"/>
    <w:rsid w:val="00822979"/>
    <w:rsid w:val="00823B1F"/>
    <w:rsid w:val="00823F91"/>
    <w:rsid w:val="00824D9D"/>
    <w:rsid w:val="0082626D"/>
    <w:rsid w:val="008309C2"/>
    <w:rsid w:val="008318E7"/>
    <w:rsid w:val="00833A74"/>
    <w:rsid w:val="00853034"/>
    <w:rsid w:val="00861400"/>
    <w:rsid w:val="00865AA8"/>
    <w:rsid w:val="00871B37"/>
    <w:rsid w:val="00871D10"/>
    <w:rsid w:val="0088551B"/>
    <w:rsid w:val="008A1568"/>
    <w:rsid w:val="008B51BB"/>
    <w:rsid w:val="008C03FD"/>
    <w:rsid w:val="008D4BEC"/>
    <w:rsid w:val="008D60AC"/>
    <w:rsid w:val="008E3C15"/>
    <w:rsid w:val="008E63F6"/>
    <w:rsid w:val="008F2A6F"/>
    <w:rsid w:val="00901502"/>
    <w:rsid w:val="009024A3"/>
    <w:rsid w:val="00920873"/>
    <w:rsid w:val="00927211"/>
    <w:rsid w:val="009325CE"/>
    <w:rsid w:val="00933057"/>
    <w:rsid w:val="0093368C"/>
    <w:rsid w:val="009336FA"/>
    <w:rsid w:val="00936501"/>
    <w:rsid w:val="00936A41"/>
    <w:rsid w:val="009603B9"/>
    <w:rsid w:val="009612D5"/>
    <w:rsid w:val="00963E8E"/>
    <w:rsid w:val="009645E9"/>
    <w:rsid w:val="00976D9E"/>
    <w:rsid w:val="0098239C"/>
    <w:rsid w:val="0099171E"/>
    <w:rsid w:val="009A18C5"/>
    <w:rsid w:val="009A4522"/>
    <w:rsid w:val="009B0ECD"/>
    <w:rsid w:val="009B1DBC"/>
    <w:rsid w:val="009B3DBD"/>
    <w:rsid w:val="009B480D"/>
    <w:rsid w:val="009B61EF"/>
    <w:rsid w:val="009C4E84"/>
    <w:rsid w:val="009D3302"/>
    <w:rsid w:val="009D4F2E"/>
    <w:rsid w:val="009D5361"/>
    <w:rsid w:val="009E3511"/>
    <w:rsid w:val="009E7163"/>
    <w:rsid w:val="009F5DBF"/>
    <w:rsid w:val="009F7D53"/>
    <w:rsid w:val="00A0116B"/>
    <w:rsid w:val="00A11E72"/>
    <w:rsid w:val="00A17530"/>
    <w:rsid w:val="00A177F7"/>
    <w:rsid w:val="00A20796"/>
    <w:rsid w:val="00A356E3"/>
    <w:rsid w:val="00A4028C"/>
    <w:rsid w:val="00A44B09"/>
    <w:rsid w:val="00A5558F"/>
    <w:rsid w:val="00A5607F"/>
    <w:rsid w:val="00A57928"/>
    <w:rsid w:val="00A57F09"/>
    <w:rsid w:val="00A73EE2"/>
    <w:rsid w:val="00A75D71"/>
    <w:rsid w:val="00A768B6"/>
    <w:rsid w:val="00A768D8"/>
    <w:rsid w:val="00A84758"/>
    <w:rsid w:val="00A85FE1"/>
    <w:rsid w:val="00AA24A3"/>
    <w:rsid w:val="00AB6601"/>
    <w:rsid w:val="00AC03E9"/>
    <w:rsid w:val="00AC3430"/>
    <w:rsid w:val="00AC420D"/>
    <w:rsid w:val="00AC7BA3"/>
    <w:rsid w:val="00AE249D"/>
    <w:rsid w:val="00AF03E4"/>
    <w:rsid w:val="00AF20A6"/>
    <w:rsid w:val="00B013CA"/>
    <w:rsid w:val="00B1356B"/>
    <w:rsid w:val="00B21E3F"/>
    <w:rsid w:val="00B30266"/>
    <w:rsid w:val="00B31CF1"/>
    <w:rsid w:val="00B416DE"/>
    <w:rsid w:val="00B43485"/>
    <w:rsid w:val="00B562C8"/>
    <w:rsid w:val="00B6072D"/>
    <w:rsid w:val="00B61C41"/>
    <w:rsid w:val="00B653CB"/>
    <w:rsid w:val="00B6640B"/>
    <w:rsid w:val="00B75A29"/>
    <w:rsid w:val="00B8720F"/>
    <w:rsid w:val="00BA750B"/>
    <w:rsid w:val="00BB1BB2"/>
    <w:rsid w:val="00BB4292"/>
    <w:rsid w:val="00BC3762"/>
    <w:rsid w:val="00BE1CBC"/>
    <w:rsid w:val="00C0597C"/>
    <w:rsid w:val="00C10B98"/>
    <w:rsid w:val="00C123A6"/>
    <w:rsid w:val="00C12505"/>
    <w:rsid w:val="00C25793"/>
    <w:rsid w:val="00C26761"/>
    <w:rsid w:val="00C26FDF"/>
    <w:rsid w:val="00C450CF"/>
    <w:rsid w:val="00C47731"/>
    <w:rsid w:val="00C57BD6"/>
    <w:rsid w:val="00C61DBE"/>
    <w:rsid w:val="00C71F6C"/>
    <w:rsid w:val="00C7395A"/>
    <w:rsid w:val="00C822AB"/>
    <w:rsid w:val="00C827FF"/>
    <w:rsid w:val="00C82885"/>
    <w:rsid w:val="00C82F17"/>
    <w:rsid w:val="00C85DEB"/>
    <w:rsid w:val="00C93380"/>
    <w:rsid w:val="00C93D60"/>
    <w:rsid w:val="00C94A7F"/>
    <w:rsid w:val="00CA0F27"/>
    <w:rsid w:val="00CB1A73"/>
    <w:rsid w:val="00CB2AB4"/>
    <w:rsid w:val="00CB38EB"/>
    <w:rsid w:val="00CB4DC6"/>
    <w:rsid w:val="00CB5C74"/>
    <w:rsid w:val="00CC7245"/>
    <w:rsid w:val="00CC793D"/>
    <w:rsid w:val="00CD102B"/>
    <w:rsid w:val="00CD6080"/>
    <w:rsid w:val="00CE5371"/>
    <w:rsid w:val="00D137C7"/>
    <w:rsid w:val="00D155AC"/>
    <w:rsid w:val="00D301AE"/>
    <w:rsid w:val="00D30ADC"/>
    <w:rsid w:val="00D36711"/>
    <w:rsid w:val="00D4060A"/>
    <w:rsid w:val="00D428C4"/>
    <w:rsid w:val="00D5285A"/>
    <w:rsid w:val="00D57AA4"/>
    <w:rsid w:val="00D61903"/>
    <w:rsid w:val="00D64BF0"/>
    <w:rsid w:val="00D65579"/>
    <w:rsid w:val="00D6606A"/>
    <w:rsid w:val="00D86583"/>
    <w:rsid w:val="00D92FBB"/>
    <w:rsid w:val="00DB251A"/>
    <w:rsid w:val="00DB4A67"/>
    <w:rsid w:val="00DB4CC7"/>
    <w:rsid w:val="00DC7267"/>
    <w:rsid w:val="00DE78F2"/>
    <w:rsid w:val="00DE7CF7"/>
    <w:rsid w:val="00E05C77"/>
    <w:rsid w:val="00E061F9"/>
    <w:rsid w:val="00E12F1C"/>
    <w:rsid w:val="00E149A5"/>
    <w:rsid w:val="00E271A5"/>
    <w:rsid w:val="00E335E2"/>
    <w:rsid w:val="00E36CB1"/>
    <w:rsid w:val="00E40F01"/>
    <w:rsid w:val="00E411AD"/>
    <w:rsid w:val="00E41DE0"/>
    <w:rsid w:val="00E42D09"/>
    <w:rsid w:val="00E562BB"/>
    <w:rsid w:val="00E60AC4"/>
    <w:rsid w:val="00E61CD7"/>
    <w:rsid w:val="00E63434"/>
    <w:rsid w:val="00E71EB6"/>
    <w:rsid w:val="00E73BDA"/>
    <w:rsid w:val="00E77022"/>
    <w:rsid w:val="00E81246"/>
    <w:rsid w:val="00E86D0C"/>
    <w:rsid w:val="00E92289"/>
    <w:rsid w:val="00EB2DF9"/>
    <w:rsid w:val="00EC306E"/>
    <w:rsid w:val="00EC526D"/>
    <w:rsid w:val="00EE2CCF"/>
    <w:rsid w:val="00EE3354"/>
    <w:rsid w:val="00F026D3"/>
    <w:rsid w:val="00F0393D"/>
    <w:rsid w:val="00F10979"/>
    <w:rsid w:val="00F122EC"/>
    <w:rsid w:val="00F35128"/>
    <w:rsid w:val="00F4195C"/>
    <w:rsid w:val="00F506E7"/>
    <w:rsid w:val="00F633A3"/>
    <w:rsid w:val="00F66727"/>
    <w:rsid w:val="00F70F9B"/>
    <w:rsid w:val="00F71256"/>
    <w:rsid w:val="00F7453E"/>
    <w:rsid w:val="00F82F01"/>
    <w:rsid w:val="00FA08A6"/>
    <w:rsid w:val="00FA3697"/>
    <w:rsid w:val="00FB2A1A"/>
    <w:rsid w:val="00FB698D"/>
    <w:rsid w:val="00FC2CC7"/>
    <w:rsid w:val="00FD2A48"/>
    <w:rsid w:val="00FD330C"/>
    <w:rsid w:val="00FE5B8A"/>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3FF88F"/>
  <w15:docId w15:val="{3BA68CCC-7CC5-46E6-9485-A8D6AA2F5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2D09"/>
    <w:pPr>
      <w:spacing w:before="120" w:after="120" w:line="276" w:lineRule="auto"/>
    </w:pPr>
    <w:rPr>
      <w:sz w:val="22"/>
      <w:szCs w:val="22"/>
    </w:rPr>
  </w:style>
  <w:style w:type="paragraph" w:styleId="Heading1">
    <w:name w:val="heading 1"/>
    <w:basedOn w:val="Normal"/>
    <w:next w:val="Normal"/>
    <w:link w:val="Heading1Char"/>
    <w:uiPriority w:val="9"/>
    <w:qFormat/>
    <w:rsid w:val="00E42D09"/>
    <w:pPr>
      <w:keepNext/>
      <w:keepLines/>
      <w:spacing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149A5"/>
    <w:pPr>
      <w:keepNext/>
      <w:keepLines/>
      <w:spacing w:before="0" w:after="2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145FA"/>
    <w:rPr>
      <w:color w:val="808080"/>
    </w:rPr>
  </w:style>
  <w:style w:type="paragraph" w:styleId="BalloonText">
    <w:name w:val="Balloon Text"/>
    <w:basedOn w:val="Normal"/>
    <w:link w:val="BalloonTextChar"/>
    <w:semiHidden/>
    <w:unhideWhenUsed/>
    <w:rsid w:val="008145F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145FA"/>
    <w:rPr>
      <w:rFonts w:ascii="Tahoma" w:hAnsi="Tahoma" w:cs="Tahoma"/>
      <w:sz w:val="16"/>
      <w:szCs w:val="16"/>
    </w:rPr>
  </w:style>
  <w:style w:type="paragraph" w:styleId="Revision">
    <w:name w:val="Revision"/>
    <w:hidden/>
    <w:uiPriority w:val="99"/>
    <w:semiHidden/>
    <w:rsid w:val="007E470A"/>
    <w:rPr>
      <w:sz w:val="22"/>
      <w:szCs w:val="22"/>
    </w:rPr>
  </w:style>
  <w:style w:type="paragraph" w:styleId="ListParagraph">
    <w:name w:val="List Paragraph"/>
    <w:basedOn w:val="Normal"/>
    <w:uiPriority w:val="34"/>
    <w:qFormat/>
    <w:rsid w:val="00824D9D"/>
    <w:pPr>
      <w:ind w:left="720"/>
      <w:contextualSpacing/>
    </w:pPr>
  </w:style>
  <w:style w:type="paragraph" w:styleId="Header">
    <w:name w:val="header"/>
    <w:basedOn w:val="Normal"/>
    <w:link w:val="HeaderChar"/>
    <w:unhideWhenUsed/>
    <w:rsid w:val="00354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09E"/>
  </w:style>
  <w:style w:type="paragraph" w:styleId="Footer">
    <w:name w:val="footer"/>
    <w:basedOn w:val="Normal"/>
    <w:link w:val="FooterChar"/>
    <w:uiPriority w:val="99"/>
    <w:unhideWhenUsed/>
    <w:rsid w:val="00354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09E"/>
  </w:style>
  <w:style w:type="paragraph" w:customStyle="1" w:styleId="T1">
    <w:name w:val="T1"/>
    <w:basedOn w:val="Normal"/>
    <w:rsid w:val="009D4F2E"/>
    <w:pPr>
      <w:spacing w:after="0" w:line="240" w:lineRule="auto"/>
      <w:jc w:val="center"/>
    </w:pPr>
    <w:rPr>
      <w:rFonts w:ascii="Times New Roman" w:eastAsia="Times New Roman" w:hAnsi="Times New Roman" w:cs="Times New Roman"/>
      <w:b/>
      <w:sz w:val="28"/>
      <w:szCs w:val="20"/>
      <w:lang w:val="en-GB" w:bidi="ar-SA"/>
    </w:rPr>
  </w:style>
  <w:style w:type="paragraph" w:customStyle="1" w:styleId="T2">
    <w:name w:val="T2"/>
    <w:basedOn w:val="T1"/>
    <w:rsid w:val="009D4F2E"/>
    <w:pPr>
      <w:spacing w:after="240"/>
      <w:ind w:left="720" w:right="720"/>
    </w:pPr>
  </w:style>
  <w:style w:type="table" w:styleId="TableGrid">
    <w:name w:val="Table Grid"/>
    <w:basedOn w:val="TableNormal"/>
    <w:uiPriority w:val="39"/>
    <w:rsid w:val="00826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EE2CCF"/>
    <w:rPr>
      <w:sz w:val="16"/>
      <w:szCs w:val="16"/>
    </w:rPr>
  </w:style>
  <w:style w:type="paragraph" w:styleId="CommentText">
    <w:name w:val="annotation text"/>
    <w:basedOn w:val="Normal"/>
    <w:link w:val="CommentTextChar"/>
    <w:semiHidden/>
    <w:rsid w:val="00EE2CCF"/>
    <w:pPr>
      <w:spacing w:after="0" w:line="240" w:lineRule="auto"/>
    </w:pPr>
    <w:rPr>
      <w:rFonts w:ascii="Arial" w:eastAsia="Times New Roman" w:hAnsi="Arial" w:cs="Times New Roman"/>
      <w:sz w:val="20"/>
      <w:szCs w:val="20"/>
      <w:lang w:bidi="ar-SA"/>
    </w:rPr>
  </w:style>
  <w:style w:type="character" w:customStyle="1" w:styleId="CommentTextChar">
    <w:name w:val="Comment Text Char"/>
    <w:basedOn w:val="DefaultParagraphFont"/>
    <w:link w:val="CommentText"/>
    <w:semiHidden/>
    <w:rsid w:val="00EE2CCF"/>
    <w:rPr>
      <w:rFonts w:ascii="Arial" w:eastAsia="Times New Roman" w:hAnsi="Arial" w:cs="Times New Roman"/>
      <w:lang w:bidi="ar-SA"/>
    </w:rPr>
  </w:style>
  <w:style w:type="paragraph" w:styleId="CommentSubject">
    <w:name w:val="annotation subject"/>
    <w:basedOn w:val="CommentText"/>
    <w:next w:val="CommentText"/>
    <w:link w:val="CommentSubjectChar"/>
    <w:uiPriority w:val="99"/>
    <w:semiHidden/>
    <w:unhideWhenUsed/>
    <w:rsid w:val="00CE5371"/>
    <w:pPr>
      <w:spacing w:after="200"/>
    </w:pPr>
    <w:rPr>
      <w:rFonts w:ascii="Calibri" w:eastAsia="Calibri" w:hAnsi="Calibri" w:cs="Arial"/>
      <w:b/>
      <w:bCs/>
      <w:lang w:bidi="he-IL"/>
    </w:rPr>
  </w:style>
  <w:style w:type="character" w:customStyle="1" w:styleId="CommentSubjectChar">
    <w:name w:val="Comment Subject Char"/>
    <w:basedOn w:val="CommentTextChar"/>
    <w:link w:val="CommentSubject"/>
    <w:uiPriority w:val="99"/>
    <w:semiHidden/>
    <w:rsid w:val="00CE5371"/>
    <w:rPr>
      <w:rFonts w:ascii="Arial" w:eastAsia="Times New Roman" w:hAnsi="Arial" w:cs="Times New Roman"/>
      <w:b/>
      <w:bCs/>
      <w:lang w:bidi="ar-SA"/>
    </w:rPr>
  </w:style>
  <w:style w:type="paragraph" w:styleId="PlainText">
    <w:name w:val="Plain Text"/>
    <w:basedOn w:val="Normal"/>
    <w:link w:val="PlainTextChar"/>
    <w:uiPriority w:val="99"/>
    <w:unhideWhenUsed/>
    <w:rsid w:val="00D301AE"/>
    <w:pPr>
      <w:spacing w:after="0" w:line="240" w:lineRule="auto"/>
    </w:pPr>
    <w:rPr>
      <w:rFonts w:eastAsiaTheme="minorHAnsi" w:cs="Consolas"/>
      <w:szCs w:val="21"/>
    </w:rPr>
  </w:style>
  <w:style w:type="character" w:customStyle="1" w:styleId="PlainTextChar">
    <w:name w:val="Plain Text Char"/>
    <w:basedOn w:val="DefaultParagraphFont"/>
    <w:link w:val="PlainText"/>
    <w:uiPriority w:val="99"/>
    <w:rsid w:val="00D301AE"/>
    <w:rPr>
      <w:rFonts w:eastAsiaTheme="minorHAnsi" w:cs="Consolas"/>
      <w:sz w:val="22"/>
      <w:szCs w:val="21"/>
    </w:rPr>
  </w:style>
  <w:style w:type="character" w:styleId="Hyperlink">
    <w:name w:val="Hyperlink"/>
    <w:basedOn w:val="DefaultParagraphFont"/>
    <w:uiPriority w:val="99"/>
    <w:unhideWhenUsed/>
    <w:rsid w:val="00CB4DC6"/>
    <w:rPr>
      <w:color w:val="0000FF" w:themeColor="hyperlink"/>
      <w:u w:val="single"/>
    </w:rPr>
  </w:style>
  <w:style w:type="character" w:customStyle="1" w:styleId="Heading1Char">
    <w:name w:val="Heading 1 Char"/>
    <w:basedOn w:val="DefaultParagraphFont"/>
    <w:link w:val="Heading1"/>
    <w:uiPriority w:val="9"/>
    <w:rsid w:val="00E42D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149A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68508143">
      <w:bodyDiv w:val="1"/>
      <w:marLeft w:val="0"/>
      <w:marRight w:val="0"/>
      <w:marTop w:val="0"/>
      <w:marBottom w:val="0"/>
      <w:divBdr>
        <w:top w:val="none" w:sz="0" w:space="0" w:color="auto"/>
        <w:left w:val="none" w:sz="0" w:space="0" w:color="auto"/>
        <w:bottom w:val="none" w:sz="0" w:space="0" w:color="auto"/>
        <w:right w:val="none" w:sz="0" w:space="0" w:color="auto"/>
      </w:divBdr>
    </w:div>
    <w:div w:id="698705705">
      <w:bodyDiv w:val="1"/>
      <w:marLeft w:val="0"/>
      <w:marRight w:val="0"/>
      <w:marTop w:val="0"/>
      <w:marBottom w:val="0"/>
      <w:divBdr>
        <w:top w:val="none" w:sz="0" w:space="0" w:color="auto"/>
        <w:left w:val="none" w:sz="0" w:space="0" w:color="auto"/>
        <w:bottom w:val="none" w:sz="0" w:space="0" w:color="auto"/>
        <w:right w:val="none" w:sz="0" w:space="0" w:color="auto"/>
      </w:divBdr>
    </w:div>
    <w:div w:id="749276896">
      <w:bodyDiv w:val="1"/>
      <w:marLeft w:val="0"/>
      <w:marRight w:val="0"/>
      <w:marTop w:val="0"/>
      <w:marBottom w:val="0"/>
      <w:divBdr>
        <w:top w:val="none" w:sz="0" w:space="0" w:color="auto"/>
        <w:left w:val="none" w:sz="0" w:space="0" w:color="auto"/>
        <w:bottom w:val="none" w:sz="0" w:space="0" w:color="auto"/>
        <w:right w:val="none" w:sz="0" w:space="0" w:color="auto"/>
      </w:divBdr>
    </w:div>
    <w:div w:id="770202862">
      <w:bodyDiv w:val="1"/>
      <w:marLeft w:val="0"/>
      <w:marRight w:val="0"/>
      <w:marTop w:val="0"/>
      <w:marBottom w:val="0"/>
      <w:divBdr>
        <w:top w:val="none" w:sz="0" w:space="0" w:color="auto"/>
        <w:left w:val="none" w:sz="0" w:space="0" w:color="auto"/>
        <w:bottom w:val="none" w:sz="0" w:space="0" w:color="auto"/>
        <w:right w:val="none" w:sz="0" w:space="0" w:color="auto"/>
      </w:divBdr>
    </w:div>
    <w:div w:id="789709590">
      <w:bodyDiv w:val="1"/>
      <w:marLeft w:val="0"/>
      <w:marRight w:val="0"/>
      <w:marTop w:val="0"/>
      <w:marBottom w:val="0"/>
      <w:divBdr>
        <w:top w:val="none" w:sz="0" w:space="0" w:color="auto"/>
        <w:left w:val="none" w:sz="0" w:space="0" w:color="auto"/>
        <w:bottom w:val="none" w:sz="0" w:space="0" w:color="auto"/>
        <w:right w:val="none" w:sz="0" w:space="0" w:color="auto"/>
      </w:divBdr>
    </w:div>
    <w:div w:id="880476430">
      <w:bodyDiv w:val="1"/>
      <w:marLeft w:val="0"/>
      <w:marRight w:val="0"/>
      <w:marTop w:val="0"/>
      <w:marBottom w:val="0"/>
      <w:divBdr>
        <w:top w:val="none" w:sz="0" w:space="0" w:color="auto"/>
        <w:left w:val="none" w:sz="0" w:space="0" w:color="auto"/>
        <w:bottom w:val="none" w:sz="0" w:space="0" w:color="auto"/>
        <w:right w:val="none" w:sz="0" w:space="0" w:color="auto"/>
      </w:divBdr>
    </w:div>
    <w:div w:id="1108426157">
      <w:bodyDiv w:val="1"/>
      <w:marLeft w:val="0"/>
      <w:marRight w:val="0"/>
      <w:marTop w:val="0"/>
      <w:marBottom w:val="0"/>
      <w:divBdr>
        <w:top w:val="none" w:sz="0" w:space="0" w:color="auto"/>
        <w:left w:val="none" w:sz="0" w:space="0" w:color="auto"/>
        <w:bottom w:val="none" w:sz="0" w:space="0" w:color="auto"/>
        <w:right w:val="none" w:sz="0" w:space="0" w:color="auto"/>
      </w:divBdr>
    </w:div>
    <w:div w:id="1162771466">
      <w:bodyDiv w:val="1"/>
      <w:marLeft w:val="0"/>
      <w:marRight w:val="0"/>
      <w:marTop w:val="0"/>
      <w:marBottom w:val="0"/>
      <w:divBdr>
        <w:top w:val="none" w:sz="0" w:space="0" w:color="auto"/>
        <w:left w:val="none" w:sz="0" w:space="0" w:color="auto"/>
        <w:bottom w:val="none" w:sz="0" w:space="0" w:color="auto"/>
        <w:right w:val="none" w:sz="0" w:space="0" w:color="auto"/>
      </w:divBdr>
    </w:div>
    <w:div w:id="1231117044">
      <w:bodyDiv w:val="1"/>
      <w:marLeft w:val="0"/>
      <w:marRight w:val="0"/>
      <w:marTop w:val="0"/>
      <w:marBottom w:val="0"/>
      <w:divBdr>
        <w:top w:val="none" w:sz="0" w:space="0" w:color="auto"/>
        <w:left w:val="none" w:sz="0" w:space="0" w:color="auto"/>
        <w:bottom w:val="none" w:sz="0" w:space="0" w:color="auto"/>
        <w:right w:val="none" w:sz="0" w:space="0" w:color="auto"/>
      </w:divBdr>
    </w:div>
    <w:div w:id="1301575943">
      <w:bodyDiv w:val="1"/>
      <w:marLeft w:val="0"/>
      <w:marRight w:val="0"/>
      <w:marTop w:val="0"/>
      <w:marBottom w:val="0"/>
      <w:divBdr>
        <w:top w:val="none" w:sz="0" w:space="0" w:color="auto"/>
        <w:left w:val="none" w:sz="0" w:space="0" w:color="auto"/>
        <w:bottom w:val="none" w:sz="0" w:space="0" w:color="auto"/>
        <w:right w:val="none" w:sz="0" w:space="0" w:color="auto"/>
      </w:divBdr>
    </w:div>
    <w:div w:id="1368021197">
      <w:bodyDiv w:val="1"/>
      <w:marLeft w:val="0"/>
      <w:marRight w:val="0"/>
      <w:marTop w:val="0"/>
      <w:marBottom w:val="0"/>
      <w:divBdr>
        <w:top w:val="none" w:sz="0" w:space="0" w:color="auto"/>
        <w:left w:val="none" w:sz="0" w:space="0" w:color="auto"/>
        <w:bottom w:val="none" w:sz="0" w:space="0" w:color="auto"/>
        <w:right w:val="none" w:sz="0" w:space="0" w:color="auto"/>
      </w:divBdr>
      <w:divsChild>
        <w:div w:id="2119324626">
          <w:marLeft w:val="1714"/>
          <w:marRight w:val="0"/>
          <w:marTop w:val="96"/>
          <w:marBottom w:val="0"/>
          <w:divBdr>
            <w:top w:val="none" w:sz="0" w:space="0" w:color="auto"/>
            <w:left w:val="none" w:sz="0" w:space="0" w:color="auto"/>
            <w:bottom w:val="none" w:sz="0" w:space="0" w:color="auto"/>
            <w:right w:val="none" w:sz="0" w:space="0" w:color="auto"/>
          </w:divBdr>
        </w:div>
      </w:divsChild>
    </w:div>
    <w:div w:id="1400905052">
      <w:bodyDiv w:val="1"/>
      <w:marLeft w:val="0"/>
      <w:marRight w:val="0"/>
      <w:marTop w:val="0"/>
      <w:marBottom w:val="0"/>
      <w:divBdr>
        <w:top w:val="none" w:sz="0" w:space="0" w:color="auto"/>
        <w:left w:val="none" w:sz="0" w:space="0" w:color="auto"/>
        <w:bottom w:val="none" w:sz="0" w:space="0" w:color="auto"/>
        <w:right w:val="none" w:sz="0" w:space="0" w:color="auto"/>
      </w:divBdr>
    </w:div>
    <w:div w:id="1454444514">
      <w:bodyDiv w:val="1"/>
      <w:marLeft w:val="0"/>
      <w:marRight w:val="0"/>
      <w:marTop w:val="0"/>
      <w:marBottom w:val="0"/>
      <w:divBdr>
        <w:top w:val="none" w:sz="0" w:space="0" w:color="auto"/>
        <w:left w:val="none" w:sz="0" w:space="0" w:color="auto"/>
        <w:bottom w:val="none" w:sz="0" w:space="0" w:color="auto"/>
        <w:right w:val="none" w:sz="0" w:space="0" w:color="auto"/>
      </w:divBdr>
    </w:div>
    <w:div w:id="1455715872">
      <w:bodyDiv w:val="1"/>
      <w:marLeft w:val="0"/>
      <w:marRight w:val="0"/>
      <w:marTop w:val="0"/>
      <w:marBottom w:val="0"/>
      <w:divBdr>
        <w:top w:val="none" w:sz="0" w:space="0" w:color="auto"/>
        <w:left w:val="none" w:sz="0" w:space="0" w:color="auto"/>
        <w:bottom w:val="none" w:sz="0" w:space="0" w:color="auto"/>
        <w:right w:val="none" w:sz="0" w:space="0" w:color="auto"/>
      </w:divBdr>
    </w:div>
    <w:div w:id="1654678901">
      <w:bodyDiv w:val="1"/>
      <w:marLeft w:val="0"/>
      <w:marRight w:val="0"/>
      <w:marTop w:val="0"/>
      <w:marBottom w:val="0"/>
      <w:divBdr>
        <w:top w:val="none" w:sz="0" w:space="0" w:color="auto"/>
        <w:left w:val="none" w:sz="0" w:space="0" w:color="auto"/>
        <w:bottom w:val="none" w:sz="0" w:space="0" w:color="auto"/>
        <w:right w:val="none" w:sz="0" w:space="0" w:color="auto"/>
      </w:divBdr>
    </w:div>
    <w:div w:id="1854878133">
      <w:bodyDiv w:val="1"/>
      <w:marLeft w:val="0"/>
      <w:marRight w:val="0"/>
      <w:marTop w:val="0"/>
      <w:marBottom w:val="0"/>
      <w:divBdr>
        <w:top w:val="none" w:sz="0" w:space="0" w:color="auto"/>
        <w:left w:val="none" w:sz="0" w:space="0" w:color="auto"/>
        <w:bottom w:val="none" w:sz="0" w:space="0" w:color="auto"/>
        <w:right w:val="none" w:sz="0" w:space="0" w:color="auto"/>
      </w:divBdr>
    </w:div>
    <w:div w:id="1880386651">
      <w:bodyDiv w:val="1"/>
      <w:marLeft w:val="0"/>
      <w:marRight w:val="0"/>
      <w:marTop w:val="0"/>
      <w:marBottom w:val="0"/>
      <w:divBdr>
        <w:top w:val="none" w:sz="0" w:space="0" w:color="auto"/>
        <w:left w:val="none" w:sz="0" w:space="0" w:color="auto"/>
        <w:bottom w:val="none" w:sz="0" w:space="0" w:color="auto"/>
        <w:right w:val="none" w:sz="0" w:space="0" w:color="auto"/>
      </w:divBdr>
      <w:divsChild>
        <w:div w:id="173152717">
          <w:marLeft w:val="720"/>
          <w:marRight w:val="0"/>
          <w:marTop w:val="0"/>
          <w:marBottom w:val="0"/>
          <w:divBdr>
            <w:top w:val="none" w:sz="0" w:space="0" w:color="auto"/>
            <w:left w:val="none" w:sz="0" w:space="0" w:color="auto"/>
            <w:bottom w:val="none" w:sz="0" w:space="0" w:color="auto"/>
            <w:right w:val="none" w:sz="0" w:space="0" w:color="auto"/>
          </w:divBdr>
        </w:div>
        <w:div w:id="438599173">
          <w:marLeft w:val="720"/>
          <w:marRight w:val="0"/>
          <w:marTop w:val="0"/>
          <w:marBottom w:val="0"/>
          <w:divBdr>
            <w:top w:val="none" w:sz="0" w:space="0" w:color="auto"/>
            <w:left w:val="none" w:sz="0" w:space="0" w:color="auto"/>
            <w:bottom w:val="none" w:sz="0" w:space="0" w:color="auto"/>
            <w:right w:val="none" w:sz="0" w:space="0" w:color="auto"/>
          </w:divBdr>
        </w:div>
        <w:div w:id="464853689">
          <w:marLeft w:val="720"/>
          <w:marRight w:val="0"/>
          <w:marTop w:val="0"/>
          <w:marBottom w:val="0"/>
          <w:divBdr>
            <w:top w:val="none" w:sz="0" w:space="0" w:color="auto"/>
            <w:left w:val="none" w:sz="0" w:space="0" w:color="auto"/>
            <w:bottom w:val="none" w:sz="0" w:space="0" w:color="auto"/>
            <w:right w:val="none" w:sz="0" w:space="0" w:color="auto"/>
          </w:divBdr>
        </w:div>
        <w:div w:id="550313232">
          <w:marLeft w:val="720"/>
          <w:marRight w:val="0"/>
          <w:marTop w:val="0"/>
          <w:marBottom w:val="0"/>
          <w:divBdr>
            <w:top w:val="none" w:sz="0" w:space="0" w:color="auto"/>
            <w:left w:val="none" w:sz="0" w:space="0" w:color="auto"/>
            <w:bottom w:val="none" w:sz="0" w:space="0" w:color="auto"/>
            <w:right w:val="none" w:sz="0" w:space="0" w:color="auto"/>
          </w:divBdr>
        </w:div>
        <w:div w:id="741296971">
          <w:marLeft w:val="720"/>
          <w:marRight w:val="0"/>
          <w:marTop w:val="0"/>
          <w:marBottom w:val="0"/>
          <w:divBdr>
            <w:top w:val="none" w:sz="0" w:space="0" w:color="auto"/>
            <w:left w:val="none" w:sz="0" w:space="0" w:color="auto"/>
            <w:bottom w:val="none" w:sz="0" w:space="0" w:color="auto"/>
            <w:right w:val="none" w:sz="0" w:space="0" w:color="auto"/>
          </w:divBdr>
        </w:div>
        <w:div w:id="802817534">
          <w:marLeft w:val="720"/>
          <w:marRight w:val="0"/>
          <w:marTop w:val="0"/>
          <w:marBottom w:val="0"/>
          <w:divBdr>
            <w:top w:val="none" w:sz="0" w:space="0" w:color="auto"/>
            <w:left w:val="none" w:sz="0" w:space="0" w:color="auto"/>
            <w:bottom w:val="none" w:sz="0" w:space="0" w:color="auto"/>
            <w:right w:val="none" w:sz="0" w:space="0" w:color="auto"/>
          </w:divBdr>
        </w:div>
        <w:div w:id="857432625">
          <w:marLeft w:val="720"/>
          <w:marRight w:val="0"/>
          <w:marTop w:val="0"/>
          <w:marBottom w:val="0"/>
          <w:divBdr>
            <w:top w:val="none" w:sz="0" w:space="0" w:color="auto"/>
            <w:left w:val="none" w:sz="0" w:space="0" w:color="auto"/>
            <w:bottom w:val="none" w:sz="0" w:space="0" w:color="auto"/>
            <w:right w:val="none" w:sz="0" w:space="0" w:color="auto"/>
          </w:divBdr>
        </w:div>
        <w:div w:id="973412503">
          <w:marLeft w:val="720"/>
          <w:marRight w:val="0"/>
          <w:marTop w:val="0"/>
          <w:marBottom w:val="0"/>
          <w:divBdr>
            <w:top w:val="none" w:sz="0" w:space="0" w:color="auto"/>
            <w:left w:val="none" w:sz="0" w:space="0" w:color="auto"/>
            <w:bottom w:val="none" w:sz="0" w:space="0" w:color="auto"/>
            <w:right w:val="none" w:sz="0" w:space="0" w:color="auto"/>
          </w:divBdr>
        </w:div>
        <w:div w:id="1477448793">
          <w:marLeft w:val="720"/>
          <w:marRight w:val="0"/>
          <w:marTop w:val="0"/>
          <w:marBottom w:val="0"/>
          <w:divBdr>
            <w:top w:val="none" w:sz="0" w:space="0" w:color="auto"/>
            <w:left w:val="none" w:sz="0" w:space="0" w:color="auto"/>
            <w:bottom w:val="none" w:sz="0" w:space="0" w:color="auto"/>
            <w:right w:val="none" w:sz="0" w:space="0" w:color="auto"/>
          </w:divBdr>
        </w:div>
        <w:div w:id="1716390953">
          <w:marLeft w:val="720"/>
          <w:marRight w:val="0"/>
          <w:marTop w:val="0"/>
          <w:marBottom w:val="0"/>
          <w:divBdr>
            <w:top w:val="none" w:sz="0" w:space="0" w:color="auto"/>
            <w:left w:val="none" w:sz="0" w:space="0" w:color="auto"/>
            <w:bottom w:val="none" w:sz="0" w:space="0" w:color="auto"/>
            <w:right w:val="none" w:sz="0" w:space="0" w:color="auto"/>
          </w:divBdr>
        </w:div>
        <w:div w:id="1821382391">
          <w:marLeft w:val="720"/>
          <w:marRight w:val="0"/>
          <w:marTop w:val="0"/>
          <w:marBottom w:val="0"/>
          <w:divBdr>
            <w:top w:val="none" w:sz="0" w:space="0" w:color="auto"/>
            <w:left w:val="none" w:sz="0" w:space="0" w:color="auto"/>
            <w:bottom w:val="none" w:sz="0" w:space="0" w:color="auto"/>
            <w:right w:val="none" w:sz="0" w:space="0" w:color="auto"/>
          </w:divBdr>
        </w:div>
        <w:div w:id="2031446999">
          <w:marLeft w:val="720"/>
          <w:marRight w:val="0"/>
          <w:marTop w:val="0"/>
          <w:marBottom w:val="0"/>
          <w:divBdr>
            <w:top w:val="none" w:sz="0" w:space="0" w:color="auto"/>
            <w:left w:val="none" w:sz="0" w:space="0" w:color="auto"/>
            <w:bottom w:val="none" w:sz="0" w:space="0" w:color="auto"/>
            <w:right w:val="none" w:sz="0" w:space="0" w:color="auto"/>
          </w:divBdr>
        </w:div>
        <w:div w:id="2086369064">
          <w:marLeft w:val="720"/>
          <w:marRight w:val="0"/>
          <w:marTop w:val="0"/>
          <w:marBottom w:val="0"/>
          <w:divBdr>
            <w:top w:val="none" w:sz="0" w:space="0" w:color="auto"/>
            <w:left w:val="none" w:sz="0" w:space="0" w:color="auto"/>
            <w:bottom w:val="none" w:sz="0" w:space="0" w:color="auto"/>
            <w:right w:val="none" w:sz="0" w:space="0" w:color="auto"/>
          </w:divBdr>
        </w:div>
      </w:divsChild>
    </w:div>
    <w:div w:id="1975745701">
      <w:bodyDiv w:val="1"/>
      <w:marLeft w:val="0"/>
      <w:marRight w:val="0"/>
      <w:marTop w:val="0"/>
      <w:marBottom w:val="0"/>
      <w:divBdr>
        <w:top w:val="none" w:sz="0" w:space="0" w:color="auto"/>
        <w:left w:val="none" w:sz="0" w:space="0" w:color="auto"/>
        <w:bottom w:val="none" w:sz="0" w:space="0" w:color="auto"/>
        <w:right w:val="none" w:sz="0" w:space="0" w:color="auto"/>
      </w:divBdr>
      <w:divsChild>
        <w:div w:id="212274090">
          <w:marLeft w:val="1166"/>
          <w:marRight w:val="0"/>
          <w:marTop w:val="106"/>
          <w:marBottom w:val="0"/>
          <w:divBdr>
            <w:top w:val="none" w:sz="0" w:space="0" w:color="auto"/>
            <w:left w:val="none" w:sz="0" w:space="0" w:color="auto"/>
            <w:bottom w:val="none" w:sz="0" w:space="0" w:color="auto"/>
            <w:right w:val="none" w:sz="0" w:space="0" w:color="auto"/>
          </w:divBdr>
        </w:div>
        <w:div w:id="232589683">
          <w:marLeft w:val="1166"/>
          <w:marRight w:val="0"/>
          <w:marTop w:val="106"/>
          <w:marBottom w:val="0"/>
          <w:divBdr>
            <w:top w:val="none" w:sz="0" w:space="0" w:color="auto"/>
            <w:left w:val="none" w:sz="0" w:space="0" w:color="auto"/>
            <w:bottom w:val="none" w:sz="0" w:space="0" w:color="auto"/>
            <w:right w:val="none" w:sz="0" w:space="0" w:color="auto"/>
          </w:divBdr>
        </w:div>
        <w:div w:id="518392672">
          <w:marLeft w:val="806"/>
          <w:marRight w:val="0"/>
          <w:marTop w:val="115"/>
          <w:marBottom w:val="0"/>
          <w:divBdr>
            <w:top w:val="none" w:sz="0" w:space="0" w:color="auto"/>
            <w:left w:val="none" w:sz="0" w:space="0" w:color="auto"/>
            <w:bottom w:val="none" w:sz="0" w:space="0" w:color="auto"/>
            <w:right w:val="none" w:sz="0" w:space="0" w:color="auto"/>
          </w:divBdr>
        </w:div>
        <w:div w:id="701318753">
          <w:marLeft w:val="634"/>
          <w:marRight w:val="0"/>
          <w:marTop w:val="115"/>
          <w:marBottom w:val="0"/>
          <w:divBdr>
            <w:top w:val="none" w:sz="0" w:space="0" w:color="auto"/>
            <w:left w:val="none" w:sz="0" w:space="0" w:color="auto"/>
            <w:bottom w:val="none" w:sz="0" w:space="0" w:color="auto"/>
            <w:right w:val="none" w:sz="0" w:space="0" w:color="auto"/>
          </w:divBdr>
        </w:div>
        <w:div w:id="831215853">
          <w:marLeft w:val="547"/>
          <w:marRight w:val="0"/>
          <w:marTop w:val="115"/>
          <w:marBottom w:val="0"/>
          <w:divBdr>
            <w:top w:val="none" w:sz="0" w:space="0" w:color="auto"/>
            <w:left w:val="none" w:sz="0" w:space="0" w:color="auto"/>
            <w:bottom w:val="none" w:sz="0" w:space="0" w:color="auto"/>
            <w:right w:val="none" w:sz="0" w:space="0" w:color="auto"/>
          </w:divBdr>
        </w:div>
        <w:div w:id="833106959">
          <w:marLeft w:val="720"/>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gurd@quantenna.com"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chelstraete\Documents\Custom%20Office%20Templates\IEEE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59179-81A3-4C63-B4C1-D3CDD87AE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IEEE_2016.dotx</Template>
  <TotalTime>0</TotalTime>
  <Pages>8</Pages>
  <Words>2123</Words>
  <Characters>12106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DSP Group LTD</Company>
  <LinksUpToDate>false</LinksUpToDate>
  <CharactersWithSpaces>14201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Sigurd Schelstraete</dc:creator>
  <cp:keywords/>
  <dc:description/>
  <cp:lastModifiedBy>Sigurd Schelstraete</cp:lastModifiedBy>
  <cp:revision>2</cp:revision>
  <dcterms:created xsi:type="dcterms:W3CDTF">2018-05-02T16:18:00Z</dcterms:created>
  <dcterms:modified xsi:type="dcterms:W3CDTF">2018-05-02T16:18:00Z</dcterms:modified>
</cp:coreProperties>
</file>