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4BE5CA6A" w:rsidR="00C723BC" w:rsidRPr="00183F4C" w:rsidRDefault="00C610AF" w:rsidP="00C610AF">
            <w:pPr>
              <w:pStyle w:val="T2"/>
            </w:pPr>
            <w:r>
              <w:rPr>
                <w:lang w:eastAsia="ko-KR"/>
              </w:rPr>
              <w:t xml:space="preserve">Modification of </w:t>
            </w:r>
            <w:r w:rsidR="00BF3F29">
              <w:rPr>
                <w:lang w:eastAsia="ko-KR"/>
              </w:rPr>
              <w:t xml:space="preserve">Spec Text </w:t>
            </w:r>
            <w:r>
              <w:rPr>
                <w:lang w:eastAsia="ko-KR"/>
              </w:rPr>
              <w:t>related to</w:t>
            </w:r>
            <w:r w:rsidR="00BF3F29">
              <w:rPr>
                <w:lang w:eastAsia="ko-KR"/>
              </w:rPr>
              <w:t xml:space="preserve"> </w:t>
            </w:r>
            <w:r w:rsidR="00200E25">
              <w:rPr>
                <w:lang w:eastAsia="ko-KR"/>
              </w:rPr>
              <w:t>sync duration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3BBCDFAE" w:rsidR="00C723BC" w:rsidRPr="00183F4C" w:rsidRDefault="00C723BC" w:rsidP="00C22C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C22C6E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C22C6E">
              <w:rPr>
                <w:b w:val="0"/>
                <w:sz w:val="20"/>
                <w:lang w:eastAsia="ko-KR"/>
              </w:rPr>
              <w:t>7</w:t>
            </w:r>
            <w:bookmarkStart w:id="0" w:name="_GoBack"/>
            <w:bookmarkEnd w:id="0"/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C77B03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DA5D476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</w:t>
                            </w:r>
                            <w:r w:rsidR="00C610AF">
                              <w:rPr>
                                <w:lang w:eastAsia="ko-KR"/>
                              </w:rPr>
                              <w:t xml:space="preserve">modification of </w:t>
                            </w:r>
                            <w:r>
                              <w:rPr>
                                <w:lang w:eastAsia="ko-KR"/>
                              </w:rPr>
                              <w:t>spec text to be incorporated in P802.11ba D0.</w:t>
                            </w:r>
                            <w:r w:rsidR="00A02557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E9F6FDA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BB69211" w14:textId="77777777" w:rsidR="00C610AF" w:rsidRDefault="00C610AF" w:rsidP="00C610AF">
                            <w:pPr>
                              <w:pStyle w:val="af"/>
                              <w:numPr>
                                <w:ilvl w:val="0"/>
                                <w:numId w:val="50"/>
                              </w:numPr>
                              <w:ind w:leftChars="0"/>
                              <w:contextualSpacing/>
                            </w:pPr>
                            <w:r w:rsidRPr="00AD78EF">
                              <w:rPr>
                                <w:bCs/>
                              </w:rPr>
                              <w:t>[Assigned</w:t>
                            </w:r>
                            <w:r>
                              <w:rPr>
                                <w:bCs/>
                              </w:rPr>
                              <w:t xml:space="preserve"> D0.1</w:t>
                            </w:r>
                            <w:r w:rsidRPr="00AD78EF">
                              <w:rPr>
                                <w:bCs/>
                              </w:rPr>
                              <w:t xml:space="preserve">] </w:t>
                            </w:r>
                            <w:r>
                              <w:rPr>
                                <w:bCs/>
                              </w:rPr>
                              <w:t>The SYNC</w:t>
                            </w:r>
                            <w:r w:rsidRPr="00F128F1">
                              <w:rPr>
                                <w:bCs/>
                              </w:rPr>
                              <w:t xml:space="preserve"> field duration depends on th</w:t>
                            </w:r>
                            <w:r>
                              <w:rPr>
                                <w:bCs/>
                              </w:rPr>
                              <w:t>e data rate of the Data field. When the Data f</w:t>
                            </w:r>
                            <w:r w:rsidRPr="00F128F1">
                              <w:rPr>
                                <w:bCs/>
                              </w:rPr>
                              <w:t>ield uses the low da</w:t>
                            </w:r>
                            <w:r>
                              <w:rPr>
                                <w:bCs/>
                              </w:rPr>
                              <w:t>ta rate, the duration of the SYNC</w:t>
                            </w:r>
                            <w:r w:rsidRPr="00F128F1">
                              <w:rPr>
                                <w:bCs/>
                              </w:rPr>
                              <w:t xml:space="preserve"> field is 128 µs. When the Data </w:t>
                            </w:r>
                            <w:r>
                              <w:rPr>
                                <w:bCs/>
                              </w:rPr>
                              <w:t>f</w:t>
                            </w:r>
                            <w:r w:rsidRPr="00F128F1">
                              <w:rPr>
                                <w:bCs/>
                              </w:rPr>
                              <w:t>ield uses the high data rate</w:t>
                            </w:r>
                            <w:r>
                              <w:rPr>
                                <w:bCs/>
                              </w:rPr>
                              <w:t>,</w:t>
                            </w:r>
                            <w:r w:rsidRPr="00F128F1">
                              <w:rPr>
                                <w:bCs/>
                              </w:rPr>
                              <w:t xml:space="preserve"> the durat</w:t>
                            </w:r>
                            <w:r>
                              <w:rPr>
                                <w:bCs/>
                              </w:rPr>
                              <w:t>ion of the SYNC field is 64 µs.</w:t>
                            </w:r>
                          </w:p>
                          <w:p w14:paraId="560E73C3" w14:textId="77777777" w:rsidR="00C610AF" w:rsidRDefault="00C610AF" w:rsidP="00C610AF">
                            <w:pPr>
                              <w:pStyle w:val="af"/>
                              <w:ind w:leftChars="0" w:left="0"/>
                            </w:pPr>
                            <w:r>
                              <w:t>[Motion 1, Nov 2017, See</w:t>
                            </w:r>
                            <w:sdt>
                              <w:sdtPr>
                                <w:id w:val="30239424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8A29A0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557754025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Ste2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[12]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037BD4BD" w14:textId="77777777" w:rsidR="00C610AF" w:rsidRDefault="00C610AF" w:rsidP="00C610AF">
                            <w:pPr>
                              <w:pStyle w:val="af"/>
                              <w:ind w:left="880"/>
                            </w:pPr>
                          </w:p>
                          <w:p w14:paraId="409D026B" w14:textId="77777777" w:rsidR="00C610AF" w:rsidRDefault="00C610AF" w:rsidP="00C610AF">
                            <w:pPr>
                              <w:pStyle w:val="af"/>
                              <w:numPr>
                                <w:ilvl w:val="0"/>
                                <w:numId w:val="50"/>
                              </w:numPr>
                              <w:ind w:leftChars="0"/>
                              <w:contextualSpacing/>
                            </w:pPr>
                            <w:r w:rsidRPr="00AD78EF">
                              <w:rPr>
                                <w:bCs/>
                              </w:rPr>
                              <w:t>[Assigned</w:t>
                            </w:r>
                            <w:r>
                              <w:rPr>
                                <w:bCs/>
                              </w:rPr>
                              <w:t xml:space="preserve"> D0.1, D0.2</w:t>
                            </w:r>
                            <w:r w:rsidRPr="00AD78EF">
                              <w:rPr>
                                <w:bCs/>
                              </w:rPr>
                              <w:t xml:space="preserve">] </w:t>
                            </w:r>
                            <w:r>
                              <w:rPr>
                                <w:bCs/>
                              </w:rPr>
                              <w:t>The SYNC</w:t>
                            </w:r>
                            <w:r w:rsidRPr="00F128F1">
                              <w:rPr>
                                <w:bCs/>
                              </w:rPr>
                              <w:t xml:space="preserve"> field structure depends on the data rate of the Data </w:t>
                            </w:r>
                            <w:r>
                              <w:rPr>
                                <w:bCs/>
                              </w:rPr>
                              <w:t>f</w:t>
                            </w:r>
                            <w:r w:rsidRPr="00F128F1">
                              <w:rPr>
                                <w:bCs/>
                              </w:rPr>
                              <w:t xml:space="preserve">ield. When the Data </w:t>
                            </w:r>
                            <w:r>
                              <w:rPr>
                                <w:bCs/>
                              </w:rPr>
                              <w:t>f</w:t>
                            </w:r>
                            <w:r w:rsidRPr="00F128F1">
                              <w:rPr>
                                <w:bCs/>
                              </w:rPr>
                              <w:t>ield uses the high data rate</w:t>
                            </w:r>
                            <w:r>
                              <w:rPr>
                                <w:bCs/>
                              </w:rPr>
                              <w:t>, the structure of the SYNC</w:t>
                            </w:r>
                            <w:r w:rsidRPr="00F128F1">
                              <w:rPr>
                                <w:bCs/>
                              </w:rPr>
                              <w:t xml:space="preserve"> field </w:t>
                            </w:r>
                            <w:proofErr w:type="gramStart"/>
                            <w:r w:rsidRPr="00F128F1">
                              <w:rPr>
                                <w:bCs/>
                              </w:rPr>
                              <w:t xml:space="preserve">is </w:t>
                            </w:r>
                            <w:proofErr w:type="gramEnd"/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</m:acc>
                            </m:oMath>
                            <w:r w:rsidRPr="00F128F1">
                              <w:rPr>
                                <w:bCs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F128F1">
                              <w:rPr>
                                <w:bCs/>
                              </w:rPr>
                              <w:t xml:space="preserve"> is a sequence of </w:t>
                            </w:r>
                            <w:r w:rsidRPr="005E5A5D">
                              <w:rPr>
                                <w:bCs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F128F1">
                              <w:rPr>
                                <w:bCs/>
                              </w:rPr>
                              <w:t xml:space="preserve">bits, and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</m:acc>
                            </m:oMath>
                            <w:r w:rsidRPr="00F128F1">
                              <w:rPr>
                                <w:bCs/>
                              </w:rPr>
                              <w:t xml:space="preserve"> is the complementary sequence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F128F1">
                              <w:rPr>
                                <w:bCs/>
                              </w:rPr>
                              <w:t xml:space="preserve">. When the Data </w:t>
                            </w:r>
                            <w:r>
                              <w:rPr>
                                <w:bCs/>
                              </w:rPr>
                              <w:t>f</w:t>
                            </w:r>
                            <w:r w:rsidRPr="00F128F1">
                              <w:rPr>
                                <w:bCs/>
                              </w:rPr>
                              <w:t>ield uses the low data rate</w:t>
                            </w:r>
                            <w:r>
                              <w:rPr>
                                <w:bCs/>
                              </w:rPr>
                              <w:t>, the structure of the SYNC</w:t>
                            </w:r>
                            <w:r w:rsidRPr="00F128F1">
                              <w:rPr>
                                <w:bCs/>
                              </w:rPr>
                              <w:t xml:space="preserve"> field </w:t>
                            </w:r>
                            <w:proofErr w:type="gramStart"/>
                            <w:r w:rsidRPr="00F128F1">
                              <w:rPr>
                                <w:bCs/>
                              </w:rPr>
                              <w:t xml:space="preserve">is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[S,S]</m:t>
                              </m:r>
                            </m:oMath>
                            <w:r w:rsidRPr="00F128F1">
                              <w:rPr>
                                <w:bCs/>
                              </w:rPr>
                              <w:t>. The duration of</w:t>
                            </w:r>
                            <w:r>
                              <w:rPr>
                                <w:bCs/>
                              </w:rPr>
                              <w:t xml:space="preserve"> each bit in the SYNC</w:t>
                            </w:r>
                            <w:r w:rsidRPr="00F128F1">
                              <w:rPr>
                                <w:bCs/>
                              </w:rPr>
                              <w:t xml:space="preserve"> field is </w:t>
                            </w:r>
                            <w:r w:rsidRPr="005E5A5D">
                              <w:rPr>
                                <w:bCs/>
                                <w:strike/>
                              </w:rPr>
                              <w:t>TBD (either</w:t>
                            </w:r>
                            <w:r w:rsidRPr="00F128F1">
                              <w:rPr>
                                <w:bCs/>
                              </w:rPr>
                              <w:t xml:space="preserve"> 2 </w:t>
                            </w:r>
                            <w:r w:rsidRPr="005E5A5D">
                              <w:rPr>
                                <w:bCs/>
                                <w:strike/>
                              </w:rPr>
                              <w:t>or 4)</w:t>
                            </w:r>
                            <w:r>
                              <w:rPr>
                                <w:bCs/>
                              </w:rPr>
                              <w:t xml:space="preserve"> µs. </w:t>
                            </w:r>
                            <w:r w:rsidRPr="00F128F1">
                              <w:rPr>
                                <w:bCs/>
                              </w:rPr>
                              <w:t xml:space="preserve">The specific bit sequence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F128F1">
                              <w:rPr>
                                <w:bCs/>
                              </w:rPr>
                              <w:t xml:space="preserve"> is TBD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5E5A5D">
                              <w:rPr>
                                <w:bCs/>
                                <w:szCs w:val="22"/>
                                <w:u w:val="single"/>
                              </w:rPr>
                              <w:t xml:space="preserve">The contiguous OFF period </w:t>
                            </w:r>
                            <w:proofErr w:type="gramStart"/>
                            <w:r w:rsidRPr="005E5A5D">
                              <w:rPr>
                                <w:bCs/>
                                <w:szCs w:val="22"/>
                                <w:u w:val="single"/>
                              </w:rPr>
                              <w:t xml:space="preserve">of </w:t>
                            </w:r>
                            <w:proofErr w:type="gramEnd"/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2"/>
                                  <w:u w:val="single"/>
                                </w:rPr>
                                <m:t>[</m:t>
                              </m:r>
                              <m:r>
                                <w:rPr>
                                  <w:rFonts w:ascii="Cambria Math" w:hAnsi="Cambria Math"/>
                                  <w:szCs w:val="22"/>
                                  <w:u w:val="single"/>
                                </w:rPr>
                                <m:t>S,S</m:t>
                              </m:r>
                            </m:oMath>
                            <w:r w:rsidRPr="005E5A5D">
                              <w:rPr>
                                <w:bCs/>
                                <w:szCs w:val="22"/>
                                <w:u w:val="single"/>
                              </w:rPr>
                              <w:t xml:space="preserve">] or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iCs/>
                                      <w:szCs w:val="22"/>
                                      <w:u w:val="single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Cs w:val="22"/>
                                      <w:u w:val="single"/>
                                    </w:rPr>
                                    <m:t>S</m:t>
                                  </m:r>
                                </m:e>
                              </m:acc>
                            </m:oMath>
                            <w:r w:rsidRPr="005E5A5D">
                              <w:rPr>
                                <w:bCs/>
                                <w:szCs w:val="22"/>
                                <w:u w:val="single"/>
                              </w:rPr>
                              <w:t xml:space="preserve">  is no more than 8 us.</w:t>
                            </w:r>
                          </w:p>
                          <w:p w14:paraId="62729FB5" w14:textId="77777777" w:rsidR="00C610AF" w:rsidRDefault="00C610AF" w:rsidP="00C610AF">
                            <w:pPr>
                              <w:pStyle w:val="af"/>
                              <w:ind w:leftChars="0" w:left="0"/>
                            </w:pPr>
                            <w:r>
                              <w:t>[Motion, Nov 2017 and Jan 2018, See</w:t>
                            </w:r>
                            <w:sdt>
                              <w:sdtPr>
                                <w:id w:val="1479958202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A33AEB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1746302570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Ste2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[12]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149352627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Lei5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[7]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6800322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Jin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[13]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1090465953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Sha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[14]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6265BE9D" w14:textId="77777777" w:rsidR="00C610AF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BF3F29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DA5D476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</w:t>
                      </w:r>
                      <w:r w:rsidR="00C610AF">
                        <w:rPr>
                          <w:lang w:eastAsia="ko-KR"/>
                        </w:rPr>
                        <w:t xml:space="preserve">modification of </w:t>
                      </w:r>
                      <w:r>
                        <w:rPr>
                          <w:lang w:eastAsia="ko-KR"/>
                        </w:rPr>
                        <w:t>spec text to be incorporated in P802.11ba D0.</w:t>
                      </w:r>
                      <w:r w:rsidR="00A02557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E9F6FDA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BB69211" w14:textId="77777777" w:rsidR="00C610AF" w:rsidRDefault="00C610AF" w:rsidP="00C610AF">
                      <w:pPr>
                        <w:pStyle w:val="af"/>
                        <w:numPr>
                          <w:ilvl w:val="0"/>
                          <w:numId w:val="50"/>
                        </w:numPr>
                        <w:ind w:leftChars="0"/>
                        <w:contextualSpacing/>
                      </w:pPr>
                      <w:r w:rsidRPr="00AD78EF">
                        <w:rPr>
                          <w:bCs/>
                        </w:rPr>
                        <w:t>[Assigned</w:t>
                      </w:r>
                      <w:r>
                        <w:rPr>
                          <w:bCs/>
                        </w:rPr>
                        <w:t xml:space="preserve"> D0.1</w:t>
                      </w:r>
                      <w:r w:rsidRPr="00AD78EF">
                        <w:rPr>
                          <w:bCs/>
                        </w:rPr>
                        <w:t xml:space="preserve">] </w:t>
                      </w:r>
                      <w:r>
                        <w:rPr>
                          <w:bCs/>
                        </w:rPr>
                        <w:t>The SYNC</w:t>
                      </w:r>
                      <w:r w:rsidRPr="00F128F1">
                        <w:rPr>
                          <w:bCs/>
                        </w:rPr>
                        <w:t xml:space="preserve"> field duration depends on th</w:t>
                      </w:r>
                      <w:r>
                        <w:rPr>
                          <w:bCs/>
                        </w:rPr>
                        <w:t>e data rate of the Data field. When the Data f</w:t>
                      </w:r>
                      <w:r w:rsidRPr="00F128F1">
                        <w:rPr>
                          <w:bCs/>
                        </w:rPr>
                        <w:t>ield uses the low da</w:t>
                      </w:r>
                      <w:r>
                        <w:rPr>
                          <w:bCs/>
                        </w:rPr>
                        <w:t>ta rate, the duration of the SYNC</w:t>
                      </w:r>
                      <w:r w:rsidRPr="00F128F1">
                        <w:rPr>
                          <w:bCs/>
                        </w:rPr>
                        <w:t xml:space="preserve"> field is 128 µs. When the Data </w:t>
                      </w:r>
                      <w:r>
                        <w:rPr>
                          <w:bCs/>
                        </w:rPr>
                        <w:t>f</w:t>
                      </w:r>
                      <w:r w:rsidRPr="00F128F1">
                        <w:rPr>
                          <w:bCs/>
                        </w:rPr>
                        <w:t>ield uses the high data rate</w:t>
                      </w:r>
                      <w:r>
                        <w:rPr>
                          <w:bCs/>
                        </w:rPr>
                        <w:t>,</w:t>
                      </w:r>
                      <w:r w:rsidRPr="00F128F1">
                        <w:rPr>
                          <w:bCs/>
                        </w:rPr>
                        <w:t xml:space="preserve"> the durat</w:t>
                      </w:r>
                      <w:r>
                        <w:rPr>
                          <w:bCs/>
                        </w:rPr>
                        <w:t>ion of the SYNC field is 64 µs.</w:t>
                      </w:r>
                    </w:p>
                    <w:p w14:paraId="560E73C3" w14:textId="77777777" w:rsidR="00C610AF" w:rsidRDefault="00C610AF" w:rsidP="00C610AF">
                      <w:pPr>
                        <w:pStyle w:val="af"/>
                        <w:ind w:leftChars="0" w:left="0"/>
                      </w:pPr>
                      <w:r>
                        <w:t>[Motion 1, Nov 2017, See</w:t>
                      </w:r>
                      <w:sdt>
                        <w:sdtPr>
                          <w:id w:val="30239424"/>
                          <w:citation/>
                        </w:sdtPr>
                        <w:sdtContent>
                          <w:r>
                            <w:fldChar w:fldCharType="begin"/>
                          </w:r>
                          <w:r w:rsidRPr="008A29A0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557754025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Ste2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[12]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037BD4BD" w14:textId="77777777" w:rsidR="00C610AF" w:rsidRDefault="00C610AF" w:rsidP="00C610AF">
                      <w:pPr>
                        <w:pStyle w:val="af"/>
                        <w:ind w:left="880"/>
                      </w:pPr>
                    </w:p>
                    <w:p w14:paraId="409D026B" w14:textId="77777777" w:rsidR="00C610AF" w:rsidRDefault="00C610AF" w:rsidP="00C610AF">
                      <w:pPr>
                        <w:pStyle w:val="af"/>
                        <w:numPr>
                          <w:ilvl w:val="0"/>
                          <w:numId w:val="50"/>
                        </w:numPr>
                        <w:ind w:leftChars="0"/>
                        <w:contextualSpacing/>
                      </w:pPr>
                      <w:r w:rsidRPr="00AD78EF">
                        <w:rPr>
                          <w:bCs/>
                        </w:rPr>
                        <w:t>[Assigned</w:t>
                      </w:r>
                      <w:r>
                        <w:rPr>
                          <w:bCs/>
                        </w:rPr>
                        <w:t xml:space="preserve"> D0.1, D0.2</w:t>
                      </w:r>
                      <w:r w:rsidRPr="00AD78EF">
                        <w:rPr>
                          <w:bCs/>
                        </w:rPr>
                        <w:t xml:space="preserve">] </w:t>
                      </w:r>
                      <w:r>
                        <w:rPr>
                          <w:bCs/>
                        </w:rPr>
                        <w:t>The SYNC</w:t>
                      </w:r>
                      <w:r w:rsidRPr="00F128F1">
                        <w:rPr>
                          <w:bCs/>
                        </w:rPr>
                        <w:t xml:space="preserve"> field structure depends on the data rate of the Data </w:t>
                      </w:r>
                      <w:r>
                        <w:rPr>
                          <w:bCs/>
                        </w:rPr>
                        <w:t>f</w:t>
                      </w:r>
                      <w:r w:rsidRPr="00F128F1">
                        <w:rPr>
                          <w:bCs/>
                        </w:rPr>
                        <w:t xml:space="preserve">ield. When the Data </w:t>
                      </w:r>
                      <w:r>
                        <w:rPr>
                          <w:bCs/>
                        </w:rPr>
                        <w:t>f</w:t>
                      </w:r>
                      <w:r w:rsidRPr="00F128F1">
                        <w:rPr>
                          <w:bCs/>
                        </w:rPr>
                        <w:t>ield uses the high data rate</w:t>
                      </w:r>
                      <w:r>
                        <w:rPr>
                          <w:bCs/>
                        </w:rPr>
                        <w:t>, the structure of the SYNC</w:t>
                      </w:r>
                      <w:r w:rsidRPr="00F128F1">
                        <w:rPr>
                          <w:bCs/>
                        </w:rPr>
                        <w:t xml:space="preserve"> field </w:t>
                      </w:r>
                      <w:proofErr w:type="gramStart"/>
                      <w:r w:rsidRPr="00F128F1">
                        <w:rPr>
                          <w:bCs/>
                        </w:rPr>
                        <w:t xml:space="preserve">is </w:t>
                      </w:r>
                      <w:proofErr w:type="gramEnd"/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oMath>
                      <w:r w:rsidRPr="00F128F1">
                        <w:rPr>
                          <w:bCs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F128F1">
                        <w:rPr>
                          <w:bCs/>
                        </w:rPr>
                        <w:t xml:space="preserve"> is a sequence of </w:t>
                      </w:r>
                      <w:r w:rsidRPr="005E5A5D">
                        <w:rPr>
                          <w:bCs/>
                          <w:u w:val="single"/>
                        </w:rPr>
                        <w:t>32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F128F1">
                        <w:rPr>
                          <w:bCs/>
                        </w:rPr>
                        <w:t xml:space="preserve">bits, and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oMath>
                      <w:r w:rsidRPr="00F128F1">
                        <w:rPr>
                          <w:bCs/>
                        </w:rPr>
                        <w:t xml:space="preserve"> is the complementary sequence of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F128F1">
                        <w:rPr>
                          <w:bCs/>
                        </w:rPr>
                        <w:t xml:space="preserve">. When the Data </w:t>
                      </w:r>
                      <w:r>
                        <w:rPr>
                          <w:bCs/>
                        </w:rPr>
                        <w:t>f</w:t>
                      </w:r>
                      <w:r w:rsidRPr="00F128F1">
                        <w:rPr>
                          <w:bCs/>
                        </w:rPr>
                        <w:t>ield uses the low data rate</w:t>
                      </w:r>
                      <w:r>
                        <w:rPr>
                          <w:bCs/>
                        </w:rPr>
                        <w:t>, the structure of the SYNC</w:t>
                      </w:r>
                      <w:r w:rsidRPr="00F128F1">
                        <w:rPr>
                          <w:bCs/>
                        </w:rPr>
                        <w:t xml:space="preserve"> field </w:t>
                      </w:r>
                      <w:proofErr w:type="gramStart"/>
                      <w:r w:rsidRPr="00F128F1">
                        <w:rPr>
                          <w:bCs/>
                        </w:rPr>
                        <w:t xml:space="preserve">is </w:t>
                      </w:r>
                      <w:proofErr w:type="gramEnd"/>
                      <m:oMath>
                        <m:r>
                          <w:rPr>
                            <w:rFonts w:ascii="Cambria Math" w:hAnsi="Cambria Math"/>
                          </w:rPr>
                          <m:t>[S,S]</m:t>
                        </m:r>
                      </m:oMath>
                      <w:r w:rsidRPr="00F128F1">
                        <w:rPr>
                          <w:bCs/>
                        </w:rPr>
                        <w:t>. The duration of</w:t>
                      </w:r>
                      <w:r>
                        <w:rPr>
                          <w:bCs/>
                        </w:rPr>
                        <w:t xml:space="preserve"> each bit in the SYNC</w:t>
                      </w:r>
                      <w:r w:rsidRPr="00F128F1">
                        <w:rPr>
                          <w:bCs/>
                        </w:rPr>
                        <w:t xml:space="preserve"> field is </w:t>
                      </w:r>
                      <w:r w:rsidRPr="005E5A5D">
                        <w:rPr>
                          <w:bCs/>
                          <w:strike/>
                        </w:rPr>
                        <w:t>TBD (either</w:t>
                      </w:r>
                      <w:r w:rsidRPr="00F128F1">
                        <w:rPr>
                          <w:bCs/>
                        </w:rPr>
                        <w:t xml:space="preserve"> 2 </w:t>
                      </w:r>
                      <w:r w:rsidRPr="005E5A5D">
                        <w:rPr>
                          <w:bCs/>
                          <w:strike/>
                        </w:rPr>
                        <w:t>or 4)</w:t>
                      </w:r>
                      <w:r>
                        <w:rPr>
                          <w:bCs/>
                        </w:rPr>
                        <w:t xml:space="preserve"> µs. </w:t>
                      </w:r>
                      <w:r w:rsidRPr="00F128F1">
                        <w:rPr>
                          <w:bCs/>
                        </w:rPr>
                        <w:t xml:space="preserve">The specific bit sequence of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F128F1">
                        <w:rPr>
                          <w:bCs/>
                        </w:rPr>
                        <w:t xml:space="preserve"> is TBD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5E5A5D">
                        <w:rPr>
                          <w:bCs/>
                          <w:szCs w:val="22"/>
                          <w:u w:val="single"/>
                        </w:rPr>
                        <w:t xml:space="preserve">The contiguous OFF period </w:t>
                      </w:r>
                      <w:proofErr w:type="gramStart"/>
                      <w:r w:rsidRPr="005E5A5D">
                        <w:rPr>
                          <w:bCs/>
                          <w:szCs w:val="22"/>
                          <w:u w:val="single"/>
                        </w:rPr>
                        <w:t xml:space="preserve">of </w:t>
                      </w:r>
                      <w:proofErr w:type="gramEnd"/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u w:val="single"/>
                          </w:rPr>
                          <m:t>[</m:t>
                        </m:r>
                        <m:r>
                          <w:rPr>
                            <w:rFonts w:ascii="Cambria Math" w:hAnsi="Cambria Math"/>
                            <w:szCs w:val="22"/>
                            <w:u w:val="single"/>
                          </w:rPr>
                          <m:t>S,S</m:t>
                        </m:r>
                      </m:oMath>
                      <w:r w:rsidRPr="005E5A5D">
                        <w:rPr>
                          <w:bCs/>
                          <w:szCs w:val="22"/>
                          <w:u w:val="single"/>
                        </w:rPr>
                        <w:t xml:space="preserve">] or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szCs w:val="22"/>
                                <w:u w:val="single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  <w:u w:val="single"/>
                              </w:rPr>
                              <m:t>S</m:t>
                            </m:r>
                          </m:e>
                        </m:acc>
                      </m:oMath>
                      <w:r w:rsidRPr="005E5A5D">
                        <w:rPr>
                          <w:bCs/>
                          <w:szCs w:val="22"/>
                          <w:u w:val="single"/>
                        </w:rPr>
                        <w:t xml:space="preserve">  is no more than 8 us.</w:t>
                      </w:r>
                    </w:p>
                    <w:p w14:paraId="62729FB5" w14:textId="77777777" w:rsidR="00C610AF" w:rsidRDefault="00C610AF" w:rsidP="00C610AF">
                      <w:pPr>
                        <w:pStyle w:val="af"/>
                        <w:ind w:leftChars="0" w:left="0"/>
                      </w:pPr>
                      <w:r>
                        <w:t>[Motion, Nov 2017 and Jan 2018, See</w:t>
                      </w:r>
                      <w:sdt>
                        <w:sdtPr>
                          <w:id w:val="1479958202"/>
                          <w:citation/>
                        </w:sdtPr>
                        <w:sdtContent>
                          <w:r>
                            <w:fldChar w:fldCharType="begin"/>
                          </w:r>
                          <w:r w:rsidRPr="00A33AEB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1746302570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Ste2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[12]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1493526271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Lei5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[7]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68003229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Jin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[13]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1090465953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Sha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[14]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6265BE9D" w14:textId="77777777" w:rsidR="00C610AF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BF3F29">
                      <w:pPr>
                        <w:pStyle w:val="af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6FA9F3CA" w:rsidR="00197C76" w:rsidRDefault="00197C76" w:rsidP="00A02557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A02557">
        <w:rPr>
          <w:rFonts w:eastAsia="Times New Roman"/>
          <w:b/>
          <w:i/>
          <w:color w:val="000000"/>
          <w:sz w:val="20"/>
        </w:rPr>
        <w:t>Modify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CE5F68">
        <w:rPr>
          <w:rFonts w:eastAsia="Times New Roman"/>
          <w:b/>
          <w:i/>
          <w:color w:val="000000"/>
          <w:sz w:val="20"/>
        </w:rPr>
        <w:t xml:space="preserve">the </w:t>
      </w:r>
      <w:proofErr w:type="spellStart"/>
      <w:r>
        <w:rPr>
          <w:rFonts w:eastAsia="Times New Roman"/>
          <w:b/>
          <w:i/>
          <w:color w:val="000000"/>
          <w:sz w:val="20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</w:rPr>
        <w:t xml:space="preserve"> </w:t>
      </w:r>
      <w:r w:rsidR="003C27EF">
        <w:rPr>
          <w:rStyle w:val="SC9204816"/>
        </w:rPr>
        <w:t>32.3.6</w:t>
      </w:r>
      <w:r w:rsidR="00A02557">
        <w:rPr>
          <w:rStyle w:val="SC9204816"/>
        </w:rPr>
        <w:t xml:space="preserve"> (</w:t>
      </w:r>
      <w:r w:rsidR="003C27EF" w:rsidRPr="003C27EF">
        <w:rPr>
          <w:rStyle w:val="SC9204816"/>
        </w:rPr>
        <w:t>Timing related parameters</w:t>
      </w:r>
      <w:r w:rsidR="00A02557">
        <w:rPr>
          <w:rStyle w:val="SC9204816"/>
        </w:rPr>
        <w:t>)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12A2F9D9" w14:textId="77777777" w:rsidR="00A02557" w:rsidRPr="003C27EF" w:rsidRDefault="00A02557" w:rsidP="00CE5F68">
      <w:pPr>
        <w:pStyle w:val="T"/>
        <w:rPr>
          <w:w w:val="100"/>
        </w:rPr>
      </w:pPr>
    </w:p>
    <w:p w14:paraId="4F60E6C0" w14:textId="77777777" w:rsidR="003C27EF" w:rsidRDefault="003C27EF" w:rsidP="003C27EF">
      <w:pPr>
        <w:pStyle w:val="H3"/>
        <w:numPr>
          <w:ilvl w:val="0"/>
          <w:numId w:val="47"/>
        </w:numPr>
        <w:rPr>
          <w:w w:val="100"/>
        </w:rPr>
      </w:pPr>
      <w:r>
        <w:rPr>
          <w:w w:val="100"/>
        </w:rPr>
        <w:t>Timing related parameters</w:t>
      </w:r>
    </w:p>
    <w:p w14:paraId="53813A2D" w14:textId="77777777" w:rsidR="003C27EF" w:rsidRDefault="003C27EF" w:rsidP="003C27EF">
      <w:pPr>
        <w:pStyle w:val="T"/>
        <w:rPr>
          <w:w w:val="100"/>
        </w:rPr>
      </w:pPr>
      <w:r>
        <w:rPr>
          <w:w w:val="100"/>
        </w:rPr>
        <w:t xml:space="preserve">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RTF34373639393a205461626c65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32-3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 for WUR PPDU formats.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420"/>
        <w:gridCol w:w="4120"/>
      </w:tblGrid>
      <w:tr w:rsidR="003C27EF" w14:paraId="19C85111" w14:textId="77777777" w:rsidTr="00DE4393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A1B5CE" w14:textId="77777777" w:rsidR="003C27EF" w:rsidRDefault="003C27EF" w:rsidP="003C27EF">
            <w:pPr>
              <w:pStyle w:val="TableTitle"/>
              <w:numPr>
                <w:ilvl w:val="0"/>
                <w:numId w:val="48"/>
              </w:numPr>
            </w:pPr>
            <w:bookmarkStart w:id="1" w:name="RTF34373639393a205461626c65"/>
            <w:r>
              <w:rPr>
                <w:w w:val="100"/>
              </w:rPr>
              <w:t xml:space="preserve"> Timing-related constants</w:t>
            </w:r>
            <w:bookmarkEnd w:id="1"/>
          </w:p>
        </w:tc>
      </w:tr>
      <w:tr w:rsidR="003C27EF" w14:paraId="118C45F2" w14:textId="77777777" w:rsidTr="00DE4393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DAB99D" w14:textId="77777777" w:rsidR="003C27EF" w:rsidRDefault="003C27EF" w:rsidP="00DE4393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0F9DF7" w14:textId="77777777" w:rsidR="003C27EF" w:rsidRDefault="003C27EF" w:rsidP="00DE4393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4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2BF614" w14:textId="77777777" w:rsidR="003C27EF" w:rsidRDefault="003C27EF" w:rsidP="00DE4393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3C27EF" w14:paraId="773FBBCD" w14:textId="77777777" w:rsidTr="00DE4393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63FEE0" w14:textId="1015F4E9" w:rsidR="003C27EF" w:rsidRDefault="003C27EF" w:rsidP="00DE4393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rStyle w:val="EquationVariables"/>
                <w:noProof/>
                <w:w w:val="100"/>
                <w:sz w:val="18"/>
                <w:szCs w:val="18"/>
              </w:rPr>
              <w:drawing>
                <wp:inline distT="0" distB="0" distL="0" distR="0" wp14:anchorId="709641A2" wp14:editId="26DD3A65">
                  <wp:extent cx="480695" cy="178435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35A66D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312.5 kHz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3E6F46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Subcarrier frequency spacing for WUR PPDU</w:t>
            </w:r>
          </w:p>
        </w:tc>
      </w:tr>
      <w:tr w:rsidR="003C27EF" w14:paraId="7C87AA77" w14:textId="77777777" w:rsidTr="00DE4393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148C8D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60D86A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3.2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B1027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IDFT/DFT period for the WUR PPDU</w:t>
            </w:r>
          </w:p>
        </w:tc>
      </w:tr>
      <w:tr w:rsidR="003C27EF" w14:paraId="2E60258E" w14:textId="77777777" w:rsidTr="00DE4393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A392A2" w14:textId="77777777" w:rsidR="003C27EF" w:rsidRDefault="003C27EF" w:rsidP="00DE4393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D5759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0.8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4CCCF8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WUR PPDU</w:t>
            </w:r>
          </w:p>
        </w:tc>
      </w:tr>
      <w:tr w:rsidR="003C27EF" w14:paraId="7826A27E" w14:textId="77777777" w:rsidTr="00DE4393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8D7BCC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D31854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1.6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59127A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L-LTF field</w:t>
            </w:r>
          </w:p>
        </w:tc>
      </w:tr>
      <w:tr w:rsidR="003C27EF" w14:paraId="50081E55" w14:textId="77777777" w:rsidTr="00DE4393">
        <w:trPr>
          <w:trHeight w:val="58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34A33F" w14:textId="77777777" w:rsidR="003C27EF" w:rsidRDefault="003C27EF" w:rsidP="00DE4393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-LDR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7A23E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C81631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  <w:lang w:val="en-GB"/>
              </w:rPr>
              <w:t>Duration of WUR LDR OOK symbol in WUR-Data field</w:t>
            </w:r>
          </w:p>
        </w:tc>
      </w:tr>
      <w:tr w:rsidR="003C27EF" w14:paraId="6D8BD96C" w14:textId="77777777" w:rsidTr="00DE4393">
        <w:trPr>
          <w:trHeight w:val="58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80761F" w14:textId="77777777" w:rsidR="003C27EF" w:rsidRDefault="003C27EF" w:rsidP="00DE4393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-HDR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407BE5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DDEAF7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  <w:lang w:val="en-GB"/>
              </w:rPr>
              <w:t>Duration of WUR HDR OOK symbol in WUR-Data field</w:t>
            </w:r>
          </w:p>
        </w:tc>
      </w:tr>
      <w:tr w:rsidR="003C27EF" w14:paraId="223496CA" w14:textId="77777777" w:rsidTr="00DE4393">
        <w:trPr>
          <w:trHeight w:val="58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210051" w14:textId="77777777" w:rsidR="003C27EF" w:rsidRDefault="003C27EF" w:rsidP="00DE4393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5F578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  <w:lang w:val="en-GB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  <w:lang w:val="en-GB"/>
              </w:rPr>
              <w:t>Sym</w:t>
            </w:r>
            <w:proofErr w:type="spellEnd"/>
            <w:r>
              <w:rPr>
                <w:i/>
                <w:iCs/>
                <w:w w:val="100"/>
                <w:sz w:val="18"/>
                <w:szCs w:val="18"/>
                <w:vertAlign w:val="subscript"/>
                <w:lang w:val="en-GB"/>
              </w:rPr>
              <w:t>-LDR</w:t>
            </w:r>
            <w:r>
              <w:rPr>
                <w:w w:val="100"/>
                <w:sz w:val="18"/>
                <w:szCs w:val="18"/>
                <w:lang w:val="en-GB"/>
              </w:rPr>
              <w:t xml:space="preserve"> or </w:t>
            </w:r>
            <w:proofErr w:type="spellStart"/>
            <w:r>
              <w:rPr>
                <w:i/>
                <w:iCs/>
                <w:w w:val="100"/>
                <w:sz w:val="18"/>
                <w:szCs w:val="18"/>
                <w:lang w:val="en-GB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  <w:lang w:val="en-GB"/>
              </w:rPr>
              <w:t>Sym</w:t>
            </w:r>
            <w:proofErr w:type="spellEnd"/>
            <w:r>
              <w:rPr>
                <w:i/>
                <w:iCs/>
                <w:w w:val="100"/>
                <w:sz w:val="18"/>
                <w:szCs w:val="18"/>
                <w:vertAlign w:val="subscript"/>
                <w:lang w:val="en-GB"/>
              </w:rPr>
              <w:t xml:space="preserve">-HDR </w:t>
            </w:r>
            <w:r>
              <w:rPr>
                <w:w w:val="100"/>
                <w:sz w:val="18"/>
                <w:szCs w:val="18"/>
                <w:lang w:val="en-GB"/>
              </w:rPr>
              <w:t>depending on WUR Data Rate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76F8D3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  <w:lang w:val="en-GB"/>
              </w:rPr>
              <w:t>Duration of OOK symbol in WUR-Data field</w:t>
            </w:r>
          </w:p>
        </w:tc>
      </w:tr>
      <w:tr w:rsidR="003C27EF" w14:paraId="7EE7A28F" w14:textId="77777777" w:rsidTr="00DE4393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897895" w14:textId="77777777" w:rsidR="003C27EF" w:rsidRDefault="003C27EF" w:rsidP="00DE4393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Sync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E3C49E" w14:textId="7675D3F1" w:rsidR="003C27EF" w:rsidRPr="003C27EF" w:rsidRDefault="003C27EF" w:rsidP="00DE4393">
            <w:pPr>
              <w:pStyle w:val="Body"/>
              <w:spacing w:before="440" w:line="220" w:lineRule="atLeast"/>
              <w:rPr>
                <w:strike/>
                <w:sz w:val="18"/>
                <w:szCs w:val="18"/>
              </w:rPr>
            </w:pPr>
            <w:r w:rsidRPr="003C27EF">
              <w:rPr>
                <w:strike/>
                <w:color w:val="FF0000"/>
                <w:w w:val="100"/>
                <w:sz w:val="18"/>
                <w:szCs w:val="18"/>
              </w:rPr>
              <w:t>TBD</w:t>
            </w:r>
            <w:r>
              <w:rPr>
                <w:strike/>
                <w:color w:val="FF0000"/>
                <w:w w:val="100"/>
                <w:sz w:val="18"/>
                <w:szCs w:val="18"/>
              </w:rPr>
              <w:t xml:space="preserve"> </w:t>
            </w:r>
            <w:r w:rsidRPr="003C27EF">
              <w:rPr>
                <w:b/>
                <w:color w:val="0070C0"/>
                <w:w w:val="100"/>
                <w:sz w:val="18"/>
                <w:szCs w:val="18"/>
              </w:rPr>
              <w:t>2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FACF18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OOK symbol in WUR-Sync field</w:t>
            </w:r>
          </w:p>
        </w:tc>
      </w:tr>
      <w:tr w:rsidR="003C27EF" w14:paraId="23DA2E78" w14:textId="77777777" w:rsidTr="00DE4393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5435CC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091AD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10 ×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r>
              <w:rPr>
                <w:w w:val="100"/>
                <w:sz w:val="18"/>
                <w:szCs w:val="18"/>
              </w:rPr>
              <w:t xml:space="preserve"> /4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016705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Short Training field duration</w:t>
            </w:r>
          </w:p>
        </w:tc>
      </w:tr>
      <w:tr w:rsidR="003C27EF" w14:paraId="3C1373F5" w14:textId="77777777" w:rsidTr="00DE4393">
        <w:trPr>
          <w:trHeight w:val="58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356A9E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lastRenderedPageBreak/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47EBA5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2 ×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r>
              <w:rPr>
                <w:w w:val="100"/>
                <w:sz w:val="18"/>
                <w:szCs w:val="18"/>
              </w:rPr>
              <w:t xml:space="preserve"> +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27CDEB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Long Training field duration</w:t>
            </w:r>
          </w:p>
        </w:tc>
      </w:tr>
      <w:tr w:rsidR="003C27EF" w14:paraId="4A0A0231" w14:textId="77777777" w:rsidTr="00DE4393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5451B3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L-SIG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CF15BF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82126E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SIGNAL field duration</w:t>
            </w:r>
          </w:p>
        </w:tc>
      </w:tr>
      <w:tr w:rsidR="003C27EF" w14:paraId="05F1A682" w14:textId="77777777" w:rsidTr="00DE4393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02F1C8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BPSK-Mark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0279A4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018FAC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BPSK-Mark field duration</w:t>
            </w:r>
          </w:p>
        </w:tc>
      </w:tr>
      <w:tr w:rsidR="003C27EF" w14:paraId="2CD7A920" w14:textId="77777777" w:rsidTr="00DE4393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8D87CB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WUR-Sync-LDR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9F43ED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128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FD9205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WUR-Sync field duration for WUR LDR</w:t>
            </w:r>
          </w:p>
        </w:tc>
      </w:tr>
      <w:tr w:rsidR="003C27EF" w14:paraId="6C16ECCA" w14:textId="77777777" w:rsidTr="00DE4393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800C43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WUR-Sync-HDR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6345CD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798CAE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WUR-Sync field duration for WUR HDR</w:t>
            </w:r>
          </w:p>
        </w:tc>
      </w:tr>
      <w:tr w:rsidR="003C27EF" w14:paraId="31EA6237" w14:textId="77777777" w:rsidTr="00DE4393">
        <w:trPr>
          <w:trHeight w:val="80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86EBB5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0D4F01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WUR-Sync-LDR</w:t>
            </w:r>
            <w:r>
              <w:rPr>
                <w:w w:val="100"/>
                <w:sz w:val="18"/>
                <w:szCs w:val="18"/>
              </w:rPr>
              <w:t xml:space="preserve"> or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WUR-Sync-HDR</w:t>
            </w:r>
            <w:r>
              <w:rPr>
                <w:w w:val="100"/>
                <w:sz w:val="18"/>
                <w:szCs w:val="18"/>
              </w:rPr>
              <w:t xml:space="preserve"> depending on WUR Data rate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9CA172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WUR-Sync field duration for WUR PPDU</w:t>
            </w:r>
          </w:p>
        </w:tc>
      </w:tr>
    </w:tbl>
    <w:p w14:paraId="07C69C9E" w14:textId="77777777" w:rsidR="003C27EF" w:rsidRDefault="003C27EF" w:rsidP="003C27EF">
      <w:pPr>
        <w:pStyle w:val="T"/>
        <w:rPr>
          <w:w w:val="100"/>
        </w:rPr>
      </w:pPr>
      <w:r>
        <w:rPr>
          <w:w w:val="100"/>
        </w:rPr>
        <w:t xml:space="preserve">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RTF39393837303a205461626c65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32-4 (Frequently used parameters)</w:t>
      </w:r>
      <w:r>
        <w:rPr>
          <w:w w:val="100"/>
        </w:rPr>
        <w:fldChar w:fldCharType="end"/>
      </w:r>
      <w:r>
        <w:rPr>
          <w:w w:val="100"/>
        </w:rPr>
        <w:t xml:space="preserve"> defines parameters used frequently in </w:t>
      </w:r>
      <w:r>
        <w:rPr>
          <w:w w:val="100"/>
        </w:rPr>
        <w:fldChar w:fldCharType="begin"/>
      </w:r>
      <w:r>
        <w:rPr>
          <w:w w:val="100"/>
        </w:rPr>
        <w:instrText xml:space="preserve"> REF  RTF5f546f633338373834303137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Clause 32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3100"/>
      </w:tblGrid>
      <w:tr w:rsidR="003C27EF" w14:paraId="7FF525B2" w14:textId="77777777" w:rsidTr="00DE4393">
        <w:trPr>
          <w:jc w:val="center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731B8F" w14:textId="77777777" w:rsidR="003C27EF" w:rsidRDefault="003C27EF" w:rsidP="003C27EF">
            <w:pPr>
              <w:pStyle w:val="TableTitle"/>
              <w:numPr>
                <w:ilvl w:val="0"/>
                <w:numId w:val="49"/>
              </w:numPr>
            </w:pPr>
            <w:bookmarkStart w:id="2" w:name="RTF39393837303a205461626c65"/>
            <w:r>
              <w:rPr>
                <w:w w:val="100"/>
              </w:rPr>
              <w:t xml:space="preserve"> Frequently used parameters</w:t>
            </w:r>
            <w:bookmarkEnd w:id="2"/>
          </w:p>
        </w:tc>
      </w:tr>
      <w:tr w:rsidR="003C27EF" w14:paraId="2097B5D8" w14:textId="77777777" w:rsidTr="00DE4393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B41B51" w14:textId="77777777" w:rsidR="003C27EF" w:rsidRDefault="003C27EF" w:rsidP="00DE4393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88E3CA" w14:textId="77777777" w:rsidR="003C27EF" w:rsidRDefault="003C27EF" w:rsidP="00DE4393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3C27EF" w14:paraId="369A982F" w14:textId="77777777" w:rsidTr="00DE4393">
        <w:trPr>
          <w:trHeight w:val="110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27E3CD" w14:textId="77777777" w:rsidR="003C27EF" w:rsidRDefault="003C27EF" w:rsidP="00DE4393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SPDB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5B227D" w14:textId="77777777" w:rsidR="003C27EF" w:rsidRDefault="003C27EF" w:rsidP="00DE439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OOK symbols per information data bit.</w:t>
            </w:r>
          </w:p>
          <w:p w14:paraId="5346E85B" w14:textId="77777777" w:rsidR="003C27EF" w:rsidRDefault="003C27EF" w:rsidP="00DE439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WUR LDR,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 xml:space="preserve">=4. </w:t>
            </w:r>
          </w:p>
          <w:p w14:paraId="624CC7D1" w14:textId="77777777" w:rsidR="003C27EF" w:rsidRDefault="003C27EF" w:rsidP="00DE439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 xml:space="preserve">For WUR HDR,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>=2.</w:t>
            </w:r>
          </w:p>
        </w:tc>
      </w:tr>
      <w:tr w:rsidR="003C27EF" w14:paraId="667A67DC" w14:textId="77777777" w:rsidTr="00DE4393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CD1532" w14:textId="77777777" w:rsidR="003C27EF" w:rsidRDefault="003C27EF" w:rsidP="00DE4393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TX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B2FC00" w14:textId="77777777" w:rsidR="003C27EF" w:rsidRDefault="003C27EF" w:rsidP="00DE4393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Number of transmit chains</w:t>
            </w:r>
          </w:p>
        </w:tc>
      </w:tr>
      <w:tr w:rsidR="003C27EF" w14:paraId="5362A646" w14:textId="77777777" w:rsidTr="00DE4393">
        <w:trPr>
          <w:trHeight w:val="5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EF574A" w14:textId="77777777" w:rsidR="003C27EF" w:rsidRDefault="003C27EF" w:rsidP="00DE4393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WUR-Sync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05E2F3" w14:textId="77777777" w:rsidR="003C27EF" w:rsidRDefault="003C27EF" w:rsidP="003C27EF">
            <w:pPr>
              <w:pStyle w:val="Body"/>
              <w:spacing w:before="440" w:line="220" w:lineRule="atLeast"/>
              <w:rPr>
                <w:strike/>
                <w:color w:val="FF0000"/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Number of OOK symbols in the WUR-SYNC field</w:t>
            </w:r>
            <w:r w:rsidRPr="003C27EF">
              <w:rPr>
                <w:strike/>
                <w:color w:val="FF0000"/>
                <w:w w:val="100"/>
                <w:sz w:val="18"/>
                <w:szCs w:val="18"/>
              </w:rPr>
              <w:t>=TBD</w:t>
            </w:r>
          </w:p>
          <w:p w14:paraId="7CBDE5AB" w14:textId="7F448F97" w:rsidR="003C27EF" w:rsidRDefault="003C27EF" w:rsidP="008D11A4">
            <w:pPr>
              <w:pStyle w:val="Body"/>
              <w:spacing w:before="0" w:line="240" w:lineRule="au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F</w:t>
            </w:r>
            <w:r>
              <w:rPr>
                <w:rFonts w:hint="eastAsia"/>
                <w:color w:val="0070C0"/>
                <w:sz w:val="18"/>
                <w:szCs w:val="18"/>
              </w:rPr>
              <w:t xml:space="preserve">or </w:t>
            </w:r>
            <w:r>
              <w:rPr>
                <w:color w:val="0070C0"/>
                <w:sz w:val="18"/>
                <w:szCs w:val="18"/>
              </w:rPr>
              <w:t xml:space="preserve">WUR LDR, </w:t>
            </w:r>
            <w:r w:rsidRPr="003C27EF">
              <w:rPr>
                <w:color w:val="0070C0"/>
                <w:sz w:val="18"/>
                <w:szCs w:val="18"/>
              </w:rPr>
              <w:t>N</w:t>
            </w:r>
            <w:r w:rsidRPr="003C27EF">
              <w:rPr>
                <w:color w:val="0070C0"/>
                <w:sz w:val="18"/>
                <w:szCs w:val="18"/>
                <w:vertAlign w:val="subscript"/>
              </w:rPr>
              <w:t>WUR-Sync</w:t>
            </w:r>
            <w:r>
              <w:rPr>
                <w:color w:val="0070C0"/>
                <w:sz w:val="18"/>
                <w:szCs w:val="18"/>
              </w:rPr>
              <w:t xml:space="preserve"> =</w:t>
            </w:r>
            <w:r w:rsidR="00A67E45">
              <w:rPr>
                <w:color w:val="0070C0"/>
                <w:sz w:val="18"/>
                <w:szCs w:val="18"/>
              </w:rPr>
              <w:t>64</w:t>
            </w:r>
            <w:r w:rsidR="008D11A4">
              <w:rPr>
                <w:color w:val="0070C0"/>
                <w:sz w:val="18"/>
                <w:szCs w:val="18"/>
              </w:rPr>
              <w:t>.</w:t>
            </w:r>
          </w:p>
          <w:p w14:paraId="78F468BA" w14:textId="640C29E6" w:rsidR="003C27EF" w:rsidRPr="003C27EF" w:rsidRDefault="003C27EF" w:rsidP="00A67E45">
            <w:pPr>
              <w:pStyle w:val="Body"/>
              <w:spacing w:before="0" w:line="240" w:lineRule="au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For WUR HDR, </w:t>
            </w:r>
            <w:r w:rsidR="008D11A4" w:rsidRPr="003C27EF">
              <w:rPr>
                <w:color w:val="0070C0"/>
                <w:sz w:val="18"/>
                <w:szCs w:val="18"/>
              </w:rPr>
              <w:t>N</w:t>
            </w:r>
            <w:r w:rsidR="008D11A4" w:rsidRPr="003C27EF">
              <w:rPr>
                <w:color w:val="0070C0"/>
                <w:sz w:val="18"/>
                <w:szCs w:val="18"/>
                <w:vertAlign w:val="subscript"/>
              </w:rPr>
              <w:t>WUR-Sync</w:t>
            </w:r>
            <w:r w:rsidR="008D11A4">
              <w:rPr>
                <w:color w:val="0070C0"/>
                <w:sz w:val="18"/>
                <w:szCs w:val="18"/>
              </w:rPr>
              <w:t xml:space="preserve"> =</w:t>
            </w:r>
            <w:r w:rsidR="00A67E45">
              <w:rPr>
                <w:color w:val="0070C0"/>
                <w:sz w:val="18"/>
                <w:szCs w:val="18"/>
              </w:rPr>
              <w:t>32</w:t>
            </w:r>
            <w:r w:rsidR="008D11A4">
              <w:rPr>
                <w:color w:val="0070C0"/>
                <w:sz w:val="18"/>
                <w:szCs w:val="18"/>
              </w:rPr>
              <w:t>.</w:t>
            </w:r>
          </w:p>
        </w:tc>
      </w:tr>
    </w:tbl>
    <w:p w14:paraId="0A91B6CE" w14:textId="1C20C6E9" w:rsidR="003C27EF" w:rsidRDefault="003C27EF" w:rsidP="003C27EF">
      <w:pPr>
        <w:pStyle w:val="T"/>
        <w:rPr>
          <w:w w:val="100"/>
        </w:rPr>
      </w:pPr>
    </w:p>
    <w:p w14:paraId="7A19FF42" w14:textId="77777777" w:rsidR="005D3611" w:rsidRPr="003C27EF" w:rsidRDefault="005D3611" w:rsidP="003C27EF">
      <w:pPr>
        <w:pStyle w:val="SP9221416"/>
        <w:rPr>
          <w:rFonts w:eastAsia="Times New Roman"/>
          <w:b/>
          <w:color w:val="000000"/>
          <w:sz w:val="20"/>
        </w:rPr>
      </w:pPr>
    </w:p>
    <w:sectPr w:rsidR="005D3611" w:rsidRPr="003C27EF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5FA75" w14:textId="77777777" w:rsidR="00C77B03" w:rsidRDefault="00C77B03">
      <w:r>
        <w:separator/>
      </w:r>
    </w:p>
  </w:endnote>
  <w:endnote w:type="continuationSeparator" w:id="0">
    <w:p w14:paraId="7DAB78F2" w14:textId="77777777" w:rsidR="00C77B03" w:rsidRDefault="00C7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8C06E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C22C6E">
      <w:rPr>
        <w:noProof/>
      </w:rPr>
      <w:t>3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05B92" w14:textId="77777777" w:rsidR="00C77B03" w:rsidRDefault="00C77B03">
      <w:r>
        <w:separator/>
      </w:r>
    </w:p>
  </w:footnote>
  <w:footnote w:type="continuationSeparator" w:id="0">
    <w:p w14:paraId="67757CE5" w14:textId="77777777" w:rsidR="00C77B03" w:rsidRDefault="00C7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2156B356" w:rsidR="00C63D4E" w:rsidRDefault="00080AE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</w:t>
    </w:r>
    <w:r w:rsidR="00A02557">
      <w:rPr>
        <w:lang w:eastAsia="ko-KR"/>
      </w:rPr>
      <w:t>ay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CA31CA">
        <w:rPr>
          <w:lang w:eastAsia="ko-KR"/>
        </w:rPr>
        <w:t>0</w:t>
      </w:r>
      <w:r w:rsidR="00C22C6E">
        <w:rPr>
          <w:lang w:eastAsia="ko-KR"/>
        </w:rPr>
        <w:t>760</w:t>
      </w:r>
    </w:fldSimple>
    <w:r w:rsidR="00CA31CA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9AD5D40"/>
    <w:multiLevelType w:val="hybridMultilevel"/>
    <w:tmpl w:val="9648C336"/>
    <w:lvl w:ilvl="0" w:tplc="F2821A60">
      <w:start w:val="1"/>
      <w:numFmt w:val="upperLetter"/>
      <w:suff w:val="space"/>
      <w:lvlText w:val="R.4.9.1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7C4"/>
    <w:multiLevelType w:val="multilevel"/>
    <w:tmpl w:val="2B081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3CA55814"/>
    <w:multiLevelType w:val="hybridMultilevel"/>
    <w:tmpl w:val="6E2AAECC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C60D828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49633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4CE6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A1659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09204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3411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0485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D30EF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4F4D0425"/>
    <w:multiLevelType w:val="hybridMultilevel"/>
    <w:tmpl w:val="99F008E4"/>
    <w:lvl w:ilvl="0" w:tplc="8546365A"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6081539"/>
    <w:multiLevelType w:val="hybridMultilevel"/>
    <w:tmpl w:val="C0109866"/>
    <w:lvl w:ilvl="0" w:tplc="5A8078F4">
      <w:start w:val="1"/>
      <w:numFmt w:val="upperLetter"/>
      <w:suff w:val="space"/>
      <w:lvlText w:val="R.3.2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7"/>
  </w:num>
  <w:num w:numId="7">
    <w:abstractNumId w:val="19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7"/>
  </w:num>
  <w:num w:numId="29">
    <w:abstractNumId w:val="4"/>
  </w:num>
  <w:num w:numId="30">
    <w:abstractNumId w:val="18"/>
  </w:num>
  <w:num w:numId="31">
    <w:abstractNumId w:val="10"/>
  </w:num>
  <w:num w:numId="32">
    <w:abstractNumId w:val="21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5"/>
  </w:num>
  <w:num w:numId="37">
    <w:abstractNumId w:val="22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6"/>
  </w:num>
  <w:num w:numId="42">
    <w:abstractNumId w:val="11"/>
  </w:num>
  <w:num w:numId="43">
    <w:abstractNumId w:val="13"/>
  </w:num>
  <w:num w:numId="44">
    <w:abstractNumId w:val="5"/>
  </w:num>
  <w:num w:numId="45">
    <w:abstractNumId w:val="1"/>
  </w:num>
  <w:num w:numId="46">
    <w:abstractNumId w:val="9"/>
  </w:num>
  <w:num w:numId="47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32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Table 32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27EF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8D64C7C3-6517-4398-9DE4-87EDF52C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6</cp:revision>
  <cp:lastPrinted>2010-05-04T03:47:00Z</cp:lastPrinted>
  <dcterms:created xsi:type="dcterms:W3CDTF">2018-04-19T06:07:00Z</dcterms:created>
  <dcterms:modified xsi:type="dcterms:W3CDTF">2018-05-03T05:03:00Z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