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702042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702042">
              <w:rPr>
                <w:lang w:eastAsia="ko-KR"/>
              </w:rPr>
              <w:t>MAC M</w:t>
            </w:r>
            <w:r w:rsidR="00702042" w:rsidRPr="00702042">
              <w:rPr>
                <w:lang w:eastAsia="ko-KR"/>
              </w:rPr>
              <w:t>iscellaneous</w:t>
            </w:r>
            <w:r w:rsidR="000B0FA6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7006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B7006F">
              <w:rPr>
                <w:b w:val="0"/>
                <w:sz w:val="20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7006F">
              <w:rPr>
                <w:b w:val="0"/>
                <w:sz w:val="20"/>
                <w:lang w:eastAsia="ko-KR"/>
              </w:rPr>
              <w:t>28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C255C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</w:t>
                            </w:r>
                            <w:r w:rsidR="00541005" w:rsidRPr="00541005">
                              <w:rPr>
                                <w:lang w:eastAsia="ko-KR"/>
                              </w:rPr>
                              <w:t xml:space="preserve">MAC Miscellaneous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2E2C2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AC6E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E2C2D" w:rsidRPr="00AC6E6C">
                              <w:rPr>
                                <w:lang w:eastAsia="ko-KR"/>
                              </w:rPr>
                              <w:t>13669</w:t>
                            </w:r>
                            <w:r w:rsidR="002E2C2D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AC6E6C" w:rsidRPr="00AC6E6C">
                              <w:rPr>
                                <w:lang w:eastAsia="ko-KR"/>
                              </w:rPr>
                              <w:t xml:space="preserve">11139, 11140, 11152, 14094, </w:t>
                            </w:r>
                            <w:r w:rsidR="002E2C2D">
                              <w:rPr>
                                <w:lang w:eastAsia="ko-KR"/>
                              </w:rPr>
                              <w:t xml:space="preserve">11501, </w:t>
                            </w:r>
                            <w:r w:rsidR="00097004">
                              <w:rPr>
                                <w:lang w:eastAsia="ko-KR"/>
                              </w:rPr>
                              <w:t>14326</w:t>
                            </w:r>
                            <w:r w:rsidR="002E2C2D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B13945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</w:t>
                      </w:r>
                      <w:r w:rsidR="00541005" w:rsidRPr="00541005">
                        <w:rPr>
                          <w:lang w:eastAsia="ko-KR"/>
                        </w:rPr>
                        <w:t xml:space="preserve">MAC Miscellaneous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2E2C2D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AC6E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E2C2D" w:rsidRPr="00AC6E6C">
                        <w:rPr>
                          <w:lang w:eastAsia="ko-KR"/>
                        </w:rPr>
                        <w:t>13669</w:t>
                      </w:r>
                      <w:r w:rsidR="002E2C2D">
                        <w:rPr>
                          <w:lang w:eastAsia="ko-KR"/>
                        </w:rPr>
                        <w:t xml:space="preserve">, </w:t>
                      </w:r>
                      <w:r w:rsidR="00AC6E6C" w:rsidRPr="00AC6E6C">
                        <w:rPr>
                          <w:lang w:eastAsia="ko-KR"/>
                        </w:rPr>
                        <w:t xml:space="preserve">11139, 11140, 11152, 14094, </w:t>
                      </w:r>
                      <w:r w:rsidR="002E2C2D">
                        <w:rPr>
                          <w:lang w:eastAsia="ko-KR"/>
                        </w:rPr>
                        <w:t xml:space="preserve">11501, </w:t>
                      </w:r>
                      <w:r w:rsidR="00097004">
                        <w:rPr>
                          <w:lang w:eastAsia="ko-KR"/>
                        </w:rPr>
                        <w:t>14326</w:t>
                      </w:r>
                      <w:r w:rsidR="002E2C2D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B13945">
                        <w:rPr>
                          <w:lang w:eastAsia="ko-KR"/>
                        </w:rPr>
                        <w:t>7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2E2C2D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E206B0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13669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E206B0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E206B0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9.2.4.6.4.2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E206B0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 xml:space="preserve">Reading 27.10.4.3, it is not allowed to transmit an A-MPDU which is a Trigger frame + Action frame soliciting an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Ack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frame. To solicit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an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HE TB PPDU with an A-MPDU not containing data frames, the AP needs to set the UMRS Control field to the Action frame and construct an S-MPDU. (The other way will be to include a data frame.) However, this is not explained in 9.2.4.6.4.2 at all.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E206B0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Add a sentence in 9.2.4.6.4.2 as follows:</w:t>
            </w:r>
            <w:r w:rsidRPr="00AC6E6C">
              <w:rPr>
                <w:rFonts w:ascii="Arial" w:hAnsi="Arial" w:cs="Arial"/>
                <w:sz w:val="20"/>
              </w:rPr>
              <w:br/>
              <w:t xml:space="preserve">"To solicit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an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HE TB PPDU with an A-MPDU containing an Action frame but not containing data frames, an AP shall set the UMRS Control field in the Action frame."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Default="002E2C2D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2676D7">
              <w:rPr>
                <w:rFonts w:ascii="Arial" w:hAnsi="Arial" w:cs="Arial"/>
                <w:sz w:val="20"/>
              </w:rPr>
              <w:t xml:space="preserve">jected- </w:t>
            </w:r>
          </w:p>
          <w:p w:rsidR="002676D7" w:rsidRDefault="002676D7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Clause 9 can’t have any normative sentence. </w:t>
            </w:r>
          </w:p>
          <w:p w:rsidR="002676D7" w:rsidRDefault="002676D7" w:rsidP="002E2C2D">
            <w:pPr>
              <w:rPr>
                <w:rFonts w:ascii="Arial" w:hAnsi="Arial" w:cs="Arial"/>
                <w:sz w:val="20"/>
              </w:rPr>
            </w:pPr>
          </w:p>
          <w:p w:rsidR="002E2C2D" w:rsidRDefault="002E2C2D" w:rsidP="002E2C2D">
            <w:pPr>
              <w:rPr>
                <w:rFonts w:ascii="Arial" w:hAnsi="Arial" w:cs="Arial"/>
                <w:sz w:val="20"/>
              </w:rPr>
            </w:pPr>
          </w:p>
        </w:tc>
      </w:tr>
      <w:tr w:rsidR="002E2C2D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11139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185.39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"When TXOP duration-based RTS is disabled" -- how is this condition known/established?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Relate this condition to observables, such as device capabilities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>,  or</w:t>
            </w:r>
            <w:proofErr w:type="gramEnd"/>
            <w:r w:rsidRPr="00AC6E6C">
              <w:rPr>
                <w:rFonts w:ascii="Arial" w:hAnsi="Arial" w:cs="Arial"/>
                <w:sz w:val="20"/>
              </w:rPr>
              <w:t xml:space="preserve"> MIB variable values.</w:t>
            </w:r>
            <w:r w:rsidRPr="00AC6E6C">
              <w:rPr>
                <w:rFonts w:ascii="Arial" w:hAnsi="Arial" w:cs="Arial"/>
                <w:sz w:val="20"/>
              </w:rPr>
              <w:br/>
            </w:r>
            <w:r w:rsidRPr="00AC6E6C">
              <w:rPr>
                <w:rFonts w:ascii="Arial" w:hAnsi="Arial" w:cs="Arial"/>
                <w:sz w:val="20"/>
              </w:rPr>
              <w:br/>
              <w:t>Ditto at line 41.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Default="002676D7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2676D7" w:rsidRDefault="002676D7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F87B55" w:rsidRDefault="00F87B55" w:rsidP="002E2C2D">
            <w:pPr>
              <w:rPr>
                <w:rFonts w:ascii="Arial" w:hAnsi="Arial" w:cs="Arial"/>
                <w:sz w:val="20"/>
              </w:rPr>
            </w:pPr>
          </w:p>
          <w:p w:rsidR="002676D7" w:rsidRPr="00AC6E6C" w:rsidRDefault="002676D7" w:rsidP="00F87B55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11-18/0726r0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2E2C2D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11140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185.52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"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>is</w:t>
            </w:r>
            <w:proofErr w:type="gramEnd"/>
            <w:r w:rsidRPr="00AC6E6C">
              <w:rPr>
                <w:rFonts w:ascii="Arial" w:hAnsi="Arial" w:cs="Arial"/>
                <w:sz w:val="20"/>
              </w:rPr>
              <w:t xml:space="preserve"> exempt from these requirements" - which requirements.  The previous para has a single requirement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>,  so</w:t>
            </w:r>
            <w:proofErr w:type="gramEnd"/>
            <w:r w:rsidRPr="00AC6E6C">
              <w:rPr>
                <w:rFonts w:ascii="Arial" w:hAnsi="Arial" w:cs="Arial"/>
                <w:sz w:val="20"/>
              </w:rPr>
              <w:t xml:space="preserve"> presumably it is some unspecified number of preceding paras.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Define which requirements are included in this note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>,  or</w:t>
            </w:r>
            <w:proofErr w:type="gramEnd"/>
            <w:r w:rsidRPr="00AC6E6C">
              <w:rPr>
                <w:rFonts w:ascii="Arial" w:hAnsi="Arial" w:cs="Arial"/>
                <w:sz w:val="20"/>
              </w:rPr>
              <w:t xml:space="preserve"> delete the note.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87B55" w:rsidRDefault="00F87B55" w:rsidP="00F87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F87B55" w:rsidRDefault="00F87B55" w:rsidP="00F87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F87B55" w:rsidRDefault="00F87B55" w:rsidP="00F87B55">
            <w:pPr>
              <w:rPr>
                <w:rFonts w:ascii="Arial" w:hAnsi="Arial" w:cs="Arial"/>
                <w:sz w:val="20"/>
              </w:rPr>
            </w:pPr>
          </w:p>
          <w:p w:rsidR="002E2C2D" w:rsidRPr="00AC6E6C" w:rsidRDefault="00F87B55" w:rsidP="00F87B55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11-18/0726r0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2E2C2D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11152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194.30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10.22.1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"HCCA is not used by DMG and HE STAs."</w:t>
            </w:r>
            <w:r w:rsidRPr="00AC6E6C">
              <w:rPr>
                <w:rFonts w:ascii="Arial" w:hAnsi="Arial" w:cs="Arial"/>
                <w:sz w:val="20"/>
              </w:rPr>
              <w:br/>
            </w:r>
            <w:r w:rsidRPr="00AC6E6C">
              <w:rPr>
                <w:rFonts w:ascii="Arial" w:hAnsi="Arial" w:cs="Arial"/>
                <w:sz w:val="20"/>
              </w:rPr>
              <w:br/>
              <w:t>This is too compact.  In the HE case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 xml:space="preserve">, 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an</w:t>
            </w:r>
            <w:proofErr w:type="spellEnd"/>
            <w:proofErr w:type="gramEnd"/>
            <w:r w:rsidRPr="00AC6E6C">
              <w:rPr>
                <w:rFonts w:ascii="Arial" w:hAnsi="Arial" w:cs="Arial"/>
                <w:sz w:val="20"/>
              </w:rPr>
              <w:t xml:space="preserve"> HE STA is by definition a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QoS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STA.</w:t>
            </w:r>
            <w:r w:rsidRPr="00AC6E6C">
              <w:rPr>
                <w:rFonts w:ascii="Arial" w:hAnsi="Arial" w:cs="Arial"/>
                <w:sz w:val="20"/>
              </w:rPr>
              <w:br/>
              <w:t xml:space="preserve">So what constraints on the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QoS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STA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are implicit in this </w:t>
            </w:r>
            <w:r w:rsidRPr="00AC6E6C">
              <w:rPr>
                <w:rFonts w:ascii="Arial" w:hAnsi="Arial" w:cs="Arial"/>
                <w:sz w:val="20"/>
              </w:rPr>
              <w:lastRenderedPageBreak/>
              <w:t>statement that should be explicit?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lastRenderedPageBreak/>
              <w:t>Add exceptions to the places that describe signalling of HCCA capability</w:t>
            </w:r>
            <w:proofErr w:type="gramStart"/>
            <w:r w:rsidRPr="00AC6E6C">
              <w:rPr>
                <w:rFonts w:ascii="Arial" w:hAnsi="Arial" w:cs="Arial"/>
                <w:sz w:val="20"/>
              </w:rPr>
              <w:t>,  and</w:t>
            </w:r>
            <w:proofErr w:type="gramEnd"/>
            <w:r w:rsidRPr="00AC6E6C">
              <w:rPr>
                <w:rFonts w:ascii="Arial" w:hAnsi="Arial" w:cs="Arial"/>
                <w:sz w:val="20"/>
              </w:rPr>
              <w:t xml:space="preserve"> generation and response to HCCA frame sequences.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Default="00F87B55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F87B55" w:rsidRDefault="00F87B55" w:rsidP="00F87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HCCA has been explicitly described in clause 3.</w:t>
            </w:r>
          </w:p>
          <w:p w:rsidR="00F87B55" w:rsidRPr="00AC6E6C" w:rsidRDefault="00F87B55" w:rsidP="00F87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statement about the HCCA frame exchange sequence is needed, please ask to change the definition in clause 3.   </w:t>
            </w:r>
          </w:p>
        </w:tc>
      </w:tr>
      <w:tr w:rsidR="002E2C2D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14094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221.21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 xml:space="preserve">The commenter agrees with the principles of this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.  Furthermore, the transmission power used within the TXOP will have effect on the interference in such dense scenario.  As such, the specification should define a way for STAs to determine the need of RTS/CTS based on </w:t>
            </w:r>
            <w:proofErr w:type="spellStart"/>
            <w:r w:rsidRPr="00AC6E6C">
              <w:rPr>
                <w:rFonts w:ascii="Arial" w:hAnsi="Arial" w:cs="Arial"/>
                <w:sz w:val="20"/>
              </w:rPr>
              <w:t>tx</w:t>
            </w:r>
            <w:proofErr w:type="spellEnd"/>
            <w:r w:rsidRPr="00AC6E6C">
              <w:rPr>
                <w:rFonts w:ascii="Arial" w:hAnsi="Arial" w:cs="Arial"/>
                <w:sz w:val="20"/>
              </w:rPr>
              <w:t xml:space="preserve"> power.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AC6E6C">
              <w:rPr>
                <w:rFonts w:ascii="Arial" w:hAnsi="Arial" w:cs="Arial"/>
                <w:sz w:val="20"/>
              </w:rPr>
              <w:t>Further define a way to turn RTS/CTS on/off based on the transmission power.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945" w:rsidRDefault="00097004" w:rsidP="000970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2E2C2D" w:rsidRPr="00F87B55" w:rsidRDefault="00550772" w:rsidP="00B13945">
            <w:pPr>
              <w:rPr>
                <w:rFonts w:ascii="Arial" w:hAnsi="Arial" w:cs="Arial"/>
                <w:sz w:val="20"/>
                <w:lang w:val="en-US"/>
              </w:rPr>
            </w:pPr>
            <w:r w:rsidRPr="00550772">
              <w:rPr>
                <w:rFonts w:ascii="Arial" w:hAnsi="Arial" w:cs="Arial"/>
                <w:sz w:val="20"/>
              </w:rPr>
              <w:t>The comment fails to identify changes in sufficient detail so that the specific wording of the changes that will satisfy the commenter can be determined.</w:t>
            </w:r>
          </w:p>
        </w:tc>
      </w:tr>
      <w:tr w:rsidR="002E2C2D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E2C2D">
              <w:rPr>
                <w:rFonts w:ascii="Arial" w:hAnsi="Arial" w:cs="Arial"/>
                <w:sz w:val="20"/>
              </w:rPr>
              <w:t>11501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jc w:val="right"/>
              <w:rPr>
                <w:rFonts w:ascii="Arial" w:hAnsi="Arial" w:cs="Arial"/>
                <w:sz w:val="20"/>
              </w:rPr>
            </w:pPr>
            <w:r w:rsidRPr="002E2C2D">
              <w:rPr>
                <w:rFonts w:ascii="Arial" w:hAnsi="Arial" w:cs="Arial"/>
                <w:sz w:val="20"/>
              </w:rPr>
              <w:t>221.52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2E2C2D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2E2C2D">
              <w:rPr>
                <w:rFonts w:ascii="Arial" w:hAnsi="Arial" w:cs="Arial"/>
                <w:sz w:val="20"/>
              </w:rPr>
              <w:t xml:space="preserve">TXOP duration-based RTS/CTS mechanism is very clear. E.g. if </w:t>
            </w:r>
            <w:proofErr w:type="spellStart"/>
            <w:r w:rsidRPr="002E2C2D">
              <w:rPr>
                <w:rFonts w:ascii="Arial" w:hAnsi="Arial" w:cs="Arial"/>
                <w:sz w:val="20"/>
              </w:rPr>
              <w:t>txop</w:t>
            </w:r>
            <w:proofErr w:type="spellEnd"/>
            <w:r w:rsidRPr="002E2C2D">
              <w:rPr>
                <w:rFonts w:ascii="Arial" w:hAnsi="Arial" w:cs="Arial"/>
                <w:sz w:val="20"/>
              </w:rPr>
              <w:t xml:space="preserve"> is 10 </w:t>
            </w:r>
            <w:proofErr w:type="spellStart"/>
            <w:r w:rsidRPr="002E2C2D">
              <w:rPr>
                <w:rFonts w:ascii="Arial" w:hAnsi="Arial" w:cs="Arial"/>
                <w:sz w:val="20"/>
              </w:rPr>
              <w:t>ms</w:t>
            </w:r>
            <w:proofErr w:type="spellEnd"/>
            <w:r w:rsidRPr="002E2C2D">
              <w:rPr>
                <w:rFonts w:ascii="Arial" w:hAnsi="Arial" w:cs="Arial"/>
                <w:sz w:val="20"/>
              </w:rPr>
              <w:t xml:space="preserve"> and it is big enough to hold 5 DATA/ACK exchange -- is the STA required to use RTS in front of every DATA/ACK exchange or only beginning of </w:t>
            </w:r>
            <w:proofErr w:type="spellStart"/>
            <w:r w:rsidRPr="002E2C2D">
              <w:rPr>
                <w:rFonts w:ascii="Arial" w:hAnsi="Arial" w:cs="Arial"/>
                <w:sz w:val="20"/>
              </w:rPr>
              <w:t>txop</w:t>
            </w:r>
            <w:proofErr w:type="spellEnd"/>
            <w:r w:rsidRPr="002E2C2D">
              <w:rPr>
                <w:rFonts w:ascii="Arial" w:hAnsi="Arial" w:cs="Arial"/>
                <w:sz w:val="20"/>
              </w:rPr>
              <w:t>? The former makes sense more to me. Then to fix this issue, let's change the duration to be the duration of DATA+SIFS+ACK time rather than TXOP.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E2C2D" w:rsidRPr="00AC6E6C" w:rsidRDefault="002E2C2D" w:rsidP="002E2C2D">
            <w:pPr>
              <w:rPr>
                <w:rFonts w:ascii="Arial" w:hAnsi="Arial" w:cs="Arial"/>
                <w:sz w:val="20"/>
              </w:rPr>
            </w:pPr>
            <w:r w:rsidRPr="002E2C2D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Default="00097004" w:rsidP="000970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2E2C2D" w:rsidRDefault="00B13945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TXOP duration-based RTS/CTS mechanism, RTS/CTS frame exchange is occurred at the beginning of the TXOP, not every DATA/ACK frame exchange. </w:t>
            </w:r>
          </w:p>
          <w:p w:rsidR="00B13945" w:rsidRDefault="00B13945" w:rsidP="002E2C2D">
            <w:pPr>
              <w:rPr>
                <w:rFonts w:ascii="Arial" w:hAnsi="Arial" w:cs="Arial"/>
                <w:sz w:val="20"/>
              </w:rPr>
            </w:pPr>
          </w:p>
          <w:p w:rsidR="00B13945" w:rsidRPr="00AC6E6C" w:rsidRDefault="00550772" w:rsidP="002E2C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Additionally, t</w:t>
            </w:r>
            <w:r w:rsidRPr="00550772">
              <w:rPr>
                <w:rFonts w:ascii="Arial" w:hAnsi="Arial" w:cs="Arial"/>
                <w:sz w:val="20"/>
              </w:rPr>
              <w:t>he comment fails to identify changes in sufficient detail so that the specific wording of the changes that will satisfy the commenter can be determined.</w:t>
            </w:r>
          </w:p>
        </w:tc>
      </w:tr>
      <w:tr w:rsidR="00097004" w:rsidRPr="00AC6E6C" w:rsidTr="00AC6E6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Pr="002E2C2D" w:rsidRDefault="00097004" w:rsidP="002E2C2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Default="00097004" w:rsidP="00097004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221.52</w:t>
            </w:r>
          </w:p>
          <w:p w:rsidR="00097004" w:rsidRPr="002E2C2D" w:rsidRDefault="00097004" w:rsidP="002E2C2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Pr="002E2C2D" w:rsidRDefault="00097004" w:rsidP="002E2C2D">
            <w:pPr>
              <w:rPr>
                <w:rFonts w:ascii="Arial" w:hAnsi="Arial" w:cs="Arial"/>
                <w:sz w:val="20"/>
              </w:rPr>
            </w:pPr>
            <w:r w:rsidRPr="00097004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Pr="002E2C2D" w:rsidRDefault="00097004" w:rsidP="002E2C2D">
            <w:pPr>
              <w:rPr>
                <w:rFonts w:ascii="Arial" w:hAnsi="Arial" w:cs="Arial"/>
                <w:sz w:val="20"/>
              </w:rPr>
            </w:pPr>
            <w:r w:rsidRPr="00097004">
              <w:rPr>
                <w:rFonts w:ascii="Arial" w:hAnsi="Arial" w:cs="Arial"/>
                <w:sz w:val="20"/>
              </w:rPr>
              <w:t xml:space="preserve">TXOP duration-based RTS/CTS is not a </w:t>
            </w:r>
            <w:proofErr w:type="spellStart"/>
            <w:r w:rsidRPr="00097004">
              <w:rPr>
                <w:rFonts w:ascii="Arial" w:hAnsi="Arial" w:cs="Arial"/>
                <w:sz w:val="20"/>
              </w:rPr>
              <w:t>well designed</w:t>
            </w:r>
            <w:proofErr w:type="spellEnd"/>
            <w:r w:rsidRPr="00097004">
              <w:rPr>
                <w:rFonts w:ascii="Arial" w:hAnsi="Arial" w:cs="Arial"/>
                <w:sz w:val="20"/>
              </w:rPr>
              <w:t xml:space="preserve"> mechanism. The </w:t>
            </w:r>
            <w:proofErr w:type="spellStart"/>
            <w:r w:rsidRPr="00097004">
              <w:rPr>
                <w:rFonts w:ascii="Arial" w:hAnsi="Arial" w:cs="Arial"/>
                <w:sz w:val="20"/>
              </w:rPr>
              <w:t>threshhold</w:t>
            </w:r>
            <w:proofErr w:type="spellEnd"/>
            <w:r w:rsidRPr="00097004">
              <w:rPr>
                <w:rFonts w:ascii="Arial" w:hAnsi="Arial" w:cs="Arial"/>
                <w:sz w:val="20"/>
              </w:rPr>
              <w:t xml:space="preserve"> should be in PSDU length rather than the TXOP duration.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97004" w:rsidRPr="002E2C2D" w:rsidRDefault="00097004" w:rsidP="002E2C2D">
            <w:pPr>
              <w:rPr>
                <w:rFonts w:ascii="Arial" w:hAnsi="Arial" w:cs="Arial"/>
                <w:sz w:val="20"/>
              </w:rPr>
            </w:pPr>
            <w:r w:rsidRPr="00097004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E361B" w:rsidRDefault="00CE361B" w:rsidP="00CE36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097004" w:rsidRDefault="00550772" w:rsidP="00097004">
            <w:pPr>
              <w:rPr>
                <w:rFonts w:ascii="Arial" w:hAnsi="Arial" w:cs="Arial"/>
                <w:sz w:val="20"/>
              </w:rPr>
            </w:pPr>
            <w:r w:rsidRPr="00550772">
              <w:rPr>
                <w:rFonts w:ascii="Arial" w:hAnsi="Arial" w:cs="Arial"/>
                <w:sz w:val="20"/>
              </w:rPr>
              <w:t>The comment fails to identify changes in sufficient detail so that the specific wording of the changes that will satisfy the commenter can be determined.</w:t>
            </w:r>
          </w:p>
        </w:tc>
        <w:bookmarkStart w:id="0" w:name="_GoBack"/>
        <w:bookmarkEnd w:id="0"/>
      </w:tr>
    </w:tbl>
    <w:p w:rsidR="00F87B55" w:rsidRPr="00F87B55" w:rsidRDefault="000478F7" w:rsidP="00F87B55">
      <w:pPr>
        <w:pStyle w:val="T"/>
        <w:rPr>
          <w:b/>
          <w:bCs/>
          <w:i/>
          <w:iCs/>
          <w:highlight w:val="yellow"/>
          <w:lang w:eastAsia="ko-KR"/>
        </w:rPr>
      </w:pPr>
      <w:proofErr w:type="spellStart"/>
      <w:r w:rsidRPr="00F87B55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F87B55">
        <w:rPr>
          <w:b/>
          <w:bCs/>
          <w:i/>
          <w:iCs/>
          <w:highlight w:val="yellow"/>
          <w:lang w:eastAsia="ko-KR"/>
        </w:rPr>
        <w:t xml:space="preserve"> editor: </w:t>
      </w:r>
      <w:r w:rsidR="00F87B55" w:rsidRPr="00F87B55">
        <w:rPr>
          <w:b/>
          <w:bCs/>
          <w:i/>
          <w:iCs/>
          <w:highlight w:val="yellow"/>
          <w:lang w:eastAsia="ko-KR"/>
        </w:rPr>
        <w:t xml:space="preserve">replace "When TXOP duration-based RTS is disabled" with "When dot11TXOPDurationRTSThreshold is 1023 or it is not present" at Page 205 Line 39. </w:t>
      </w:r>
    </w:p>
    <w:p w:rsidR="00F87B55" w:rsidRDefault="00F87B55" w:rsidP="00F87B55">
      <w:pPr>
        <w:pStyle w:val="T"/>
        <w:rPr>
          <w:b/>
          <w:bCs/>
          <w:i/>
          <w:iCs/>
          <w:lang w:eastAsia="ko-KR"/>
        </w:rPr>
      </w:pPr>
      <w:proofErr w:type="spellStart"/>
      <w:r w:rsidRPr="00F87B55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F87B55">
        <w:rPr>
          <w:b/>
          <w:bCs/>
          <w:i/>
          <w:iCs/>
          <w:highlight w:val="yellow"/>
          <w:lang w:eastAsia="ko-KR"/>
        </w:rPr>
        <w:t xml:space="preserve"> editor: replace "When TXOP duration-based RTS is enabled" with "When dot11TXOPDurationRTSThreshold is not 1023" at Page 205 Line 41.</w:t>
      </w:r>
      <w:r>
        <w:rPr>
          <w:b/>
          <w:bCs/>
          <w:i/>
          <w:iCs/>
          <w:lang w:eastAsia="ko-KR"/>
        </w:rPr>
        <w:t xml:space="preserve"> </w:t>
      </w:r>
    </w:p>
    <w:p w:rsidR="00F87B55" w:rsidRDefault="00F87B55" w:rsidP="00F87B55">
      <w:pPr>
        <w:pStyle w:val="T"/>
        <w:rPr>
          <w:b/>
          <w:bCs/>
          <w:i/>
          <w:iCs/>
          <w:lang w:eastAsia="ko-KR"/>
        </w:rPr>
      </w:pPr>
      <w:proofErr w:type="spellStart"/>
      <w:r w:rsidRPr="00E13CF6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E13CF6">
        <w:rPr>
          <w:b/>
          <w:bCs/>
          <w:i/>
          <w:iCs/>
          <w:highlight w:val="yellow"/>
          <w:lang w:eastAsia="ko-KR"/>
        </w:rPr>
        <w:t xml:space="preserve"> editor: </w:t>
      </w:r>
      <w:r w:rsidRPr="00F87B55">
        <w:rPr>
          <w:b/>
          <w:bCs/>
          <w:i/>
          <w:iCs/>
          <w:highlight w:val="yellow"/>
          <w:lang w:eastAsia="ko-KR"/>
        </w:rPr>
        <w:t>replace “these requirements” with “requirements related with dot11RTSThreshold and dot11TXOPDurationRTSThreshold” at Page 205 Line 53.</w:t>
      </w:r>
    </w:p>
    <w:p w:rsidR="00060DD5" w:rsidRDefault="00060DD5" w:rsidP="00060DD5">
      <w:pPr>
        <w:autoSpaceDE w:val="0"/>
        <w:autoSpaceDN w:val="0"/>
        <w:adjustRightInd w:val="0"/>
        <w:jc w:val="both"/>
        <w:rPr>
          <w:sz w:val="20"/>
          <w:u w:val="single"/>
        </w:rPr>
      </w:pPr>
    </w:p>
    <w:p w:rsidR="00060DD5" w:rsidRDefault="00060DD5" w:rsidP="00060DD5">
      <w:pPr>
        <w:autoSpaceDE w:val="0"/>
        <w:autoSpaceDN w:val="0"/>
        <w:adjustRightInd w:val="0"/>
        <w:jc w:val="both"/>
        <w:rPr>
          <w:sz w:val="20"/>
          <w:u w:val="single"/>
        </w:rPr>
      </w:pPr>
    </w:p>
    <w:p w:rsidR="00060DD5" w:rsidRPr="00EE3E10" w:rsidRDefault="00060DD5" w:rsidP="00060DD5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</w:p>
    <w:sectPr w:rsidR="00060DD5" w:rsidRPr="00EE3E1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C8" w:rsidRDefault="00C255C8">
      <w:r>
        <w:separator/>
      </w:r>
    </w:p>
  </w:endnote>
  <w:endnote w:type="continuationSeparator" w:id="0">
    <w:p w:rsidR="00C255C8" w:rsidRDefault="00C2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0C3F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7A7521">
      <w:rPr>
        <w:noProof/>
      </w:rPr>
      <w:t>2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C8" w:rsidRDefault="00C255C8">
      <w:r>
        <w:separator/>
      </w:r>
    </w:p>
  </w:footnote>
  <w:footnote w:type="continuationSeparator" w:id="0">
    <w:p w:rsidR="00C255C8" w:rsidRDefault="00C2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1030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3D9D">
      <w:rPr>
        <w:lang w:eastAsia="ko-KR"/>
      </w:rPr>
      <w:t xml:space="preserve">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BD6AD9">
        <w:t>0</w:t>
      </w:r>
      <w:r w:rsidR="00702042">
        <w:t>726</w:t>
      </w:r>
      <w:r w:rsidR="00BA7246">
        <w:t>r</w:t>
      </w:r>
    </w:fldSimple>
    <w:r w:rsidR="00D93A9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26461"/>
    <w:multiLevelType w:val="hybridMultilevel"/>
    <w:tmpl w:val="E4900EBC"/>
    <w:lvl w:ilvl="0" w:tplc="B0D0B518">
      <w:start w:val="10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7"/>
  </w:num>
  <w:num w:numId="11">
    <w:abstractNumId w:val="24"/>
  </w:num>
  <w:num w:numId="12">
    <w:abstractNumId w:val="6"/>
  </w:num>
  <w:num w:numId="13">
    <w:abstractNumId w:val="9"/>
  </w:num>
  <w:num w:numId="14">
    <w:abstractNumId w:val="19"/>
  </w:num>
  <w:num w:numId="15">
    <w:abstractNumId w:val="17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  <w:num w:numId="20">
    <w:abstractNumId w:val="11"/>
  </w:num>
  <w:num w:numId="21">
    <w:abstractNumId w:val="8"/>
  </w:num>
  <w:num w:numId="22">
    <w:abstractNumId w:val="18"/>
  </w:num>
  <w:num w:numId="23">
    <w:abstractNumId w:val="5"/>
  </w:num>
  <w:num w:numId="24">
    <w:abstractNumId w:val="14"/>
  </w:num>
  <w:num w:numId="25">
    <w:abstractNumId w:val="21"/>
  </w:num>
  <w:num w:numId="26">
    <w:abstractNumId w:val="15"/>
  </w:num>
  <w:num w:numId="27">
    <w:abstractNumId w:val="16"/>
  </w:num>
  <w:num w:numId="28">
    <w:abstractNumId w:val="20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3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2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7-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A37"/>
    <w:rsid w:val="00033D52"/>
    <w:rsid w:val="00036B55"/>
    <w:rsid w:val="00037D0D"/>
    <w:rsid w:val="000405C4"/>
    <w:rsid w:val="0004461D"/>
    <w:rsid w:val="00044D12"/>
    <w:rsid w:val="00045F1D"/>
    <w:rsid w:val="000478F7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2E02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379"/>
    <w:rsid w:val="00090640"/>
    <w:rsid w:val="00091276"/>
    <w:rsid w:val="00091DF7"/>
    <w:rsid w:val="00093974"/>
    <w:rsid w:val="00093FA5"/>
    <w:rsid w:val="00094FFA"/>
    <w:rsid w:val="00095627"/>
    <w:rsid w:val="00095DED"/>
    <w:rsid w:val="00097004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3F2D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5E1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6756F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2FA9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676D7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64A"/>
    <w:rsid w:val="002E1B18"/>
    <w:rsid w:val="002E22E0"/>
    <w:rsid w:val="002E2C2D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14A3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2C9B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1E9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71A"/>
    <w:rsid w:val="004D4B1E"/>
    <w:rsid w:val="004D6BE8"/>
    <w:rsid w:val="004D7188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05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0772"/>
    <w:rsid w:val="00552601"/>
    <w:rsid w:val="00552A0C"/>
    <w:rsid w:val="00552B09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913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39D4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2042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2E67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521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1A49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0B4F"/>
    <w:rsid w:val="008B1430"/>
    <w:rsid w:val="008B3B01"/>
    <w:rsid w:val="008B47B4"/>
    <w:rsid w:val="008B4838"/>
    <w:rsid w:val="008B5396"/>
    <w:rsid w:val="008B54C3"/>
    <w:rsid w:val="008B5A3D"/>
    <w:rsid w:val="008B64D6"/>
    <w:rsid w:val="008B7168"/>
    <w:rsid w:val="008C2E5B"/>
    <w:rsid w:val="008C4913"/>
    <w:rsid w:val="008C5478"/>
    <w:rsid w:val="008C55C1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2075E"/>
    <w:rsid w:val="00921AB2"/>
    <w:rsid w:val="009225A7"/>
    <w:rsid w:val="009237A3"/>
    <w:rsid w:val="0092754A"/>
    <w:rsid w:val="009276A3"/>
    <w:rsid w:val="00927FEB"/>
    <w:rsid w:val="00931E1D"/>
    <w:rsid w:val="009327EE"/>
    <w:rsid w:val="00932C90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17F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AB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6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7C8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945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FD4"/>
    <w:rsid w:val="00B2111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7D47"/>
    <w:rsid w:val="00B7006B"/>
    <w:rsid w:val="00B7006F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55C8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01C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4AE3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6AC"/>
    <w:rsid w:val="00CA079D"/>
    <w:rsid w:val="00CA10F0"/>
    <w:rsid w:val="00CA1649"/>
    <w:rsid w:val="00CA2591"/>
    <w:rsid w:val="00CA2B4B"/>
    <w:rsid w:val="00CA35BF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61B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626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6B0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27A5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4F6C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87B55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3B1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1B92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D79D-BED6-467D-8A82-42CFDBC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5069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357</cp:revision>
  <cp:lastPrinted>2010-05-04T00:47:00Z</cp:lastPrinted>
  <dcterms:created xsi:type="dcterms:W3CDTF">2017-07-14T23:45:00Z</dcterms:created>
  <dcterms:modified xsi:type="dcterms:W3CDTF">2018-05-07T09:39:00Z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