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333A4" w14:textId="77777777" w:rsidR="005E768D" w:rsidRPr="00572EE8" w:rsidRDefault="005E768D">
      <w:pPr>
        <w:pStyle w:val="T1"/>
        <w:pBdr>
          <w:bottom w:val="single" w:sz="6" w:space="0" w:color="auto"/>
        </w:pBdr>
        <w:spacing w:after="240"/>
        <w:rPr>
          <w:sz w:val="20"/>
        </w:rPr>
      </w:pPr>
      <w:r w:rsidRPr="00572EE8">
        <w:rPr>
          <w:sz w:val="20"/>
        </w:rPr>
        <w:t>IEEE P802.11</w:t>
      </w:r>
      <w:r w:rsidRPr="00572EE8">
        <w:rPr>
          <w:sz w:val="20"/>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572EE8" w14:paraId="695881A5" w14:textId="77777777" w:rsidTr="00D74DE9">
        <w:trPr>
          <w:trHeight w:val="485"/>
          <w:jc w:val="center"/>
        </w:trPr>
        <w:tc>
          <w:tcPr>
            <w:tcW w:w="9576" w:type="dxa"/>
            <w:gridSpan w:val="5"/>
            <w:vAlign w:val="center"/>
          </w:tcPr>
          <w:p w14:paraId="08C66EDA" w14:textId="0E02E353" w:rsidR="00FD13DD" w:rsidRPr="00572EE8" w:rsidRDefault="00E163E8" w:rsidP="00FD13DD">
            <w:pPr>
              <w:pStyle w:val="T2"/>
              <w:rPr>
                <w:sz w:val="20"/>
                <w:lang w:eastAsia="ko-KR"/>
              </w:rPr>
            </w:pPr>
            <w:r w:rsidRPr="00572EE8">
              <w:rPr>
                <w:sz w:val="20"/>
                <w:lang w:eastAsia="ko-KR"/>
              </w:rPr>
              <w:t xml:space="preserve">Comment Resolutions </w:t>
            </w:r>
            <w:r w:rsidR="00953D56" w:rsidRPr="00572EE8">
              <w:rPr>
                <w:sz w:val="20"/>
                <w:lang w:eastAsia="ko-KR"/>
              </w:rPr>
              <w:t xml:space="preserve">on </w:t>
            </w:r>
            <w:r w:rsidR="003B5537" w:rsidRPr="00572EE8">
              <w:rPr>
                <w:sz w:val="20"/>
                <w:lang w:eastAsia="ko-KR"/>
              </w:rPr>
              <w:t xml:space="preserve">PHY </w:t>
            </w:r>
            <w:r w:rsidR="00CC392D" w:rsidRPr="00572EE8">
              <w:rPr>
                <w:sz w:val="20"/>
                <w:lang w:eastAsia="ko-KR"/>
              </w:rPr>
              <w:t>Sounding</w:t>
            </w:r>
            <w:r w:rsidR="00FD13DD" w:rsidRPr="00572EE8">
              <w:rPr>
                <w:sz w:val="20"/>
                <w:lang w:eastAsia="ko-KR"/>
              </w:rPr>
              <w:t xml:space="preserve"> </w:t>
            </w:r>
          </w:p>
          <w:p w14:paraId="52B0F29E" w14:textId="77EA9168" w:rsidR="00C723BC" w:rsidRPr="00572EE8" w:rsidRDefault="00953D56" w:rsidP="00FD13DD">
            <w:pPr>
              <w:pStyle w:val="T2"/>
              <w:rPr>
                <w:sz w:val="20"/>
              </w:rPr>
            </w:pPr>
            <w:r w:rsidRPr="00572EE8">
              <w:rPr>
                <w:sz w:val="20"/>
                <w:lang w:eastAsia="ko-KR"/>
              </w:rPr>
              <w:t xml:space="preserve">Part </w:t>
            </w:r>
            <w:r w:rsidR="00101B7B" w:rsidRPr="00572EE8">
              <w:rPr>
                <w:sz w:val="20"/>
                <w:lang w:eastAsia="ko-KR"/>
              </w:rPr>
              <w:t>1</w:t>
            </w:r>
          </w:p>
        </w:tc>
      </w:tr>
      <w:tr w:rsidR="00C723BC" w:rsidRPr="00572EE8" w14:paraId="5B9F14D2" w14:textId="77777777" w:rsidTr="00D74DE9">
        <w:trPr>
          <w:trHeight w:val="359"/>
          <w:jc w:val="center"/>
        </w:trPr>
        <w:tc>
          <w:tcPr>
            <w:tcW w:w="9576" w:type="dxa"/>
            <w:gridSpan w:val="5"/>
            <w:vAlign w:val="center"/>
          </w:tcPr>
          <w:p w14:paraId="03728683" w14:textId="24624F84" w:rsidR="00C723BC" w:rsidRPr="00572EE8" w:rsidRDefault="00C723BC" w:rsidP="00777246">
            <w:pPr>
              <w:pStyle w:val="T2"/>
              <w:ind w:left="0"/>
              <w:rPr>
                <w:b w:val="0"/>
                <w:sz w:val="20"/>
              </w:rPr>
            </w:pPr>
            <w:r w:rsidRPr="00572EE8">
              <w:rPr>
                <w:sz w:val="20"/>
              </w:rPr>
              <w:t>Date:</w:t>
            </w:r>
            <w:r w:rsidRPr="00572EE8">
              <w:rPr>
                <w:b w:val="0"/>
                <w:sz w:val="20"/>
              </w:rPr>
              <w:t xml:space="preserve">  201</w:t>
            </w:r>
            <w:r w:rsidR="003B5537" w:rsidRPr="00572EE8">
              <w:rPr>
                <w:b w:val="0"/>
                <w:sz w:val="20"/>
              </w:rPr>
              <w:t>8</w:t>
            </w:r>
            <w:r w:rsidRPr="00572EE8">
              <w:rPr>
                <w:b w:val="0"/>
                <w:sz w:val="20"/>
              </w:rPr>
              <w:t>-</w:t>
            </w:r>
            <w:r w:rsidR="003B5537" w:rsidRPr="00572EE8">
              <w:rPr>
                <w:b w:val="0"/>
                <w:sz w:val="20"/>
              </w:rPr>
              <w:t>0</w:t>
            </w:r>
            <w:r w:rsidR="00CC392D" w:rsidRPr="00572EE8">
              <w:rPr>
                <w:b w:val="0"/>
                <w:sz w:val="20"/>
                <w:lang w:eastAsia="ko-KR"/>
              </w:rPr>
              <w:t>4</w:t>
            </w:r>
            <w:r w:rsidRPr="00572EE8">
              <w:rPr>
                <w:b w:val="0"/>
                <w:sz w:val="20"/>
                <w:lang w:eastAsia="ko-KR"/>
              </w:rPr>
              <w:t>-</w:t>
            </w:r>
            <w:r w:rsidR="003B5537" w:rsidRPr="00572EE8">
              <w:rPr>
                <w:b w:val="0"/>
                <w:sz w:val="20"/>
                <w:lang w:eastAsia="ko-KR"/>
              </w:rPr>
              <w:t>1</w:t>
            </w:r>
            <w:r w:rsidR="00CC392D" w:rsidRPr="00572EE8">
              <w:rPr>
                <w:b w:val="0"/>
                <w:sz w:val="20"/>
                <w:lang w:eastAsia="ko-KR"/>
              </w:rPr>
              <w:t>9</w:t>
            </w:r>
          </w:p>
        </w:tc>
      </w:tr>
      <w:tr w:rsidR="00C723BC" w:rsidRPr="00572EE8" w14:paraId="60D08A4F" w14:textId="77777777" w:rsidTr="00D74DE9">
        <w:trPr>
          <w:cantSplit/>
          <w:jc w:val="center"/>
        </w:trPr>
        <w:tc>
          <w:tcPr>
            <w:tcW w:w="9576" w:type="dxa"/>
            <w:gridSpan w:val="5"/>
            <w:vAlign w:val="center"/>
          </w:tcPr>
          <w:p w14:paraId="00EEB634" w14:textId="77777777" w:rsidR="00C723BC" w:rsidRPr="00572EE8" w:rsidRDefault="00C723BC" w:rsidP="00D74DE9">
            <w:pPr>
              <w:pStyle w:val="T2"/>
              <w:spacing w:after="0"/>
              <w:ind w:left="0" w:right="0"/>
              <w:jc w:val="left"/>
              <w:rPr>
                <w:sz w:val="20"/>
              </w:rPr>
            </w:pPr>
            <w:r w:rsidRPr="00572EE8">
              <w:rPr>
                <w:sz w:val="20"/>
              </w:rPr>
              <w:t>Author(s):</w:t>
            </w:r>
          </w:p>
        </w:tc>
      </w:tr>
      <w:tr w:rsidR="00C723BC" w:rsidRPr="00572EE8" w14:paraId="5BAC7FA8" w14:textId="77777777" w:rsidTr="00374E5A">
        <w:trPr>
          <w:jc w:val="center"/>
        </w:trPr>
        <w:tc>
          <w:tcPr>
            <w:tcW w:w="1548" w:type="dxa"/>
            <w:vAlign w:val="center"/>
          </w:tcPr>
          <w:p w14:paraId="3B56D2FD" w14:textId="77777777" w:rsidR="00C723BC" w:rsidRPr="00572EE8" w:rsidRDefault="00C723BC" w:rsidP="00D74DE9">
            <w:pPr>
              <w:pStyle w:val="T2"/>
              <w:spacing w:after="0"/>
              <w:ind w:left="0" w:right="0"/>
              <w:jc w:val="left"/>
              <w:rPr>
                <w:sz w:val="20"/>
              </w:rPr>
            </w:pPr>
            <w:r w:rsidRPr="00572EE8">
              <w:rPr>
                <w:sz w:val="20"/>
              </w:rPr>
              <w:t>Name</w:t>
            </w:r>
          </w:p>
        </w:tc>
        <w:tc>
          <w:tcPr>
            <w:tcW w:w="1440" w:type="dxa"/>
            <w:vAlign w:val="center"/>
          </w:tcPr>
          <w:p w14:paraId="0CE9147F" w14:textId="77777777" w:rsidR="00C723BC" w:rsidRPr="00572EE8" w:rsidRDefault="00C723BC" w:rsidP="00D74DE9">
            <w:pPr>
              <w:pStyle w:val="T2"/>
              <w:spacing w:after="0"/>
              <w:ind w:left="0" w:right="0"/>
              <w:jc w:val="left"/>
              <w:rPr>
                <w:sz w:val="20"/>
              </w:rPr>
            </w:pPr>
            <w:r w:rsidRPr="00572EE8">
              <w:rPr>
                <w:sz w:val="20"/>
              </w:rPr>
              <w:t>Affiliation</w:t>
            </w:r>
          </w:p>
        </w:tc>
        <w:tc>
          <w:tcPr>
            <w:tcW w:w="2610" w:type="dxa"/>
            <w:vAlign w:val="center"/>
          </w:tcPr>
          <w:p w14:paraId="64C404C8" w14:textId="77777777" w:rsidR="00C723BC" w:rsidRPr="00572EE8" w:rsidRDefault="00C723BC" w:rsidP="00D74DE9">
            <w:pPr>
              <w:pStyle w:val="T2"/>
              <w:spacing w:after="0"/>
              <w:ind w:left="0" w:right="0"/>
              <w:jc w:val="left"/>
              <w:rPr>
                <w:sz w:val="20"/>
              </w:rPr>
            </w:pPr>
            <w:r w:rsidRPr="00572EE8">
              <w:rPr>
                <w:sz w:val="20"/>
              </w:rPr>
              <w:t>Address</w:t>
            </w:r>
          </w:p>
        </w:tc>
        <w:tc>
          <w:tcPr>
            <w:tcW w:w="1507" w:type="dxa"/>
            <w:vAlign w:val="center"/>
          </w:tcPr>
          <w:p w14:paraId="4EF852C8" w14:textId="77777777" w:rsidR="00C723BC" w:rsidRPr="00572EE8" w:rsidRDefault="00C723BC" w:rsidP="00D74DE9">
            <w:pPr>
              <w:pStyle w:val="T2"/>
              <w:spacing w:after="0"/>
              <w:ind w:left="0" w:right="0"/>
              <w:jc w:val="left"/>
              <w:rPr>
                <w:sz w:val="20"/>
              </w:rPr>
            </w:pPr>
            <w:r w:rsidRPr="00572EE8">
              <w:rPr>
                <w:sz w:val="20"/>
              </w:rPr>
              <w:t>Phone</w:t>
            </w:r>
          </w:p>
        </w:tc>
        <w:tc>
          <w:tcPr>
            <w:tcW w:w="2471" w:type="dxa"/>
            <w:vAlign w:val="center"/>
          </w:tcPr>
          <w:p w14:paraId="278CB29A" w14:textId="77777777" w:rsidR="00C723BC" w:rsidRPr="00572EE8" w:rsidRDefault="00C723BC" w:rsidP="00D74DE9">
            <w:pPr>
              <w:pStyle w:val="T2"/>
              <w:spacing w:after="0"/>
              <w:ind w:left="0" w:right="0"/>
              <w:jc w:val="left"/>
              <w:rPr>
                <w:sz w:val="20"/>
              </w:rPr>
            </w:pPr>
            <w:r w:rsidRPr="00572EE8">
              <w:rPr>
                <w:sz w:val="20"/>
              </w:rPr>
              <w:t>email</w:t>
            </w:r>
          </w:p>
        </w:tc>
      </w:tr>
      <w:tr w:rsidR="00193B54" w:rsidRPr="00572EE8" w14:paraId="12547924" w14:textId="77777777" w:rsidTr="00374E5A">
        <w:trPr>
          <w:trHeight w:val="359"/>
          <w:jc w:val="center"/>
        </w:trPr>
        <w:tc>
          <w:tcPr>
            <w:tcW w:w="1548" w:type="dxa"/>
            <w:vAlign w:val="center"/>
          </w:tcPr>
          <w:p w14:paraId="03AA3557" w14:textId="77777777" w:rsidR="00193B54" w:rsidRPr="00572EE8" w:rsidRDefault="00193B54" w:rsidP="00492A82">
            <w:pPr>
              <w:pStyle w:val="T2"/>
              <w:spacing w:after="0"/>
              <w:ind w:left="0" w:right="0"/>
              <w:jc w:val="left"/>
              <w:rPr>
                <w:b w:val="0"/>
                <w:sz w:val="20"/>
                <w:lang w:eastAsia="ko-KR"/>
              </w:rPr>
            </w:pPr>
            <w:r w:rsidRPr="00572EE8">
              <w:rPr>
                <w:b w:val="0"/>
                <w:sz w:val="20"/>
                <w:lang w:eastAsia="ko-KR"/>
              </w:rPr>
              <w:t>Lochan Verma</w:t>
            </w:r>
          </w:p>
        </w:tc>
        <w:tc>
          <w:tcPr>
            <w:tcW w:w="1440" w:type="dxa"/>
            <w:vMerge w:val="restart"/>
            <w:vAlign w:val="center"/>
          </w:tcPr>
          <w:p w14:paraId="33CCEDE6" w14:textId="77777777" w:rsidR="00193B54" w:rsidRPr="00572EE8" w:rsidRDefault="00193B54" w:rsidP="00492A82">
            <w:pPr>
              <w:pStyle w:val="T2"/>
              <w:spacing w:after="0"/>
              <w:ind w:left="0" w:right="0"/>
              <w:jc w:val="left"/>
              <w:rPr>
                <w:b w:val="0"/>
                <w:sz w:val="20"/>
                <w:lang w:eastAsia="ko-KR"/>
              </w:rPr>
            </w:pPr>
            <w:r w:rsidRPr="00572EE8">
              <w:rPr>
                <w:b w:val="0"/>
                <w:sz w:val="20"/>
                <w:lang w:eastAsia="ko-KR"/>
              </w:rPr>
              <w:t>Qualcomm Inc.</w:t>
            </w:r>
          </w:p>
        </w:tc>
        <w:tc>
          <w:tcPr>
            <w:tcW w:w="2610" w:type="dxa"/>
            <w:vAlign w:val="center"/>
          </w:tcPr>
          <w:p w14:paraId="5775EF2F" w14:textId="77777777" w:rsidR="00193B54" w:rsidRPr="00572EE8" w:rsidRDefault="00193B54" w:rsidP="00492A82">
            <w:pPr>
              <w:pStyle w:val="T2"/>
              <w:spacing w:after="0"/>
              <w:ind w:left="0" w:right="0"/>
              <w:jc w:val="left"/>
              <w:rPr>
                <w:b w:val="0"/>
                <w:sz w:val="20"/>
                <w:lang w:eastAsia="ko-KR"/>
              </w:rPr>
            </w:pPr>
            <w:r w:rsidRPr="00572EE8">
              <w:rPr>
                <w:b w:val="0"/>
                <w:sz w:val="20"/>
                <w:lang w:eastAsia="ko-KR"/>
              </w:rPr>
              <w:t>5775 Morehouse Dr, San Diego, CA 92121</w:t>
            </w:r>
          </w:p>
          <w:p w14:paraId="57CF593C" w14:textId="26C71BED" w:rsidR="00193B54" w:rsidRPr="00572EE8" w:rsidRDefault="00193B54" w:rsidP="00492A82">
            <w:pPr>
              <w:pStyle w:val="T2"/>
              <w:spacing w:after="0"/>
              <w:ind w:left="0" w:right="0"/>
              <w:jc w:val="left"/>
              <w:rPr>
                <w:b w:val="0"/>
                <w:sz w:val="20"/>
                <w:lang w:eastAsia="ko-KR"/>
              </w:rPr>
            </w:pPr>
          </w:p>
        </w:tc>
        <w:tc>
          <w:tcPr>
            <w:tcW w:w="1507" w:type="dxa"/>
            <w:vAlign w:val="center"/>
          </w:tcPr>
          <w:p w14:paraId="489F33FB" w14:textId="77777777" w:rsidR="00193B54" w:rsidRPr="00572EE8" w:rsidRDefault="00193B54" w:rsidP="00777246">
            <w:pPr>
              <w:pStyle w:val="T2"/>
              <w:spacing w:after="0"/>
              <w:ind w:left="0" w:right="0"/>
              <w:jc w:val="left"/>
              <w:rPr>
                <w:b w:val="0"/>
                <w:sz w:val="20"/>
                <w:lang w:eastAsia="ko-KR"/>
              </w:rPr>
            </w:pPr>
            <w:r w:rsidRPr="00572EE8">
              <w:rPr>
                <w:b w:val="0"/>
                <w:sz w:val="20"/>
                <w:lang w:eastAsia="ko-KR"/>
              </w:rPr>
              <w:t>+1-858-845-7832</w:t>
            </w:r>
          </w:p>
        </w:tc>
        <w:tc>
          <w:tcPr>
            <w:tcW w:w="2471" w:type="dxa"/>
            <w:vAlign w:val="center"/>
          </w:tcPr>
          <w:p w14:paraId="1E99EE37" w14:textId="77777777" w:rsidR="00193B54" w:rsidRPr="00572EE8" w:rsidRDefault="00193B54" w:rsidP="00492A82">
            <w:pPr>
              <w:pStyle w:val="T2"/>
              <w:spacing w:after="0"/>
              <w:ind w:left="0" w:right="0"/>
              <w:jc w:val="left"/>
              <w:rPr>
                <w:b w:val="0"/>
                <w:sz w:val="20"/>
                <w:lang w:eastAsia="ko-KR"/>
              </w:rPr>
            </w:pPr>
            <w:r w:rsidRPr="00572EE8">
              <w:rPr>
                <w:b w:val="0"/>
                <w:sz w:val="20"/>
                <w:lang w:eastAsia="ko-KR"/>
              </w:rPr>
              <w:t>lverma@qti.qualcomm.com</w:t>
            </w:r>
          </w:p>
        </w:tc>
      </w:tr>
      <w:tr w:rsidR="00193B54" w:rsidRPr="00572EE8" w14:paraId="7D0D36FE" w14:textId="77777777" w:rsidTr="00374E5A">
        <w:trPr>
          <w:trHeight w:val="359"/>
          <w:jc w:val="center"/>
        </w:trPr>
        <w:tc>
          <w:tcPr>
            <w:tcW w:w="1548" w:type="dxa"/>
            <w:vAlign w:val="center"/>
          </w:tcPr>
          <w:p w14:paraId="4DB826A8" w14:textId="49AD267D" w:rsidR="00193B54" w:rsidRPr="00572EE8" w:rsidRDefault="00193B54" w:rsidP="00492A82">
            <w:pPr>
              <w:pStyle w:val="T2"/>
              <w:spacing w:after="0"/>
              <w:ind w:left="0" w:right="0"/>
              <w:jc w:val="left"/>
              <w:rPr>
                <w:b w:val="0"/>
                <w:sz w:val="20"/>
                <w:lang w:eastAsia="ko-KR"/>
              </w:rPr>
            </w:pPr>
            <w:r w:rsidRPr="00572EE8">
              <w:rPr>
                <w:b w:val="0"/>
                <w:sz w:val="20"/>
                <w:lang w:eastAsia="ko-KR"/>
              </w:rPr>
              <w:t>Youhan Kim</w:t>
            </w:r>
          </w:p>
        </w:tc>
        <w:tc>
          <w:tcPr>
            <w:tcW w:w="1440" w:type="dxa"/>
            <w:vMerge/>
            <w:vAlign w:val="center"/>
          </w:tcPr>
          <w:p w14:paraId="2CAFC6EF" w14:textId="6099BCF0" w:rsidR="00193B54" w:rsidRPr="00572EE8" w:rsidRDefault="00193B54" w:rsidP="00492A82">
            <w:pPr>
              <w:pStyle w:val="T2"/>
              <w:spacing w:after="0"/>
              <w:ind w:left="0" w:right="0"/>
              <w:jc w:val="left"/>
              <w:rPr>
                <w:b w:val="0"/>
                <w:sz w:val="20"/>
                <w:lang w:eastAsia="ko-KR"/>
              </w:rPr>
            </w:pPr>
          </w:p>
        </w:tc>
        <w:tc>
          <w:tcPr>
            <w:tcW w:w="2610" w:type="dxa"/>
            <w:vAlign w:val="center"/>
          </w:tcPr>
          <w:p w14:paraId="6E6F98BC" w14:textId="767DE98E" w:rsidR="00193B54" w:rsidRPr="00572EE8" w:rsidRDefault="00193B54" w:rsidP="00492A82">
            <w:pPr>
              <w:pStyle w:val="T2"/>
              <w:spacing w:after="0"/>
              <w:ind w:left="0" w:right="0"/>
              <w:jc w:val="left"/>
              <w:rPr>
                <w:b w:val="0"/>
                <w:sz w:val="20"/>
                <w:lang w:eastAsia="ko-KR"/>
              </w:rPr>
            </w:pPr>
          </w:p>
        </w:tc>
        <w:tc>
          <w:tcPr>
            <w:tcW w:w="1507" w:type="dxa"/>
            <w:vAlign w:val="center"/>
          </w:tcPr>
          <w:p w14:paraId="4A43634D" w14:textId="6E2F17F4" w:rsidR="00193B54" w:rsidRPr="00572EE8" w:rsidRDefault="00193B54" w:rsidP="00492A82">
            <w:pPr>
              <w:pStyle w:val="T2"/>
              <w:spacing w:after="0"/>
              <w:ind w:left="0" w:right="0"/>
              <w:jc w:val="left"/>
              <w:rPr>
                <w:b w:val="0"/>
                <w:sz w:val="20"/>
                <w:lang w:eastAsia="ko-KR"/>
              </w:rPr>
            </w:pPr>
          </w:p>
        </w:tc>
        <w:tc>
          <w:tcPr>
            <w:tcW w:w="2471" w:type="dxa"/>
            <w:vAlign w:val="center"/>
          </w:tcPr>
          <w:p w14:paraId="16455652" w14:textId="3BE205D9" w:rsidR="00193B54" w:rsidRPr="00572EE8" w:rsidRDefault="00193B54" w:rsidP="00492A82">
            <w:pPr>
              <w:pStyle w:val="T2"/>
              <w:spacing w:after="0"/>
              <w:ind w:left="0" w:right="0"/>
              <w:jc w:val="left"/>
              <w:rPr>
                <w:b w:val="0"/>
                <w:sz w:val="20"/>
                <w:lang w:eastAsia="ko-KR"/>
              </w:rPr>
            </w:pPr>
            <w:r w:rsidRPr="00572EE8">
              <w:rPr>
                <w:b w:val="0"/>
                <w:sz w:val="20"/>
                <w:lang w:eastAsia="ko-KR"/>
              </w:rPr>
              <w:t>youhank@qca.qualcomm.com</w:t>
            </w:r>
          </w:p>
        </w:tc>
      </w:tr>
      <w:tr w:rsidR="00193B54" w:rsidRPr="00572EE8" w14:paraId="3EE770A7" w14:textId="77777777" w:rsidTr="00374E5A">
        <w:trPr>
          <w:trHeight w:val="359"/>
          <w:jc w:val="center"/>
        </w:trPr>
        <w:tc>
          <w:tcPr>
            <w:tcW w:w="1548" w:type="dxa"/>
            <w:vAlign w:val="center"/>
          </w:tcPr>
          <w:p w14:paraId="7F0398BE" w14:textId="12AA5A90" w:rsidR="00193B54" w:rsidRPr="00572EE8" w:rsidRDefault="00193B54" w:rsidP="00492A82">
            <w:pPr>
              <w:pStyle w:val="T2"/>
              <w:spacing w:after="0"/>
              <w:ind w:left="0" w:right="0"/>
              <w:jc w:val="left"/>
              <w:rPr>
                <w:b w:val="0"/>
                <w:sz w:val="20"/>
                <w:lang w:eastAsia="ko-KR"/>
              </w:rPr>
            </w:pPr>
            <w:r w:rsidRPr="00572EE8">
              <w:rPr>
                <w:b w:val="0"/>
                <w:sz w:val="20"/>
                <w:lang w:eastAsia="ko-KR"/>
              </w:rPr>
              <w:t>Bin Tian</w:t>
            </w:r>
          </w:p>
        </w:tc>
        <w:tc>
          <w:tcPr>
            <w:tcW w:w="1440" w:type="dxa"/>
            <w:vMerge/>
            <w:vAlign w:val="center"/>
          </w:tcPr>
          <w:p w14:paraId="4807B592" w14:textId="58A397F4" w:rsidR="00193B54" w:rsidRPr="00572EE8" w:rsidRDefault="00193B54" w:rsidP="00492A82">
            <w:pPr>
              <w:pStyle w:val="T2"/>
              <w:spacing w:after="0"/>
              <w:ind w:left="0" w:right="0"/>
              <w:jc w:val="left"/>
              <w:rPr>
                <w:b w:val="0"/>
                <w:sz w:val="20"/>
                <w:lang w:eastAsia="ko-KR"/>
              </w:rPr>
            </w:pPr>
          </w:p>
        </w:tc>
        <w:tc>
          <w:tcPr>
            <w:tcW w:w="2610" w:type="dxa"/>
            <w:vAlign w:val="center"/>
          </w:tcPr>
          <w:p w14:paraId="6ACD8850" w14:textId="77777777" w:rsidR="00193B54" w:rsidRPr="00572EE8" w:rsidRDefault="00193B54" w:rsidP="00492A82">
            <w:pPr>
              <w:pStyle w:val="T2"/>
              <w:spacing w:after="0"/>
              <w:ind w:left="0" w:right="0"/>
              <w:jc w:val="left"/>
              <w:rPr>
                <w:b w:val="0"/>
                <w:sz w:val="20"/>
                <w:lang w:eastAsia="ko-KR"/>
              </w:rPr>
            </w:pPr>
          </w:p>
        </w:tc>
        <w:tc>
          <w:tcPr>
            <w:tcW w:w="1507" w:type="dxa"/>
            <w:vAlign w:val="center"/>
          </w:tcPr>
          <w:p w14:paraId="69F362F1" w14:textId="77777777" w:rsidR="00193B54" w:rsidRPr="00572EE8" w:rsidRDefault="00193B54" w:rsidP="00492A82">
            <w:pPr>
              <w:pStyle w:val="T2"/>
              <w:spacing w:after="0"/>
              <w:ind w:left="0" w:right="0"/>
              <w:jc w:val="left"/>
              <w:rPr>
                <w:b w:val="0"/>
                <w:sz w:val="20"/>
                <w:lang w:eastAsia="ko-KR"/>
              </w:rPr>
            </w:pPr>
          </w:p>
        </w:tc>
        <w:tc>
          <w:tcPr>
            <w:tcW w:w="2471" w:type="dxa"/>
            <w:vAlign w:val="center"/>
          </w:tcPr>
          <w:p w14:paraId="39279763" w14:textId="3857E6E6" w:rsidR="00193B54" w:rsidRPr="00572EE8" w:rsidRDefault="00193B54" w:rsidP="00492A82">
            <w:pPr>
              <w:pStyle w:val="T2"/>
              <w:spacing w:after="0"/>
              <w:ind w:left="0" w:right="0"/>
              <w:jc w:val="left"/>
              <w:rPr>
                <w:b w:val="0"/>
                <w:sz w:val="20"/>
                <w:lang w:eastAsia="ko-KR"/>
              </w:rPr>
            </w:pPr>
            <w:r w:rsidRPr="00572EE8">
              <w:rPr>
                <w:b w:val="0"/>
                <w:sz w:val="20"/>
                <w:lang w:eastAsia="ko-KR"/>
              </w:rPr>
              <w:t>btian@qti.qualcomm.com</w:t>
            </w:r>
          </w:p>
        </w:tc>
      </w:tr>
      <w:tr w:rsidR="00D46843" w:rsidRPr="00572EE8" w14:paraId="59396A59" w14:textId="77777777" w:rsidTr="00374E5A">
        <w:trPr>
          <w:trHeight w:val="359"/>
          <w:jc w:val="center"/>
        </w:trPr>
        <w:tc>
          <w:tcPr>
            <w:tcW w:w="1548" w:type="dxa"/>
            <w:vAlign w:val="center"/>
          </w:tcPr>
          <w:p w14:paraId="4FD99FA4" w14:textId="5A7AB0EF" w:rsidR="00D46843" w:rsidRPr="00572EE8" w:rsidRDefault="00D46843" w:rsidP="00492A82">
            <w:pPr>
              <w:pStyle w:val="T2"/>
              <w:spacing w:after="0"/>
              <w:ind w:left="0" w:right="0"/>
              <w:jc w:val="left"/>
              <w:rPr>
                <w:b w:val="0"/>
                <w:sz w:val="20"/>
                <w:lang w:eastAsia="ko-KR"/>
              </w:rPr>
            </w:pPr>
          </w:p>
        </w:tc>
        <w:tc>
          <w:tcPr>
            <w:tcW w:w="1440" w:type="dxa"/>
            <w:vAlign w:val="center"/>
          </w:tcPr>
          <w:p w14:paraId="6ACE42C6" w14:textId="5D6DDB16" w:rsidR="00D46843" w:rsidRPr="00572EE8" w:rsidRDefault="00D46843" w:rsidP="00492A82">
            <w:pPr>
              <w:pStyle w:val="T2"/>
              <w:spacing w:after="0"/>
              <w:ind w:left="0" w:right="0"/>
              <w:jc w:val="left"/>
              <w:rPr>
                <w:b w:val="0"/>
                <w:sz w:val="20"/>
                <w:lang w:eastAsia="ko-KR"/>
              </w:rPr>
            </w:pPr>
          </w:p>
        </w:tc>
        <w:tc>
          <w:tcPr>
            <w:tcW w:w="2610" w:type="dxa"/>
            <w:vAlign w:val="center"/>
          </w:tcPr>
          <w:p w14:paraId="05E48ADD" w14:textId="77777777" w:rsidR="00D46843" w:rsidRPr="00572EE8" w:rsidRDefault="00D46843" w:rsidP="00492A82">
            <w:pPr>
              <w:pStyle w:val="T2"/>
              <w:spacing w:after="0"/>
              <w:ind w:left="0" w:right="0"/>
              <w:jc w:val="left"/>
              <w:rPr>
                <w:b w:val="0"/>
                <w:sz w:val="20"/>
                <w:lang w:eastAsia="ko-KR"/>
              </w:rPr>
            </w:pPr>
          </w:p>
        </w:tc>
        <w:tc>
          <w:tcPr>
            <w:tcW w:w="1507" w:type="dxa"/>
            <w:vAlign w:val="center"/>
          </w:tcPr>
          <w:p w14:paraId="2BAFE72D" w14:textId="77777777" w:rsidR="00D46843" w:rsidRPr="00572EE8" w:rsidRDefault="00D46843" w:rsidP="00492A82">
            <w:pPr>
              <w:pStyle w:val="T2"/>
              <w:spacing w:after="0"/>
              <w:ind w:left="0" w:right="0"/>
              <w:jc w:val="left"/>
              <w:rPr>
                <w:b w:val="0"/>
                <w:sz w:val="20"/>
                <w:lang w:eastAsia="ko-KR"/>
              </w:rPr>
            </w:pPr>
          </w:p>
        </w:tc>
        <w:tc>
          <w:tcPr>
            <w:tcW w:w="2471" w:type="dxa"/>
            <w:vAlign w:val="center"/>
          </w:tcPr>
          <w:p w14:paraId="1644673E" w14:textId="7B754891" w:rsidR="00D46843" w:rsidRPr="00572EE8" w:rsidRDefault="00D46843" w:rsidP="00492A82">
            <w:pPr>
              <w:pStyle w:val="T2"/>
              <w:spacing w:after="0"/>
              <w:ind w:left="0" w:right="0"/>
              <w:jc w:val="left"/>
              <w:rPr>
                <w:b w:val="0"/>
                <w:sz w:val="20"/>
                <w:lang w:eastAsia="ko-KR"/>
              </w:rPr>
            </w:pPr>
          </w:p>
        </w:tc>
      </w:tr>
      <w:tr w:rsidR="00575835" w:rsidRPr="00572EE8" w14:paraId="53EAB98D" w14:textId="77777777" w:rsidTr="00374E5A">
        <w:trPr>
          <w:trHeight w:val="359"/>
          <w:jc w:val="center"/>
        </w:trPr>
        <w:tc>
          <w:tcPr>
            <w:tcW w:w="1548" w:type="dxa"/>
            <w:vAlign w:val="center"/>
          </w:tcPr>
          <w:p w14:paraId="3217F2E1" w14:textId="53E7E137" w:rsidR="00575835" w:rsidRPr="00572EE8" w:rsidRDefault="00575835" w:rsidP="00492A82">
            <w:pPr>
              <w:pStyle w:val="T2"/>
              <w:spacing w:after="0"/>
              <w:ind w:left="0" w:right="0"/>
              <w:jc w:val="left"/>
              <w:rPr>
                <w:b w:val="0"/>
                <w:sz w:val="20"/>
                <w:lang w:eastAsia="ko-KR"/>
              </w:rPr>
            </w:pPr>
          </w:p>
        </w:tc>
        <w:tc>
          <w:tcPr>
            <w:tcW w:w="1440" w:type="dxa"/>
            <w:vAlign w:val="center"/>
          </w:tcPr>
          <w:p w14:paraId="5BCD6A1E" w14:textId="254B46CD" w:rsidR="00575835" w:rsidRPr="00572EE8" w:rsidRDefault="00575835" w:rsidP="00492A82">
            <w:pPr>
              <w:pStyle w:val="T2"/>
              <w:spacing w:after="0"/>
              <w:ind w:left="0" w:right="0"/>
              <w:jc w:val="left"/>
              <w:rPr>
                <w:b w:val="0"/>
                <w:sz w:val="20"/>
                <w:lang w:eastAsia="ko-KR"/>
              </w:rPr>
            </w:pPr>
          </w:p>
        </w:tc>
        <w:tc>
          <w:tcPr>
            <w:tcW w:w="2610" w:type="dxa"/>
            <w:vAlign w:val="center"/>
          </w:tcPr>
          <w:p w14:paraId="726CEC91" w14:textId="77777777" w:rsidR="00575835" w:rsidRPr="00572EE8" w:rsidRDefault="00575835" w:rsidP="00492A82">
            <w:pPr>
              <w:pStyle w:val="T2"/>
              <w:spacing w:after="0"/>
              <w:ind w:left="0" w:right="0"/>
              <w:jc w:val="left"/>
              <w:rPr>
                <w:b w:val="0"/>
                <w:sz w:val="20"/>
                <w:lang w:eastAsia="ko-KR"/>
              </w:rPr>
            </w:pPr>
          </w:p>
        </w:tc>
        <w:tc>
          <w:tcPr>
            <w:tcW w:w="1507" w:type="dxa"/>
            <w:vAlign w:val="center"/>
          </w:tcPr>
          <w:p w14:paraId="57BC778D" w14:textId="77777777" w:rsidR="00575835" w:rsidRPr="00572EE8" w:rsidRDefault="00575835" w:rsidP="00492A82">
            <w:pPr>
              <w:pStyle w:val="T2"/>
              <w:spacing w:after="0"/>
              <w:ind w:left="0" w:right="0"/>
              <w:jc w:val="left"/>
              <w:rPr>
                <w:b w:val="0"/>
                <w:sz w:val="20"/>
                <w:lang w:eastAsia="ko-KR"/>
              </w:rPr>
            </w:pPr>
          </w:p>
        </w:tc>
        <w:tc>
          <w:tcPr>
            <w:tcW w:w="2471" w:type="dxa"/>
            <w:vAlign w:val="center"/>
          </w:tcPr>
          <w:p w14:paraId="7443463E" w14:textId="2FE2A7C7" w:rsidR="00575835" w:rsidRPr="00572EE8" w:rsidRDefault="00575835" w:rsidP="00492A82">
            <w:pPr>
              <w:pStyle w:val="T2"/>
              <w:spacing w:after="0"/>
              <w:ind w:left="0" w:right="0"/>
              <w:jc w:val="left"/>
              <w:rPr>
                <w:b w:val="0"/>
                <w:sz w:val="20"/>
                <w:lang w:eastAsia="ko-KR"/>
              </w:rPr>
            </w:pPr>
          </w:p>
        </w:tc>
      </w:tr>
    </w:tbl>
    <w:p w14:paraId="0AB1B459" w14:textId="77777777" w:rsidR="003E4403" w:rsidRPr="00572EE8" w:rsidRDefault="003E4403">
      <w:pPr>
        <w:pStyle w:val="T1"/>
        <w:spacing w:after="120"/>
        <w:rPr>
          <w:sz w:val="20"/>
        </w:rPr>
      </w:pPr>
    </w:p>
    <w:p w14:paraId="5E606FE7" w14:textId="77777777" w:rsidR="003E4403" w:rsidRPr="00572EE8" w:rsidRDefault="003E4403">
      <w:pPr>
        <w:pStyle w:val="T1"/>
        <w:spacing w:after="120"/>
        <w:rPr>
          <w:sz w:val="20"/>
        </w:rPr>
      </w:pPr>
    </w:p>
    <w:p w14:paraId="34B1EC40" w14:textId="77777777" w:rsidR="003E4403" w:rsidRPr="00572EE8" w:rsidRDefault="003E4403" w:rsidP="003E4403">
      <w:pPr>
        <w:pStyle w:val="T1"/>
        <w:spacing w:after="120"/>
        <w:rPr>
          <w:sz w:val="20"/>
        </w:rPr>
      </w:pPr>
      <w:r w:rsidRPr="00572EE8">
        <w:rPr>
          <w:sz w:val="20"/>
        </w:rPr>
        <w:t>Abstract</w:t>
      </w:r>
    </w:p>
    <w:p w14:paraId="28C12C57" w14:textId="2DE2A886" w:rsidR="003E4403" w:rsidRPr="00572EE8" w:rsidRDefault="003E4403" w:rsidP="00FC391A">
      <w:pPr>
        <w:spacing w:line="276" w:lineRule="auto"/>
        <w:jc w:val="both"/>
        <w:rPr>
          <w:sz w:val="20"/>
          <w:lang w:eastAsia="ko-KR"/>
        </w:rPr>
      </w:pPr>
      <w:r w:rsidRPr="00572EE8">
        <w:rPr>
          <w:sz w:val="20"/>
          <w:lang w:eastAsia="ko-KR"/>
        </w:rPr>
        <w:t xml:space="preserve">This submission proposes resolutions for </w:t>
      </w:r>
      <w:r w:rsidR="00FD13DD" w:rsidRPr="00572EE8">
        <w:rPr>
          <w:sz w:val="20"/>
          <w:lang w:eastAsia="ko-KR"/>
        </w:rPr>
        <w:t xml:space="preserve">the following </w:t>
      </w:r>
      <w:r w:rsidRPr="00572EE8">
        <w:rPr>
          <w:sz w:val="20"/>
          <w:lang w:eastAsia="ko-KR"/>
        </w:rPr>
        <w:t>comments</w:t>
      </w:r>
      <w:r w:rsidR="00FD13DD" w:rsidRPr="00572EE8">
        <w:rPr>
          <w:sz w:val="20"/>
          <w:lang w:eastAsia="ko-KR"/>
        </w:rPr>
        <w:t xml:space="preserve"> </w:t>
      </w:r>
      <w:r w:rsidR="008F0001" w:rsidRPr="00572EE8">
        <w:rPr>
          <w:sz w:val="20"/>
          <w:lang w:eastAsia="ko-KR"/>
        </w:rPr>
        <w:t>on</w:t>
      </w:r>
      <w:r w:rsidR="003C315D" w:rsidRPr="00572EE8">
        <w:rPr>
          <w:sz w:val="20"/>
          <w:lang w:eastAsia="ko-KR"/>
        </w:rPr>
        <w:t xml:space="preserve"> TGa</w:t>
      </w:r>
      <w:r w:rsidR="00777246" w:rsidRPr="00572EE8">
        <w:rPr>
          <w:sz w:val="20"/>
          <w:lang w:eastAsia="ko-KR"/>
        </w:rPr>
        <w:t>x</w:t>
      </w:r>
      <w:r w:rsidR="003C315D" w:rsidRPr="00572EE8">
        <w:rPr>
          <w:sz w:val="20"/>
          <w:lang w:eastAsia="ko-KR"/>
        </w:rPr>
        <w:t xml:space="preserve"> D</w:t>
      </w:r>
      <w:r w:rsidR="00E03603" w:rsidRPr="00572EE8">
        <w:rPr>
          <w:sz w:val="20"/>
          <w:lang w:eastAsia="ko-KR"/>
        </w:rPr>
        <w:t>2</w:t>
      </w:r>
      <w:r w:rsidR="00FD13DD" w:rsidRPr="00572EE8">
        <w:rPr>
          <w:sz w:val="20"/>
          <w:lang w:eastAsia="ko-KR"/>
        </w:rPr>
        <w:t>.0</w:t>
      </w:r>
      <w:r w:rsidR="00C3596F" w:rsidRPr="00572EE8">
        <w:rPr>
          <w:sz w:val="20"/>
          <w:lang w:eastAsia="ko-KR"/>
        </w:rPr>
        <w:t>:</w:t>
      </w:r>
    </w:p>
    <w:p w14:paraId="7C8C8511" w14:textId="77777777" w:rsidR="0035010D" w:rsidRDefault="008F0001" w:rsidP="00FC391A">
      <w:pPr>
        <w:spacing w:line="276" w:lineRule="auto"/>
        <w:jc w:val="both"/>
        <w:rPr>
          <w:sz w:val="20"/>
        </w:rPr>
      </w:pPr>
      <w:r w:rsidRPr="00572EE8">
        <w:rPr>
          <w:sz w:val="20"/>
        </w:rPr>
        <w:t xml:space="preserve">11444, </w:t>
      </w:r>
      <w:r w:rsidR="006F59EB" w:rsidRPr="00572EE8">
        <w:rPr>
          <w:sz w:val="20"/>
        </w:rPr>
        <w:t>12580,</w:t>
      </w:r>
      <w:r w:rsidR="0035010D">
        <w:rPr>
          <w:sz w:val="20"/>
        </w:rPr>
        <w:t xml:space="preserve"> 12066,</w:t>
      </w:r>
      <w:r w:rsidR="006F59EB" w:rsidRPr="00572EE8">
        <w:rPr>
          <w:sz w:val="20"/>
        </w:rPr>
        <w:t xml:space="preserve"> 12762, 12763, </w:t>
      </w:r>
    </w:p>
    <w:p w14:paraId="38C77B65" w14:textId="77777777" w:rsidR="0035010D" w:rsidRDefault="006F59EB" w:rsidP="00FC391A">
      <w:pPr>
        <w:spacing w:line="276" w:lineRule="auto"/>
        <w:jc w:val="both"/>
        <w:rPr>
          <w:sz w:val="20"/>
        </w:rPr>
      </w:pPr>
      <w:r w:rsidRPr="00572EE8">
        <w:rPr>
          <w:sz w:val="20"/>
        </w:rPr>
        <w:t>12766, 12780,</w:t>
      </w:r>
      <w:r w:rsidR="003264AA" w:rsidRPr="00572EE8">
        <w:rPr>
          <w:sz w:val="20"/>
        </w:rPr>
        <w:t xml:space="preserve"> </w:t>
      </w:r>
      <w:r w:rsidRPr="00572EE8">
        <w:rPr>
          <w:sz w:val="20"/>
        </w:rPr>
        <w:t xml:space="preserve">12786, 12787, 12812, </w:t>
      </w:r>
    </w:p>
    <w:p w14:paraId="0BBCEADE" w14:textId="77777777" w:rsidR="0035010D" w:rsidRDefault="006F59EB" w:rsidP="00FC391A">
      <w:pPr>
        <w:spacing w:line="276" w:lineRule="auto"/>
        <w:jc w:val="both"/>
        <w:rPr>
          <w:sz w:val="20"/>
        </w:rPr>
      </w:pPr>
      <w:r w:rsidRPr="00572EE8">
        <w:rPr>
          <w:sz w:val="20"/>
        </w:rPr>
        <w:t>12813, 14007,</w:t>
      </w:r>
      <w:r w:rsidR="003264AA" w:rsidRPr="00572EE8">
        <w:rPr>
          <w:sz w:val="20"/>
        </w:rPr>
        <w:t xml:space="preserve"> </w:t>
      </w:r>
      <w:r w:rsidRPr="00572EE8">
        <w:rPr>
          <w:sz w:val="20"/>
        </w:rPr>
        <w:t xml:space="preserve">12848, 13764, 13969, </w:t>
      </w:r>
    </w:p>
    <w:p w14:paraId="3F84340D" w14:textId="77777777" w:rsidR="0035010D" w:rsidRDefault="006F59EB" w:rsidP="00FC391A">
      <w:pPr>
        <w:spacing w:line="276" w:lineRule="auto"/>
        <w:jc w:val="both"/>
        <w:rPr>
          <w:sz w:val="20"/>
        </w:rPr>
      </w:pPr>
      <w:r w:rsidRPr="00572EE8">
        <w:rPr>
          <w:sz w:val="20"/>
        </w:rPr>
        <w:t>13987, 13996,</w:t>
      </w:r>
      <w:r w:rsidR="003264AA" w:rsidRPr="00572EE8">
        <w:rPr>
          <w:sz w:val="20"/>
        </w:rPr>
        <w:t xml:space="preserve"> </w:t>
      </w:r>
      <w:r w:rsidRPr="00572EE8">
        <w:rPr>
          <w:sz w:val="20"/>
        </w:rPr>
        <w:t xml:space="preserve">13998, 14001, 14004, </w:t>
      </w:r>
    </w:p>
    <w:p w14:paraId="54316B83" w14:textId="4DCDA0AD" w:rsidR="006F59EB" w:rsidRPr="00572EE8" w:rsidRDefault="006F59EB" w:rsidP="00FC391A">
      <w:pPr>
        <w:spacing w:line="276" w:lineRule="auto"/>
        <w:jc w:val="both"/>
        <w:rPr>
          <w:sz w:val="20"/>
        </w:rPr>
      </w:pPr>
      <w:r w:rsidRPr="00572EE8">
        <w:rPr>
          <w:sz w:val="20"/>
        </w:rPr>
        <w:t xml:space="preserve">14008 </w:t>
      </w:r>
    </w:p>
    <w:p w14:paraId="3C33CC07" w14:textId="0182FE6D" w:rsidR="003E4403" w:rsidRPr="00572EE8" w:rsidRDefault="003E4403" w:rsidP="00FC391A">
      <w:pPr>
        <w:spacing w:line="276" w:lineRule="auto"/>
        <w:jc w:val="both"/>
        <w:rPr>
          <w:sz w:val="20"/>
        </w:rPr>
      </w:pPr>
      <w:r w:rsidRPr="00572EE8">
        <w:rPr>
          <w:sz w:val="20"/>
        </w:rPr>
        <w:t>Revisions:</w:t>
      </w:r>
    </w:p>
    <w:p w14:paraId="2A26F306" w14:textId="77777777" w:rsidR="00BA6C7C" w:rsidRPr="00572EE8" w:rsidRDefault="00BA6C7C" w:rsidP="00FC391A">
      <w:pPr>
        <w:pStyle w:val="ListParagraph"/>
        <w:numPr>
          <w:ilvl w:val="0"/>
          <w:numId w:val="9"/>
        </w:numPr>
        <w:spacing w:line="276" w:lineRule="auto"/>
        <w:ind w:leftChars="0"/>
        <w:jc w:val="both"/>
        <w:rPr>
          <w:sz w:val="20"/>
        </w:rPr>
      </w:pPr>
      <w:r w:rsidRPr="00572EE8">
        <w:rPr>
          <w:sz w:val="20"/>
        </w:rPr>
        <w:t xml:space="preserve">Rev 0: Initial version of the document. </w:t>
      </w:r>
    </w:p>
    <w:p w14:paraId="05AC6B74" w14:textId="77777777" w:rsidR="00004971" w:rsidRPr="00572EE8" w:rsidRDefault="00004971" w:rsidP="00DE29D6">
      <w:pPr>
        <w:ind w:left="360"/>
        <w:jc w:val="both"/>
        <w:rPr>
          <w:sz w:val="20"/>
        </w:rPr>
      </w:pPr>
    </w:p>
    <w:p w14:paraId="12235F8F" w14:textId="77777777" w:rsidR="004F5CF9" w:rsidRPr="00572EE8" w:rsidRDefault="004F5CF9" w:rsidP="004F5CF9">
      <w:pPr>
        <w:pStyle w:val="ListParagraph"/>
        <w:ind w:leftChars="0" w:left="720"/>
        <w:jc w:val="both"/>
        <w:rPr>
          <w:sz w:val="20"/>
        </w:rPr>
      </w:pPr>
    </w:p>
    <w:p w14:paraId="3345F5C9" w14:textId="77777777" w:rsidR="003E4403" w:rsidRPr="00572EE8" w:rsidRDefault="003E4403">
      <w:pPr>
        <w:pStyle w:val="T1"/>
        <w:spacing w:after="120"/>
        <w:rPr>
          <w:b w:val="0"/>
          <w:sz w:val="20"/>
        </w:rPr>
      </w:pPr>
    </w:p>
    <w:p w14:paraId="1DF2FA3C" w14:textId="77777777" w:rsidR="005E768D" w:rsidRPr="00572EE8" w:rsidRDefault="005E768D">
      <w:pPr>
        <w:pStyle w:val="T1"/>
        <w:spacing w:after="120"/>
        <w:rPr>
          <w:sz w:val="20"/>
        </w:rPr>
      </w:pPr>
    </w:p>
    <w:p w14:paraId="0D769DF3" w14:textId="77777777" w:rsidR="005E768D" w:rsidRPr="00572EE8" w:rsidRDefault="005E768D" w:rsidP="005E768D">
      <w:pPr>
        <w:rPr>
          <w:sz w:val="20"/>
        </w:rPr>
      </w:pPr>
    </w:p>
    <w:p w14:paraId="1A963810" w14:textId="77777777" w:rsidR="005E768D" w:rsidRPr="00572EE8" w:rsidRDefault="005E768D">
      <w:pPr>
        <w:rPr>
          <w:sz w:val="20"/>
        </w:rPr>
      </w:pPr>
    </w:p>
    <w:p w14:paraId="0FF18DEA" w14:textId="77777777" w:rsidR="00DC0CA2" w:rsidRPr="00572EE8" w:rsidRDefault="005E768D" w:rsidP="00F2637D">
      <w:pPr>
        <w:rPr>
          <w:sz w:val="20"/>
        </w:rPr>
      </w:pPr>
      <w:r w:rsidRPr="00572EE8">
        <w:rPr>
          <w:sz w:val="20"/>
        </w:rPr>
        <w:br w:type="page"/>
      </w:r>
    </w:p>
    <w:p w14:paraId="40DE0427" w14:textId="77777777" w:rsidR="00CE4BAA" w:rsidRPr="00572EE8" w:rsidRDefault="00CE4BAA" w:rsidP="00CE4BAA">
      <w:pPr>
        <w:rPr>
          <w:sz w:val="20"/>
        </w:rPr>
      </w:pPr>
      <w:r w:rsidRPr="00572EE8">
        <w:rPr>
          <w:sz w:val="20"/>
        </w:rPr>
        <w:lastRenderedPageBreak/>
        <w:t>Interpretation of a Motion to Adopt</w:t>
      </w:r>
    </w:p>
    <w:p w14:paraId="20522436" w14:textId="77777777" w:rsidR="00CE4BAA" w:rsidRPr="00572EE8" w:rsidRDefault="00CE4BAA" w:rsidP="00CE4BAA">
      <w:pPr>
        <w:rPr>
          <w:sz w:val="20"/>
          <w:lang w:eastAsia="ko-KR"/>
        </w:rPr>
      </w:pPr>
    </w:p>
    <w:p w14:paraId="0A43EF81" w14:textId="77777777" w:rsidR="00CE4BAA" w:rsidRPr="00572EE8" w:rsidRDefault="00CE4BAA" w:rsidP="00CE4BAA">
      <w:pPr>
        <w:rPr>
          <w:sz w:val="20"/>
          <w:lang w:eastAsia="ko-KR"/>
        </w:rPr>
      </w:pPr>
      <w:r w:rsidRPr="00572EE8">
        <w:rPr>
          <w:sz w:val="20"/>
          <w:lang w:eastAsia="ko-KR"/>
        </w:rPr>
        <w:t>A motion to approve this submission means that the editing instructions and any changed or added material are actioned in the TGa</w:t>
      </w:r>
      <w:r w:rsidR="00E57DB2" w:rsidRPr="00572EE8">
        <w:rPr>
          <w:sz w:val="20"/>
          <w:lang w:eastAsia="ko-KR"/>
        </w:rPr>
        <w:t>x</w:t>
      </w:r>
      <w:r w:rsidRPr="00572EE8">
        <w:rPr>
          <w:sz w:val="20"/>
          <w:lang w:eastAsia="ko-KR"/>
        </w:rPr>
        <w:t xml:space="preserve"> Draft.  This introduction is not part of the adopted material.</w:t>
      </w:r>
    </w:p>
    <w:p w14:paraId="6B47F111" w14:textId="77777777" w:rsidR="00CE4BAA" w:rsidRPr="00572EE8" w:rsidRDefault="00CE4BAA" w:rsidP="00CE4BAA">
      <w:pPr>
        <w:rPr>
          <w:sz w:val="20"/>
          <w:lang w:eastAsia="ko-KR"/>
        </w:rPr>
      </w:pPr>
    </w:p>
    <w:p w14:paraId="41F804C6" w14:textId="15D36D35" w:rsidR="00CE4BAA" w:rsidRPr="00572EE8" w:rsidRDefault="00CE4BAA" w:rsidP="00CE4BAA">
      <w:pPr>
        <w:rPr>
          <w:b/>
          <w:bCs/>
          <w:i/>
          <w:iCs/>
          <w:sz w:val="20"/>
          <w:lang w:eastAsia="ko-KR"/>
        </w:rPr>
      </w:pPr>
      <w:r w:rsidRPr="00572EE8">
        <w:rPr>
          <w:b/>
          <w:bCs/>
          <w:i/>
          <w:iCs/>
          <w:sz w:val="20"/>
          <w:lang w:eastAsia="ko-KR"/>
        </w:rPr>
        <w:t>Editing instructions formatted like this are intended to be copied into the T</w:t>
      </w:r>
      <w:r w:rsidR="009A14D0" w:rsidRPr="00572EE8">
        <w:rPr>
          <w:b/>
          <w:bCs/>
          <w:i/>
          <w:iCs/>
          <w:sz w:val="20"/>
          <w:lang w:eastAsia="ko-KR"/>
        </w:rPr>
        <w:t>g</w:t>
      </w:r>
      <w:r w:rsidRPr="00572EE8">
        <w:rPr>
          <w:b/>
          <w:bCs/>
          <w:i/>
          <w:iCs/>
          <w:sz w:val="20"/>
          <w:lang w:eastAsia="ko-KR"/>
        </w:rPr>
        <w:t>a</w:t>
      </w:r>
      <w:r w:rsidR="00E57DB2" w:rsidRPr="00572EE8">
        <w:rPr>
          <w:b/>
          <w:bCs/>
          <w:i/>
          <w:iCs/>
          <w:sz w:val="20"/>
          <w:lang w:eastAsia="ko-KR"/>
        </w:rPr>
        <w:t>x</w:t>
      </w:r>
      <w:r w:rsidRPr="00572EE8">
        <w:rPr>
          <w:b/>
          <w:bCs/>
          <w:i/>
          <w:iCs/>
          <w:sz w:val="20"/>
          <w:lang w:eastAsia="ko-KR"/>
        </w:rPr>
        <w:t xml:space="preserve"> Draft (i.e. they are instructions to the 802.11 editor on how to merge the text with the baseline documents).</w:t>
      </w:r>
    </w:p>
    <w:p w14:paraId="62DBF379" w14:textId="77777777" w:rsidR="00CE4BAA" w:rsidRPr="00572EE8" w:rsidRDefault="00CE4BAA" w:rsidP="00CE4BAA">
      <w:pPr>
        <w:rPr>
          <w:sz w:val="20"/>
          <w:lang w:eastAsia="ko-KR"/>
        </w:rPr>
      </w:pPr>
    </w:p>
    <w:p w14:paraId="2B18571A" w14:textId="07A8D019" w:rsidR="00CE4BAA" w:rsidRPr="00572EE8" w:rsidRDefault="00CE4BAA" w:rsidP="00CE4BAA">
      <w:pPr>
        <w:rPr>
          <w:b/>
          <w:bCs/>
          <w:i/>
          <w:iCs/>
          <w:sz w:val="20"/>
          <w:lang w:eastAsia="ko-KR"/>
        </w:rPr>
      </w:pPr>
      <w:r w:rsidRPr="00572EE8">
        <w:rPr>
          <w:b/>
          <w:bCs/>
          <w:i/>
          <w:iCs/>
          <w:sz w:val="20"/>
          <w:lang w:eastAsia="ko-KR"/>
        </w:rPr>
        <w:t>T</w:t>
      </w:r>
      <w:r w:rsidR="009A14D0" w:rsidRPr="00572EE8">
        <w:rPr>
          <w:b/>
          <w:bCs/>
          <w:i/>
          <w:iCs/>
          <w:sz w:val="20"/>
          <w:lang w:eastAsia="ko-KR"/>
        </w:rPr>
        <w:t>g</w:t>
      </w:r>
      <w:r w:rsidRPr="00572EE8">
        <w:rPr>
          <w:b/>
          <w:bCs/>
          <w:i/>
          <w:iCs/>
          <w:sz w:val="20"/>
          <w:lang w:eastAsia="ko-KR"/>
        </w:rPr>
        <w:t>a</w:t>
      </w:r>
      <w:r w:rsidR="00E57DB2" w:rsidRPr="00572EE8">
        <w:rPr>
          <w:b/>
          <w:bCs/>
          <w:i/>
          <w:iCs/>
          <w:sz w:val="20"/>
          <w:lang w:eastAsia="ko-KR"/>
        </w:rPr>
        <w:t>x</w:t>
      </w:r>
      <w:r w:rsidRPr="00572EE8">
        <w:rPr>
          <w:b/>
          <w:bCs/>
          <w:i/>
          <w:iCs/>
          <w:sz w:val="20"/>
          <w:lang w:eastAsia="ko-KR"/>
        </w:rPr>
        <w:t xml:space="preserve"> Editor: Editing instructions preceded by “T</w:t>
      </w:r>
      <w:r w:rsidR="009A14D0" w:rsidRPr="00572EE8">
        <w:rPr>
          <w:b/>
          <w:bCs/>
          <w:i/>
          <w:iCs/>
          <w:sz w:val="20"/>
          <w:lang w:eastAsia="ko-KR"/>
        </w:rPr>
        <w:t>g</w:t>
      </w:r>
      <w:r w:rsidRPr="00572EE8">
        <w:rPr>
          <w:b/>
          <w:bCs/>
          <w:i/>
          <w:iCs/>
          <w:sz w:val="20"/>
          <w:lang w:eastAsia="ko-KR"/>
        </w:rPr>
        <w:t>a</w:t>
      </w:r>
      <w:r w:rsidR="00E57DB2" w:rsidRPr="00572EE8">
        <w:rPr>
          <w:b/>
          <w:bCs/>
          <w:i/>
          <w:iCs/>
          <w:sz w:val="20"/>
          <w:lang w:eastAsia="ko-KR"/>
        </w:rPr>
        <w:t>x</w:t>
      </w:r>
      <w:r w:rsidRPr="00572EE8">
        <w:rPr>
          <w:b/>
          <w:bCs/>
          <w:i/>
          <w:iCs/>
          <w:sz w:val="20"/>
          <w:lang w:eastAsia="ko-KR"/>
        </w:rPr>
        <w:t xml:space="preserve"> Editor” are instructions to the T</w:t>
      </w:r>
      <w:r w:rsidR="009A14D0" w:rsidRPr="00572EE8">
        <w:rPr>
          <w:b/>
          <w:bCs/>
          <w:i/>
          <w:iCs/>
          <w:sz w:val="20"/>
          <w:lang w:eastAsia="ko-KR"/>
        </w:rPr>
        <w:t>g</w:t>
      </w:r>
      <w:r w:rsidRPr="00572EE8">
        <w:rPr>
          <w:b/>
          <w:bCs/>
          <w:i/>
          <w:iCs/>
          <w:sz w:val="20"/>
          <w:lang w:eastAsia="ko-KR"/>
        </w:rPr>
        <w:t>a</w:t>
      </w:r>
      <w:r w:rsidR="00E57DB2" w:rsidRPr="00572EE8">
        <w:rPr>
          <w:b/>
          <w:bCs/>
          <w:i/>
          <w:iCs/>
          <w:sz w:val="20"/>
          <w:lang w:eastAsia="ko-KR"/>
        </w:rPr>
        <w:t>x</w:t>
      </w:r>
      <w:r w:rsidRPr="00572EE8">
        <w:rPr>
          <w:b/>
          <w:bCs/>
          <w:i/>
          <w:iCs/>
          <w:sz w:val="20"/>
          <w:lang w:eastAsia="ko-KR"/>
        </w:rPr>
        <w:t xml:space="preserve"> editor to modify existing material in the T</w:t>
      </w:r>
      <w:r w:rsidR="009A14D0" w:rsidRPr="00572EE8">
        <w:rPr>
          <w:b/>
          <w:bCs/>
          <w:i/>
          <w:iCs/>
          <w:sz w:val="20"/>
          <w:lang w:eastAsia="ko-KR"/>
        </w:rPr>
        <w:t>g</w:t>
      </w:r>
      <w:r w:rsidRPr="00572EE8">
        <w:rPr>
          <w:b/>
          <w:bCs/>
          <w:i/>
          <w:iCs/>
          <w:sz w:val="20"/>
          <w:lang w:eastAsia="ko-KR"/>
        </w:rPr>
        <w:t>a</w:t>
      </w:r>
      <w:r w:rsidR="00E57DB2" w:rsidRPr="00572EE8">
        <w:rPr>
          <w:b/>
          <w:bCs/>
          <w:i/>
          <w:iCs/>
          <w:sz w:val="20"/>
          <w:lang w:eastAsia="ko-KR"/>
        </w:rPr>
        <w:t>x</w:t>
      </w:r>
      <w:r w:rsidRPr="00572EE8">
        <w:rPr>
          <w:b/>
          <w:bCs/>
          <w:i/>
          <w:iCs/>
          <w:sz w:val="20"/>
          <w:lang w:eastAsia="ko-KR"/>
        </w:rPr>
        <w:t xml:space="preserve"> draft.  As a result of adopting the changes, the T</w:t>
      </w:r>
      <w:r w:rsidR="009A14D0" w:rsidRPr="00572EE8">
        <w:rPr>
          <w:b/>
          <w:bCs/>
          <w:i/>
          <w:iCs/>
          <w:sz w:val="20"/>
          <w:lang w:eastAsia="ko-KR"/>
        </w:rPr>
        <w:t>g</w:t>
      </w:r>
      <w:r w:rsidRPr="00572EE8">
        <w:rPr>
          <w:b/>
          <w:bCs/>
          <w:i/>
          <w:iCs/>
          <w:sz w:val="20"/>
          <w:lang w:eastAsia="ko-KR"/>
        </w:rPr>
        <w:t>a</w:t>
      </w:r>
      <w:r w:rsidR="00E57DB2" w:rsidRPr="00572EE8">
        <w:rPr>
          <w:b/>
          <w:bCs/>
          <w:i/>
          <w:iCs/>
          <w:sz w:val="20"/>
          <w:lang w:eastAsia="ko-KR"/>
        </w:rPr>
        <w:t>x</w:t>
      </w:r>
      <w:r w:rsidRPr="00572EE8">
        <w:rPr>
          <w:b/>
          <w:bCs/>
          <w:i/>
          <w:iCs/>
          <w:sz w:val="20"/>
          <w:lang w:eastAsia="ko-KR"/>
        </w:rPr>
        <w:t xml:space="preserve"> editor will execute the instructions rather than copy them to the T</w:t>
      </w:r>
      <w:r w:rsidR="009A14D0" w:rsidRPr="00572EE8">
        <w:rPr>
          <w:b/>
          <w:bCs/>
          <w:i/>
          <w:iCs/>
          <w:sz w:val="20"/>
          <w:lang w:eastAsia="ko-KR"/>
        </w:rPr>
        <w:t>g</w:t>
      </w:r>
      <w:r w:rsidR="00E57DB2" w:rsidRPr="00572EE8">
        <w:rPr>
          <w:b/>
          <w:bCs/>
          <w:i/>
          <w:iCs/>
          <w:sz w:val="20"/>
          <w:lang w:eastAsia="ko-KR"/>
        </w:rPr>
        <w:t>ax</w:t>
      </w:r>
      <w:r w:rsidRPr="00572EE8">
        <w:rPr>
          <w:b/>
          <w:bCs/>
          <w:i/>
          <w:iCs/>
          <w:sz w:val="20"/>
          <w:lang w:eastAsia="ko-KR"/>
        </w:rPr>
        <w:t xml:space="preserve"> Draft.</w:t>
      </w:r>
    </w:p>
    <w:p w14:paraId="5FD25ABB" w14:textId="77777777" w:rsidR="0053566B" w:rsidRPr="00572EE8" w:rsidRDefault="0053566B" w:rsidP="00F2637D">
      <w:pPr>
        <w:rPr>
          <w:sz w:val="20"/>
        </w:rPr>
      </w:pPr>
    </w:p>
    <w:p w14:paraId="23EFB36B" w14:textId="77777777" w:rsidR="0053566B" w:rsidRPr="00572EE8" w:rsidRDefault="0053566B" w:rsidP="00F2637D">
      <w:pPr>
        <w:rPr>
          <w:sz w:val="20"/>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10"/>
        <w:gridCol w:w="720"/>
        <w:gridCol w:w="3048"/>
        <w:gridCol w:w="2409"/>
        <w:gridCol w:w="3453"/>
      </w:tblGrid>
      <w:tr w:rsidR="0079373D" w:rsidRPr="00572EE8" w14:paraId="6BA44136" w14:textId="77777777" w:rsidTr="002F1C40">
        <w:trPr>
          <w:trHeight w:val="191"/>
        </w:trPr>
        <w:tc>
          <w:tcPr>
            <w:tcW w:w="787" w:type="dxa"/>
            <w:shd w:val="clear" w:color="auto" w:fill="auto"/>
            <w:noWrap/>
            <w:vAlign w:val="center"/>
          </w:tcPr>
          <w:p w14:paraId="3DC2D089" w14:textId="77777777" w:rsidR="0079373D" w:rsidRPr="00572EE8" w:rsidRDefault="00877226" w:rsidP="00B17F46">
            <w:pPr>
              <w:jc w:val="center"/>
              <w:rPr>
                <w:rFonts w:eastAsia="Times New Roman"/>
                <w:b/>
                <w:bCs/>
                <w:color w:val="000000"/>
                <w:sz w:val="20"/>
                <w:lang w:val="en-US"/>
              </w:rPr>
            </w:pPr>
            <w:r w:rsidRPr="00572EE8">
              <w:rPr>
                <w:rFonts w:eastAsia="Times New Roman"/>
                <w:b/>
                <w:bCs/>
                <w:color w:val="000000"/>
                <w:sz w:val="20"/>
                <w:lang w:val="en-US"/>
              </w:rPr>
              <w:t>CID</w:t>
            </w:r>
          </w:p>
        </w:tc>
        <w:tc>
          <w:tcPr>
            <w:tcW w:w="810" w:type="dxa"/>
            <w:shd w:val="clear" w:color="auto" w:fill="auto"/>
            <w:noWrap/>
            <w:vAlign w:val="center"/>
          </w:tcPr>
          <w:p w14:paraId="75C6E83D" w14:textId="77777777" w:rsidR="0079373D" w:rsidRPr="00572EE8" w:rsidRDefault="00877226" w:rsidP="00B17F46">
            <w:pPr>
              <w:jc w:val="center"/>
              <w:rPr>
                <w:rFonts w:eastAsia="Times New Roman"/>
                <w:b/>
                <w:bCs/>
                <w:color w:val="000000"/>
                <w:sz w:val="20"/>
                <w:lang w:val="en-US"/>
              </w:rPr>
            </w:pPr>
            <w:r w:rsidRPr="00572EE8">
              <w:rPr>
                <w:rFonts w:eastAsia="Times New Roman"/>
                <w:b/>
                <w:bCs/>
                <w:color w:val="000000"/>
                <w:sz w:val="20"/>
                <w:lang w:val="en-US"/>
              </w:rPr>
              <w:t>Clause Number</w:t>
            </w:r>
          </w:p>
        </w:tc>
        <w:tc>
          <w:tcPr>
            <w:tcW w:w="720" w:type="dxa"/>
            <w:shd w:val="clear" w:color="auto" w:fill="auto"/>
            <w:noWrap/>
            <w:vAlign w:val="center"/>
          </w:tcPr>
          <w:p w14:paraId="6AC86F82" w14:textId="77777777" w:rsidR="0079373D" w:rsidRPr="00572EE8" w:rsidRDefault="00877226" w:rsidP="00B17F46">
            <w:pPr>
              <w:jc w:val="center"/>
              <w:rPr>
                <w:rFonts w:eastAsia="Times New Roman"/>
                <w:b/>
                <w:bCs/>
                <w:color w:val="000000"/>
                <w:sz w:val="20"/>
                <w:lang w:val="en-US"/>
              </w:rPr>
            </w:pPr>
            <w:r w:rsidRPr="00572EE8">
              <w:rPr>
                <w:rFonts w:eastAsia="Times New Roman"/>
                <w:b/>
                <w:bCs/>
                <w:color w:val="000000"/>
                <w:sz w:val="20"/>
                <w:lang w:val="en-US"/>
              </w:rPr>
              <w:t>P.L</w:t>
            </w:r>
          </w:p>
        </w:tc>
        <w:tc>
          <w:tcPr>
            <w:tcW w:w="3048" w:type="dxa"/>
            <w:shd w:val="clear" w:color="auto" w:fill="auto"/>
            <w:noWrap/>
            <w:vAlign w:val="bottom"/>
          </w:tcPr>
          <w:p w14:paraId="266AB81A" w14:textId="77777777" w:rsidR="0079373D" w:rsidRPr="00572EE8" w:rsidRDefault="00877226" w:rsidP="001C78D9">
            <w:pPr>
              <w:jc w:val="center"/>
              <w:rPr>
                <w:rFonts w:eastAsia="Times New Roman"/>
                <w:b/>
                <w:bCs/>
                <w:color w:val="000000"/>
                <w:sz w:val="20"/>
                <w:lang w:val="en-US"/>
              </w:rPr>
            </w:pPr>
            <w:r w:rsidRPr="00572EE8">
              <w:rPr>
                <w:rFonts w:eastAsia="Times New Roman"/>
                <w:b/>
                <w:bCs/>
                <w:color w:val="000000"/>
                <w:sz w:val="20"/>
                <w:lang w:val="en-US"/>
              </w:rPr>
              <w:t>Comment</w:t>
            </w:r>
          </w:p>
        </w:tc>
        <w:tc>
          <w:tcPr>
            <w:tcW w:w="2409" w:type="dxa"/>
            <w:shd w:val="clear" w:color="auto" w:fill="auto"/>
            <w:noWrap/>
            <w:vAlign w:val="bottom"/>
          </w:tcPr>
          <w:p w14:paraId="67258A3F" w14:textId="77777777" w:rsidR="0079373D" w:rsidRPr="00572EE8" w:rsidRDefault="00877226" w:rsidP="00B17F46">
            <w:pPr>
              <w:jc w:val="center"/>
              <w:rPr>
                <w:rFonts w:eastAsia="Times New Roman"/>
                <w:b/>
                <w:bCs/>
                <w:color w:val="000000"/>
                <w:sz w:val="20"/>
                <w:lang w:val="en-US"/>
              </w:rPr>
            </w:pPr>
            <w:r w:rsidRPr="00572EE8">
              <w:rPr>
                <w:rFonts w:eastAsia="Times New Roman"/>
                <w:b/>
                <w:bCs/>
                <w:color w:val="000000"/>
                <w:sz w:val="20"/>
                <w:lang w:val="en-US"/>
              </w:rPr>
              <w:t>Proposed Change</w:t>
            </w:r>
          </w:p>
        </w:tc>
        <w:tc>
          <w:tcPr>
            <w:tcW w:w="3453" w:type="dxa"/>
            <w:shd w:val="clear" w:color="auto" w:fill="auto"/>
            <w:vAlign w:val="center"/>
          </w:tcPr>
          <w:p w14:paraId="263573B2" w14:textId="77777777" w:rsidR="0079373D" w:rsidRPr="00572EE8" w:rsidRDefault="00877226" w:rsidP="00B17F46">
            <w:pPr>
              <w:jc w:val="center"/>
              <w:rPr>
                <w:rFonts w:eastAsia="Times New Roman"/>
                <w:b/>
                <w:bCs/>
                <w:color w:val="000000"/>
                <w:sz w:val="20"/>
                <w:lang w:val="en-US"/>
              </w:rPr>
            </w:pPr>
            <w:r w:rsidRPr="00572EE8">
              <w:rPr>
                <w:rFonts w:eastAsia="Times New Roman"/>
                <w:b/>
                <w:bCs/>
                <w:color w:val="000000"/>
                <w:sz w:val="20"/>
                <w:lang w:val="en-US"/>
              </w:rPr>
              <w:t>Resolution</w:t>
            </w:r>
          </w:p>
        </w:tc>
      </w:tr>
      <w:tr w:rsidR="00101B7B" w:rsidRPr="00572EE8" w14:paraId="46971669" w14:textId="77777777" w:rsidTr="002F1C40">
        <w:trPr>
          <w:trHeight w:val="336"/>
        </w:trPr>
        <w:tc>
          <w:tcPr>
            <w:tcW w:w="787" w:type="dxa"/>
            <w:shd w:val="clear" w:color="auto" w:fill="auto"/>
          </w:tcPr>
          <w:p w14:paraId="1766B4BF" w14:textId="39387257" w:rsidR="00101B7B" w:rsidRPr="00572EE8" w:rsidRDefault="00101B7B" w:rsidP="00101B7B">
            <w:pPr>
              <w:spacing w:line="276" w:lineRule="auto"/>
              <w:jc w:val="both"/>
              <w:rPr>
                <w:sz w:val="20"/>
                <w:lang w:val="en-US"/>
              </w:rPr>
            </w:pPr>
            <w:r w:rsidRPr="00572EE8">
              <w:rPr>
                <w:sz w:val="20"/>
                <w:lang w:val="en-US"/>
              </w:rPr>
              <w:t>11444</w:t>
            </w:r>
          </w:p>
        </w:tc>
        <w:tc>
          <w:tcPr>
            <w:tcW w:w="810" w:type="dxa"/>
            <w:shd w:val="clear" w:color="auto" w:fill="auto"/>
          </w:tcPr>
          <w:p w14:paraId="5A30CE3D" w14:textId="0E4C1103" w:rsidR="00101B7B" w:rsidRPr="00572EE8" w:rsidRDefault="00101B7B" w:rsidP="00101B7B">
            <w:pPr>
              <w:spacing w:line="276" w:lineRule="auto"/>
              <w:jc w:val="both"/>
              <w:rPr>
                <w:sz w:val="20"/>
                <w:lang w:val="en-US"/>
              </w:rPr>
            </w:pPr>
            <w:r w:rsidRPr="00572EE8">
              <w:rPr>
                <w:sz w:val="20"/>
                <w:lang w:val="en-US"/>
              </w:rPr>
              <w:t>3.2</w:t>
            </w:r>
          </w:p>
        </w:tc>
        <w:tc>
          <w:tcPr>
            <w:tcW w:w="720" w:type="dxa"/>
            <w:shd w:val="clear" w:color="auto" w:fill="auto"/>
          </w:tcPr>
          <w:p w14:paraId="1D64E59C" w14:textId="7457ED65" w:rsidR="00101B7B" w:rsidRPr="00572EE8" w:rsidRDefault="00101B7B" w:rsidP="00101B7B">
            <w:pPr>
              <w:spacing w:line="276" w:lineRule="auto"/>
              <w:jc w:val="both"/>
              <w:rPr>
                <w:sz w:val="20"/>
                <w:lang w:val="en-US"/>
              </w:rPr>
            </w:pPr>
            <w:r w:rsidRPr="00572EE8">
              <w:rPr>
                <w:sz w:val="20"/>
                <w:lang w:val="en-US"/>
              </w:rPr>
              <w:t>32</w:t>
            </w:r>
          </w:p>
        </w:tc>
        <w:tc>
          <w:tcPr>
            <w:tcW w:w="3048" w:type="dxa"/>
            <w:shd w:val="clear" w:color="auto" w:fill="auto"/>
          </w:tcPr>
          <w:p w14:paraId="42C95748" w14:textId="6A3A7AD7" w:rsidR="00101B7B" w:rsidRPr="00572EE8" w:rsidRDefault="00101B7B" w:rsidP="00101B7B">
            <w:pPr>
              <w:spacing w:line="276" w:lineRule="auto"/>
              <w:jc w:val="both"/>
              <w:rPr>
                <w:sz w:val="20"/>
                <w:lang w:val="en-US"/>
              </w:rPr>
            </w:pPr>
            <w:r w:rsidRPr="00572EE8">
              <w:rPr>
                <w:sz w:val="20"/>
              </w:rPr>
              <w:t>definition has bad/confusing grammar</w:t>
            </w:r>
          </w:p>
        </w:tc>
        <w:tc>
          <w:tcPr>
            <w:tcW w:w="2409" w:type="dxa"/>
            <w:shd w:val="clear" w:color="auto" w:fill="auto"/>
          </w:tcPr>
          <w:p w14:paraId="4126352E" w14:textId="60877686" w:rsidR="00101B7B" w:rsidRPr="00572EE8" w:rsidRDefault="00101B7B" w:rsidP="00101B7B">
            <w:pPr>
              <w:spacing w:line="276" w:lineRule="auto"/>
              <w:jc w:val="both"/>
              <w:rPr>
                <w:sz w:val="20"/>
                <w:lang w:val="en-US"/>
              </w:rPr>
            </w:pPr>
            <w:r w:rsidRPr="00572EE8">
              <w:rPr>
                <w:sz w:val="20"/>
              </w:rPr>
              <w:t>Original: A non-AP HE STA that indicates in the Channel Width Set subfield in the HE PHY Capabilities Information field of the HE Capabilities element that it transmits, support for only 20 MHz channel width for the frequency band in which it is operating.  Updated: A non-AP HE STA that indicates in the Channel Width Set subfield in the HE PHY Capabilities Information field of the HE Capabilities element support for only a 20 MHz channel width in its current operating frequency band.</w:t>
            </w:r>
          </w:p>
        </w:tc>
        <w:tc>
          <w:tcPr>
            <w:tcW w:w="3453" w:type="dxa"/>
            <w:shd w:val="clear" w:color="auto" w:fill="auto"/>
            <w:vAlign w:val="center"/>
          </w:tcPr>
          <w:p w14:paraId="6933D1B6" w14:textId="3AE45BF0" w:rsidR="00101B7B" w:rsidRPr="00572EE8" w:rsidRDefault="00101B7B" w:rsidP="00101B7B">
            <w:pPr>
              <w:spacing w:line="276" w:lineRule="auto"/>
              <w:jc w:val="both"/>
              <w:rPr>
                <w:sz w:val="20"/>
              </w:rPr>
            </w:pPr>
            <w:r w:rsidRPr="00572EE8">
              <w:rPr>
                <w:sz w:val="20"/>
              </w:rPr>
              <w:t>Reject –</w:t>
            </w:r>
          </w:p>
          <w:p w14:paraId="71D2FF3F" w14:textId="5BD13FF3" w:rsidR="00101B7B" w:rsidRPr="00572EE8" w:rsidRDefault="000F32B7" w:rsidP="00101B7B">
            <w:pPr>
              <w:spacing w:line="276" w:lineRule="auto"/>
              <w:jc w:val="both"/>
              <w:rPr>
                <w:sz w:val="20"/>
              </w:rPr>
            </w:pPr>
            <w:r w:rsidRPr="00572EE8">
              <w:rPr>
                <w:sz w:val="20"/>
              </w:rPr>
              <w:t>The current text as if is both technically and grammatically sound. The comment appears to be a personal preference of commenter.</w:t>
            </w:r>
          </w:p>
        </w:tc>
      </w:tr>
      <w:tr w:rsidR="00572EE8" w:rsidRPr="00572EE8" w14:paraId="746D2C11" w14:textId="77777777" w:rsidTr="002F1C40">
        <w:trPr>
          <w:trHeight w:val="336"/>
        </w:trPr>
        <w:tc>
          <w:tcPr>
            <w:tcW w:w="787" w:type="dxa"/>
            <w:shd w:val="clear" w:color="auto" w:fill="auto"/>
          </w:tcPr>
          <w:p w14:paraId="13E5C49A" w14:textId="18DC7300" w:rsidR="00572EE8" w:rsidRPr="00572EE8" w:rsidRDefault="00572EE8" w:rsidP="00572EE8">
            <w:pPr>
              <w:spacing w:line="276" w:lineRule="auto"/>
              <w:jc w:val="both"/>
              <w:rPr>
                <w:sz w:val="20"/>
                <w:highlight w:val="yellow"/>
                <w:lang w:val="en-US"/>
              </w:rPr>
            </w:pPr>
            <w:r w:rsidRPr="00572EE8">
              <w:rPr>
                <w:sz w:val="20"/>
                <w:lang w:val="en-US"/>
              </w:rPr>
              <w:t>12580</w:t>
            </w:r>
          </w:p>
        </w:tc>
        <w:tc>
          <w:tcPr>
            <w:tcW w:w="810" w:type="dxa"/>
            <w:shd w:val="clear" w:color="auto" w:fill="auto"/>
          </w:tcPr>
          <w:p w14:paraId="70B40921" w14:textId="5C3478AD" w:rsidR="00572EE8" w:rsidRPr="00572EE8" w:rsidRDefault="00572EE8" w:rsidP="00572EE8">
            <w:pPr>
              <w:spacing w:line="276" w:lineRule="auto"/>
              <w:jc w:val="both"/>
              <w:rPr>
                <w:sz w:val="20"/>
                <w:lang w:val="en-US"/>
              </w:rPr>
            </w:pPr>
            <w:r w:rsidRPr="00572EE8">
              <w:rPr>
                <w:sz w:val="20"/>
                <w:lang w:val="en-US"/>
              </w:rPr>
              <w:t>28.3.10.8.3</w:t>
            </w:r>
          </w:p>
        </w:tc>
        <w:tc>
          <w:tcPr>
            <w:tcW w:w="720" w:type="dxa"/>
            <w:shd w:val="clear" w:color="auto" w:fill="auto"/>
          </w:tcPr>
          <w:p w14:paraId="45CF383D" w14:textId="64066F18" w:rsidR="00572EE8" w:rsidRPr="00572EE8" w:rsidRDefault="00572EE8" w:rsidP="00572EE8">
            <w:pPr>
              <w:spacing w:line="276" w:lineRule="auto"/>
              <w:jc w:val="both"/>
              <w:rPr>
                <w:sz w:val="20"/>
                <w:lang w:val="en-US"/>
              </w:rPr>
            </w:pPr>
            <w:r w:rsidRPr="00572EE8">
              <w:rPr>
                <w:sz w:val="20"/>
                <w:lang w:val="en-US"/>
              </w:rPr>
              <w:t>424.54</w:t>
            </w:r>
          </w:p>
        </w:tc>
        <w:tc>
          <w:tcPr>
            <w:tcW w:w="3048" w:type="dxa"/>
            <w:shd w:val="clear" w:color="auto" w:fill="auto"/>
          </w:tcPr>
          <w:p w14:paraId="39AD62BD" w14:textId="65E0DB49" w:rsidR="00572EE8" w:rsidRPr="00572EE8" w:rsidRDefault="00572EE8" w:rsidP="00572EE8">
            <w:pPr>
              <w:spacing w:line="276" w:lineRule="auto"/>
              <w:jc w:val="both"/>
              <w:rPr>
                <w:sz w:val="20"/>
              </w:rPr>
            </w:pPr>
            <w:r w:rsidRPr="00572EE8">
              <w:rPr>
                <w:sz w:val="20"/>
              </w:rPr>
              <w:t>It should be made clear that when preamble puncturing is used no RU is allocated in "punctured" subchannels so that the data is also "punctured" too</w:t>
            </w:r>
          </w:p>
        </w:tc>
        <w:tc>
          <w:tcPr>
            <w:tcW w:w="2409" w:type="dxa"/>
            <w:shd w:val="clear" w:color="auto" w:fill="auto"/>
          </w:tcPr>
          <w:p w14:paraId="4BB1B9B0" w14:textId="7E496B1D" w:rsidR="00572EE8" w:rsidRPr="00572EE8" w:rsidRDefault="00572EE8" w:rsidP="00572EE8">
            <w:pPr>
              <w:spacing w:line="276" w:lineRule="auto"/>
              <w:jc w:val="both"/>
              <w:rPr>
                <w:sz w:val="20"/>
              </w:rPr>
            </w:pPr>
            <w:r w:rsidRPr="00572EE8">
              <w:rPr>
                <w:sz w:val="20"/>
              </w:rPr>
              <w:t>At the end of the referenced subclause add a para "When preamble puncturing is present, no RU shall be allocated that overlaps with any 20 MHz sub-channel that is punctured."</w:t>
            </w:r>
          </w:p>
        </w:tc>
        <w:tc>
          <w:tcPr>
            <w:tcW w:w="3453" w:type="dxa"/>
            <w:shd w:val="clear" w:color="auto" w:fill="auto"/>
            <w:vAlign w:val="center"/>
          </w:tcPr>
          <w:p w14:paraId="619F3171" w14:textId="77777777" w:rsidR="00572EE8" w:rsidRPr="00572EE8" w:rsidRDefault="00572EE8" w:rsidP="00572EE8">
            <w:pPr>
              <w:spacing w:line="276" w:lineRule="auto"/>
              <w:jc w:val="both"/>
              <w:rPr>
                <w:sz w:val="20"/>
              </w:rPr>
            </w:pPr>
            <w:r w:rsidRPr="00572EE8">
              <w:rPr>
                <w:sz w:val="20"/>
              </w:rPr>
              <w:t>Accept—</w:t>
            </w:r>
          </w:p>
          <w:p w14:paraId="7C2D6449" w14:textId="77777777" w:rsidR="00572EE8" w:rsidRPr="00572EE8" w:rsidRDefault="00572EE8" w:rsidP="00572EE8">
            <w:pPr>
              <w:jc w:val="both"/>
              <w:rPr>
                <w:sz w:val="20"/>
              </w:rPr>
            </w:pPr>
          </w:p>
        </w:tc>
      </w:tr>
      <w:tr w:rsidR="009F00CB" w:rsidRPr="00572EE8" w14:paraId="0C2DCFFB" w14:textId="77777777" w:rsidTr="002F1C40">
        <w:trPr>
          <w:trHeight w:val="336"/>
        </w:trPr>
        <w:tc>
          <w:tcPr>
            <w:tcW w:w="787" w:type="dxa"/>
            <w:shd w:val="clear" w:color="auto" w:fill="auto"/>
          </w:tcPr>
          <w:p w14:paraId="2D6442EA" w14:textId="343A28CB" w:rsidR="009F00CB" w:rsidRPr="00572EE8" w:rsidRDefault="009F00CB" w:rsidP="009F00CB">
            <w:pPr>
              <w:spacing w:line="276" w:lineRule="auto"/>
              <w:jc w:val="both"/>
              <w:rPr>
                <w:sz w:val="20"/>
                <w:lang w:val="en-US"/>
              </w:rPr>
            </w:pPr>
            <w:r w:rsidRPr="00D82A84">
              <w:rPr>
                <w:sz w:val="20"/>
                <w:lang w:val="en-US"/>
              </w:rPr>
              <w:t>12066</w:t>
            </w:r>
          </w:p>
        </w:tc>
        <w:tc>
          <w:tcPr>
            <w:tcW w:w="810" w:type="dxa"/>
            <w:shd w:val="clear" w:color="auto" w:fill="auto"/>
          </w:tcPr>
          <w:p w14:paraId="7A67C96B" w14:textId="101D44C5" w:rsidR="009F00CB" w:rsidRPr="00572EE8" w:rsidRDefault="009F00CB" w:rsidP="009F00CB">
            <w:pPr>
              <w:spacing w:line="276" w:lineRule="auto"/>
              <w:jc w:val="both"/>
              <w:rPr>
                <w:sz w:val="20"/>
                <w:lang w:val="en-US"/>
              </w:rPr>
            </w:pPr>
            <w:r w:rsidRPr="00572EE8">
              <w:rPr>
                <w:sz w:val="20"/>
                <w:lang w:val="en-US"/>
              </w:rPr>
              <w:t>9.4.1.65</w:t>
            </w:r>
          </w:p>
        </w:tc>
        <w:tc>
          <w:tcPr>
            <w:tcW w:w="720" w:type="dxa"/>
            <w:shd w:val="clear" w:color="auto" w:fill="auto"/>
          </w:tcPr>
          <w:p w14:paraId="7AA719D5" w14:textId="6575243C" w:rsidR="009F00CB" w:rsidRPr="00572EE8" w:rsidRDefault="009F00CB" w:rsidP="009F00CB">
            <w:pPr>
              <w:spacing w:line="276" w:lineRule="auto"/>
              <w:jc w:val="both"/>
              <w:rPr>
                <w:sz w:val="20"/>
                <w:lang w:val="en-US"/>
              </w:rPr>
            </w:pPr>
            <w:r w:rsidRPr="00572EE8">
              <w:rPr>
                <w:sz w:val="20"/>
                <w:lang w:val="en-US"/>
              </w:rPr>
              <w:t>116</w:t>
            </w:r>
          </w:p>
        </w:tc>
        <w:tc>
          <w:tcPr>
            <w:tcW w:w="3048" w:type="dxa"/>
            <w:shd w:val="clear" w:color="auto" w:fill="auto"/>
          </w:tcPr>
          <w:p w14:paraId="77970C44" w14:textId="30E6DFE6" w:rsidR="009F00CB" w:rsidRPr="00572EE8" w:rsidRDefault="009F00CB" w:rsidP="009F00CB">
            <w:pPr>
              <w:spacing w:line="276" w:lineRule="auto"/>
              <w:jc w:val="both"/>
              <w:rPr>
                <w:sz w:val="20"/>
              </w:rPr>
            </w:pPr>
            <w:r w:rsidRPr="00572EE8">
              <w:rPr>
                <w:sz w:val="20"/>
              </w:rPr>
              <w:t>Note that CQI calculation is according to 26-tone RU index, but the BF feedback for 26-Tone RU has different index. For example, the index for 26-tone RU is from -121:-96, but for BF feedback, the index for 26-tone RU is from -122:-96.</w:t>
            </w:r>
          </w:p>
        </w:tc>
        <w:tc>
          <w:tcPr>
            <w:tcW w:w="2409" w:type="dxa"/>
            <w:shd w:val="clear" w:color="auto" w:fill="auto"/>
          </w:tcPr>
          <w:p w14:paraId="78BE91B3" w14:textId="24285525" w:rsidR="009F00CB" w:rsidRPr="00572EE8" w:rsidRDefault="009F00CB" w:rsidP="009F00CB">
            <w:pPr>
              <w:spacing w:line="276" w:lineRule="auto"/>
              <w:jc w:val="both"/>
              <w:rPr>
                <w:sz w:val="20"/>
              </w:rPr>
            </w:pPr>
            <w:r w:rsidRPr="00572EE8">
              <w:rPr>
                <w:sz w:val="20"/>
              </w:rPr>
              <w:t>Clarify the 26-tone index for CQI only report is according the tone plan shown in table 28-6, table 28-7 and table 28-8</w:t>
            </w:r>
          </w:p>
        </w:tc>
        <w:tc>
          <w:tcPr>
            <w:tcW w:w="3453" w:type="dxa"/>
            <w:shd w:val="clear" w:color="auto" w:fill="auto"/>
            <w:vAlign w:val="center"/>
          </w:tcPr>
          <w:p w14:paraId="2102FCD4" w14:textId="2F64A593" w:rsidR="009F00CB" w:rsidRPr="00572EE8" w:rsidRDefault="008862D7" w:rsidP="009F00CB">
            <w:pPr>
              <w:spacing w:line="276" w:lineRule="auto"/>
              <w:jc w:val="both"/>
              <w:rPr>
                <w:sz w:val="20"/>
              </w:rPr>
            </w:pPr>
            <w:r w:rsidRPr="00572EE8">
              <w:rPr>
                <w:sz w:val="20"/>
              </w:rPr>
              <w:t>Revised—</w:t>
            </w:r>
          </w:p>
          <w:p w14:paraId="4330D4F0" w14:textId="6B8CF6DB" w:rsidR="0051693C" w:rsidRPr="00572EE8" w:rsidRDefault="00572EE8" w:rsidP="009F00CB">
            <w:pPr>
              <w:spacing w:line="276" w:lineRule="auto"/>
              <w:jc w:val="both"/>
              <w:rPr>
                <w:sz w:val="20"/>
              </w:rPr>
            </w:pPr>
            <w:r>
              <w:rPr>
                <w:sz w:val="20"/>
              </w:rPr>
              <w:t>Three</w:t>
            </w:r>
            <w:r w:rsidR="0051693C" w:rsidRPr="00572EE8">
              <w:rPr>
                <w:sz w:val="20"/>
              </w:rPr>
              <w:t xml:space="preserve"> changes are made</w:t>
            </w:r>
          </w:p>
          <w:p w14:paraId="2FD20242" w14:textId="263A0560" w:rsidR="008862D7" w:rsidRPr="00572EE8" w:rsidRDefault="0051693C" w:rsidP="0051693C">
            <w:pPr>
              <w:pStyle w:val="ListParagraph"/>
              <w:numPr>
                <w:ilvl w:val="0"/>
                <w:numId w:val="47"/>
              </w:numPr>
              <w:spacing w:line="276" w:lineRule="auto"/>
              <w:ind w:leftChars="0"/>
              <w:jc w:val="both"/>
              <w:rPr>
                <w:sz w:val="20"/>
              </w:rPr>
            </w:pPr>
            <w:r w:rsidRPr="00572EE8">
              <w:rPr>
                <w:sz w:val="20"/>
              </w:rPr>
              <w:t>The subcarrier indices for 26-tone RU in 20/40/80 MHz are defined in Tables 28-6/-7/-8, respectively.</w:t>
            </w:r>
            <w:r w:rsidR="007C64D7" w:rsidRPr="00572EE8">
              <w:rPr>
                <w:sz w:val="20"/>
              </w:rPr>
              <w:t xml:space="preserve"> </w:t>
            </w:r>
          </w:p>
          <w:p w14:paraId="71D9CA9B" w14:textId="77777777" w:rsidR="0051693C" w:rsidRPr="00572EE8" w:rsidRDefault="0051693C" w:rsidP="0051693C">
            <w:pPr>
              <w:pStyle w:val="ListParagraph"/>
              <w:numPr>
                <w:ilvl w:val="0"/>
                <w:numId w:val="47"/>
              </w:numPr>
              <w:spacing w:line="276" w:lineRule="auto"/>
              <w:ind w:leftChars="0"/>
              <w:jc w:val="both"/>
              <w:rPr>
                <w:sz w:val="20"/>
              </w:rPr>
            </w:pPr>
            <w:r w:rsidRPr="00572EE8">
              <w:rPr>
                <w:sz w:val="20"/>
              </w:rPr>
              <w:t xml:space="preserve">The SNR computation for CQI-only is unclear. It is clarified that “Each SNR value per subcarrier in stream i (before </w:t>
            </w:r>
            <w:r w:rsidRPr="00572EE8">
              <w:rPr>
                <w:sz w:val="20"/>
              </w:rPr>
              <w:lastRenderedPageBreak/>
              <w:t>being averaged) corresponds to the SNR associated with column i of the beamforming feedback matrix V determined at the beamformee. Each SNR corresponds to the predicted SNR at the beamformee when the beamformer applies all columns of the matric V.”</w:t>
            </w:r>
          </w:p>
          <w:p w14:paraId="657F721F" w14:textId="37A8434C" w:rsidR="00572EE8" w:rsidRPr="0035010D" w:rsidRDefault="0051693C" w:rsidP="0029589A">
            <w:pPr>
              <w:pStyle w:val="ListParagraph"/>
              <w:numPr>
                <w:ilvl w:val="0"/>
                <w:numId w:val="47"/>
              </w:numPr>
              <w:spacing w:line="276" w:lineRule="auto"/>
              <w:ind w:leftChars="0"/>
              <w:jc w:val="both"/>
              <w:rPr>
                <w:sz w:val="20"/>
              </w:rPr>
            </w:pPr>
            <w:r w:rsidRPr="0035010D">
              <w:rPr>
                <w:sz w:val="20"/>
              </w:rPr>
              <w:t>Current text is unclear if beamformee can use any spacing (e.g., Ng = 16) between subcarriers when computing feedback SNR per 26-tone RU. The text is updated with a recommendation</w:t>
            </w:r>
            <w:r w:rsidR="0035010D">
              <w:rPr>
                <w:sz w:val="20"/>
              </w:rPr>
              <w:t>.</w:t>
            </w:r>
          </w:p>
          <w:p w14:paraId="41E869C0" w14:textId="1195DD7B" w:rsidR="00572EE8" w:rsidRPr="00572EE8" w:rsidRDefault="00572EE8" w:rsidP="00572EE8">
            <w:pPr>
              <w:spacing w:line="276" w:lineRule="auto"/>
              <w:jc w:val="both"/>
              <w:rPr>
                <w:sz w:val="20"/>
              </w:rPr>
            </w:pPr>
            <w:r w:rsidRPr="00572EE8">
              <w:rPr>
                <w:sz w:val="20"/>
              </w:rPr>
              <w:t>TGax Editor to make the changes for CID12</w:t>
            </w:r>
            <w:r>
              <w:rPr>
                <w:sz w:val="20"/>
              </w:rPr>
              <w:t>0</w:t>
            </w:r>
            <w:r w:rsidRPr="00572EE8">
              <w:rPr>
                <w:sz w:val="20"/>
              </w:rPr>
              <w:t>66 as suggested in proposed resolution in IEEE 802.11-18/0</w:t>
            </w:r>
            <w:r w:rsidR="0035010D">
              <w:rPr>
                <w:sz w:val="20"/>
              </w:rPr>
              <w:t>725</w:t>
            </w:r>
            <w:r w:rsidRPr="00572EE8">
              <w:rPr>
                <w:sz w:val="20"/>
              </w:rPr>
              <w:t>r0</w:t>
            </w:r>
          </w:p>
        </w:tc>
      </w:tr>
      <w:tr w:rsidR="00730D9A" w:rsidRPr="00572EE8" w14:paraId="57BAB2C6" w14:textId="77777777" w:rsidTr="002F1C40">
        <w:trPr>
          <w:trHeight w:val="336"/>
        </w:trPr>
        <w:tc>
          <w:tcPr>
            <w:tcW w:w="787" w:type="dxa"/>
            <w:shd w:val="clear" w:color="auto" w:fill="auto"/>
          </w:tcPr>
          <w:p w14:paraId="2F570E1E" w14:textId="3EC42074" w:rsidR="00730D9A" w:rsidRPr="00572EE8" w:rsidRDefault="00730D9A" w:rsidP="00730D9A">
            <w:pPr>
              <w:spacing w:line="276" w:lineRule="auto"/>
              <w:jc w:val="both"/>
              <w:rPr>
                <w:sz w:val="20"/>
                <w:lang w:val="en-US"/>
              </w:rPr>
            </w:pPr>
            <w:r w:rsidRPr="00572EE8">
              <w:rPr>
                <w:sz w:val="20"/>
                <w:lang w:val="en-US"/>
              </w:rPr>
              <w:lastRenderedPageBreak/>
              <w:t>12762</w:t>
            </w:r>
          </w:p>
        </w:tc>
        <w:tc>
          <w:tcPr>
            <w:tcW w:w="810" w:type="dxa"/>
            <w:shd w:val="clear" w:color="auto" w:fill="auto"/>
          </w:tcPr>
          <w:p w14:paraId="39C55231" w14:textId="0176B5FE" w:rsidR="00730D9A" w:rsidRPr="00572EE8" w:rsidRDefault="00730D9A" w:rsidP="00730D9A">
            <w:pPr>
              <w:spacing w:line="276" w:lineRule="auto"/>
              <w:jc w:val="both"/>
              <w:rPr>
                <w:sz w:val="20"/>
                <w:lang w:val="en-US"/>
              </w:rPr>
            </w:pPr>
            <w:r w:rsidRPr="00572EE8">
              <w:rPr>
                <w:sz w:val="20"/>
                <w:lang w:val="en-US"/>
              </w:rPr>
              <w:t>9.4.1.65</w:t>
            </w:r>
          </w:p>
        </w:tc>
        <w:tc>
          <w:tcPr>
            <w:tcW w:w="720" w:type="dxa"/>
            <w:shd w:val="clear" w:color="auto" w:fill="auto"/>
          </w:tcPr>
          <w:p w14:paraId="61EEEB9A" w14:textId="0E8569D4" w:rsidR="00730D9A" w:rsidRPr="00572EE8" w:rsidRDefault="00730D9A" w:rsidP="00730D9A">
            <w:pPr>
              <w:spacing w:line="276" w:lineRule="auto"/>
              <w:jc w:val="both"/>
              <w:rPr>
                <w:sz w:val="20"/>
                <w:lang w:val="en-US"/>
              </w:rPr>
            </w:pPr>
            <w:r w:rsidRPr="00572EE8">
              <w:rPr>
                <w:sz w:val="20"/>
                <w:lang w:val="en-US"/>
              </w:rPr>
              <w:t>116.55</w:t>
            </w:r>
          </w:p>
        </w:tc>
        <w:tc>
          <w:tcPr>
            <w:tcW w:w="3048" w:type="dxa"/>
            <w:shd w:val="clear" w:color="auto" w:fill="auto"/>
          </w:tcPr>
          <w:p w14:paraId="25D16FED" w14:textId="22CE2E21" w:rsidR="00730D9A" w:rsidRPr="00572EE8" w:rsidRDefault="00730D9A" w:rsidP="00730D9A">
            <w:pPr>
              <w:spacing w:line="276" w:lineRule="auto"/>
              <w:jc w:val="both"/>
              <w:rPr>
                <w:sz w:val="20"/>
              </w:rPr>
            </w:pPr>
            <w:r w:rsidRPr="00572EE8">
              <w:rPr>
                <w:sz w:val="20"/>
              </w:rPr>
              <w:t>" The RU indices</w:t>
            </w:r>
            <w:r w:rsidRPr="00572EE8">
              <w:rPr>
                <w:sz w:val="20"/>
              </w:rPr>
              <w:br/>
              <w:t>ruidx(0) and ruidx(Ncqi - 1) correspond to the RU Start Index and RU End Index subfields, respectively. " -- "correspond" is too vague</w:t>
            </w:r>
          </w:p>
        </w:tc>
        <w:tc>
          <w:tcPr>
            <w:tcW w:w="2409" w:type="dxa"/>
            <w:shd w:val="clear" w:color="auto" w:fill="auto"/>
          </w:tcPr>
          <w:p w14:paraId="6EBFB009" w14:textId="5ACC722A" w:rsidR="00730D9A" w:rsidRPr="00572EE8" w:rsidRDefault="00730D9A" w:rsidP="00730D9A">
            <w:pPr>
              <w:spacing w:line="276" w:lineRule="auto"/>
              <w:jc w:val="both"/>
              <w:rPr>
                <w:sz w:val="20"/>
              </w:rPr>
            </w:pPr>
            <w:r w:rsidRPr="00572EE8">
              <w:rPr>
                <w:sz w:val="20"/>
              </w:rPr>
              <w:t>Change "correspond" to "are equal" in the cited text</w:t>
            </w:r>
          </w:p>
        </w:tc>
        <w:tc>
          <w:tcPr>
            <w:tcW w:w="3453" w:type="dxa"/>
            <w:shd w:val="clear" w:color="auto" w:fill="auto"/>
            <w:vAlign w:val="center"/>
          </w:tcPr>
          <w:p w14:paraId="6A0D21BC" w14:textId="29ECE950" w:rsidR="00730D9A" w:rsidRPr="00572EE8" w:rsidRDefault="00082101" w:rsidP="00730D9A">
            <w:pPr>
              <w:spacing w:line="276" w:lineRule="auto"/>
              <w:jc w:val="both"/>
              <w:rPr>
                <w:sz w:val="20"/>
              </w:rPr>
            </w:pPr>
            <w:r w:rsidRPr="00572EE8">
              <w:rPr>
                <w:sz w:val="20"/>
              </w:rPr>
              <w:t>Accept—</w:t>
            </w:r>
          </w:p>
          <w:p w14:paraId="4AD13A69" w14:textId="3019D500" w:rsidR="00082101" w:rsidRPr="00572EE8" w:rsidRDefault="00082101" w:rsidP="00730D9A">
            <w:pPr>
              <w:spacing w:line="276" w:lineRule="auto"/>
              <w:jc w:val="both"/>
              <w:rPr>
                <w:sz w:val="20"/>
              </w:rPr>
            </w:pPr>
          </w:p>
        </w:tc>
      </w:tr>
      <w:tr w:rsidR="00A67754" w:rsidRPr="00572EE8" w14:paraId="1FD92891" w14:textId="77777777" w:rsidTr="002F1C40">
        <w:trPr>
          <w:trHeight w:val="336"/>
        </w:trPr>
        <w:tc>
          <w:tcPr>
            <w:tcW w:w="787" w:type="dxa"/>
            <w:shd w:val="clear" w:color="auto" w:fill="auto"/>
          </w:tcPr>
          <w:p w14:paraId="77DD235C" w14:textId="458743D5" w:rsidR="00A67754" w:rsidRPr="00572EE8" w:rsidRDefault="00A67754" w:rsidP="00A67754">
            <w:pPr>
              <w:spacing w:line="276" w:lineRule="auto"/>
              <w:jc w:val="both"/>
              <w:rPr>
                <w:sz w:val="20"/>
                <w:lang w:val="en-US"/>
              </w:rPr>
            </w:pPr>
            <w:r w:rsidRPr="00572EE8">
              <w:rPr>
                <w:sz w:val="20"/>
                <w:lang w:val="en-US"/>
              </w:rPr>
              <w:t>12763</w:t>
            </w:r>
          </w:p>
        </w:tc>
        <w:tc>
          <w:tcPr>
            <w:tcW w:w="810" w:type="dxa"/>
            <w:shd w:val="clear" w:color="auto" w:fill="auto"/>
          </w:tcPr>
          <w:p w14:paraId="79A26D37" w14:textId="147653D2" w:rsidR="00A67754" w:rsidRPr="00572EE8" w:rsidRDefault="00A67754" w:rsidP="00A67754">
            <w:pPr>
              <w:spacing w:line="276" w:lineRule="auto"/>
              <w:jc w:val="both"/>
              <w:rPr>
                <w:sz w:val="20"/>
                <w:lang w:val="en-US"/>
              </w:rPr>
            </w:pPr>
            <w:r w:rsidRPr="00572EE8">
              <w:rPr>
                <w:sz w:val="20"/>
                <w:lang w:val="en-US"/>
              </w:rPr>
              <w:t>9.4.1.65</w:t>
            </w:r>
          </w:p>
        </w:tc>
        <w:tc>
          <w:tcPr>
            <w:tcW w:w="720" w:type="dxa"/>
            <w:shd w:val="clear" w:color="auto" w:fill="auto"/>
          </w:tcPr>
          <w:p w14:paraId="6744CD4A" w14:textId="3FD18FFC" w:rsidR="00A67754" w:rsidRPr="00572EE8" w:rsidRDefault="00A67754" w:rsidP="00A67754">
            <w:pPr>
              <w:spacing w:line="276" w:lineRule="auto"/>
              <w:jc w:val="both"/>
              <w:rPr>
                <w:sz w:val="20"/>
                <w:lang w:val="en-US"/>
              </w:rPr>
            </w:pPr>
            <w:r w:rsidRPr="00572EE8">
              <w:rPr>
                <w:sz w:val="20"/>
                <w:lang w:val="en-US"/>
              </w:rPr>
              <w:t>116.57</w:t>
            </w:r>
          </w:p>
        </w:tc>
        <w:tc>
          <w:tcPr>
            <w:tcW w:w="3048" w:type="dxa"/>
            <w:shd w:val="clear" w:color="auto" w:fill="auto"/>
          </w:tcPr>
          <w:p w14:paraId="558488E4" w14:textId="7F528E13" w:rsidR="00A67754" w:rsidRPr="00572EE8" w:rsidRDefault="00A67754" w:rsidP="00A67754">
            <w:pPr>
              <w:spacing w:line="276" w:lineRule="auto"/>
              <w:jc w:val="both"/>
              <w:rPr>
                <w:sz w:val="20"/>
              </w:rPr>
            </w:pPr>
            <w:r w:rsidRPr="00572EE8">
              <w:rPr>
                <w:sz w:val="20"/>
              </w:rPr>
              <w:t>"The RU index ruidx(i) = ruidx(i - 1) + 1, where 1 &lt;= i &lt;= Ncqi - 2." -- the case i = Ncqi - 1 is missing</w:t>
            </w:r>
          </w:p>
        </w:tc>
        <w:tc>
          <w:tcPr>
            <w:tcW w:w="2409" w:type="dxa"/>
            <w:shd w:val="clear" w:color="auto" w:fill="auto"/>
          </w:tcPr>
          <w:p w14:paraId="58847A14" w14:textId="1D216AC3" w:rsidR="00A67754" w:rsidRPr="00572EE8" w:rsidRDefault="00A67754" w:rsidP="00A67754">
            <w:pPr>
              <w:spacing w:line="276" w:lineRule="auto"/>
              <w:jc w:val="both"/>
              <w:rPr>
                <w:sz w:val="20"/>
              </w:rPr>
            </w:pPr>
            <w:r w:rsidRPr="00572EE8">
              <w:rPr>
                <w:sz w:val="20"/>
              </w:rPr>
              <w:t>Change "2" to "1" in the cited text</w:t>
            </w:r>
          </w:p>
        </w:tc>
        <w:tc>
          <w:tcPr>
            <w:tcW w:w="3453" w:type="dxa"/>
            <w:shd w:val="clear" w:color="auto" w:fill="auto"/>
            <w:vAlign w:val="center"/>
          </w:tcPr>
          <w:p w14:paraId="13122008" w14:textId="3DF8834E" w:rsidR="00A67754" w:rsidRPr="00572EE8" w:rsidRDefault="00A67754" w:rsidP="00A67754">
            <w:pPr>
              <w:spacing w:line="276" w:lineRule="auto"/>
              <w:jc w:val="both"/>
              <w:rPr>
                <w:sz w:val="20"/>
              </w:rPr>
            </w:pPr>
            <w:r w:rsidRPr="00572EE8">
              <w:rPr>
                <w:sz w:val="20"/>
              </w:rPr>
              <w:t>Reject—</w:t>
            </w:r>
          </w:p>
          <w:p w14:paraId="0EE767D1" w14:textId="77777777" w:rsidR="00A67754" w:rsidRPr="00572EE8" w:rsidRDefault="00A67754" w:rsidP="00A67754">
            <w:pPr>
              <w:spacing w:line="276" w:lineRule="auto"/>
              <w:jc w:val="both"/>
              <w:rPr>
                <w:sz w:val="20"/>
                <w:lang w:val="en-US"/>
              </w:rPr>
            </w:pPr>
            <w:r w:rsidRPr="00572EE8">
              <w:rPr>
                <w:sz w:val="20"/>
                <w:lang w:val="en-US"/>
              </w:rPr>
              <w:t xml:space="preserve">The RU indices </w:t>
            </w:r>
            <w:r w:rsidRPr="00572EE8">
              <w:rPr>
                <w:i/>
                <w:iCs/>
                <w:sz w:val="20"/>
                <w:lang w:val="en-US"/>
              </w:rPr>
              <w:t>ruidx</w:t>
            </w:r>
            <w:r w:rsidRPr="00572EE8">
              <w:rPr>
                <w:sz w:val="20"/>
                <w:lang w:val="en-US"/>
              </w:rPr>
              <w:t xml:space="preserve">(0) and </w:t>
            </w:r>
            <w:r w:rsidRPr="00572EE8">
              <w:rPr>
                <w:i/>
                <w:iCs/>
                <w:sz w:val="20"/>
                <w:lang w:val="en-US"/>
              </w:rPr>
              <w:t>ruidx</w:t>
            </w:r>
            <w:r w:rsidRPr="00572EE8">
              <w:rPr>
                <w:sz w:val="20"/>
                <w:lang w:val="en-US"/>
              </w:rPr>
              <w:t>(</w:t>
            </w:r>
            <w:r w:rsidRPr="00572EE8">
              <w:rPr>
                <w:i/>
                <w:iCs/>
                <w:sz w:val="20"/>
                <w:lang w:val="en-US"/>
              </w:rPr>
              <w:t xml:space="preserve">Ncqi </w:t>
            </w:r>
            <w:r w:rsidRPr="00572EE8">
              <w:rPr>
                <w:sz w:val="20"/>
                <w:lang w:val="en-US"/>
              </w:rPr>
              <w:t xml:space="preserve">- 1) </w:t>
            </w:r>
            <w:r w:rsidR="00082101" w:rsidRPr="00572EE8">
              <w:rPr>
                <w:sz w:val="20"/>
                <w:lang w:val="en-US"/>
              </w:rPr>
              <w:t>are equal</w:t>
            </w:r>
            <w:r w:rsidRPr="00572EE8">
              <w:rPr>
                <w:sz w:val="20"/>
                <w:lang w:val="en-US"/>
              </w:rPr>
              <w:t xml:space="preserve"> to the RU Start Index and RU End Index subfields, respectively. The RU index </w:t>
            </w:r>
            <w:r w:rsidRPr="00572EE8">
              <w:rPr>
                <w:i/>
                <w:iCs/>
                <w:sz w:val="20"/>
                <w:lang w:val="en-US"/>
              </w:rPr>
              <w:t>ruidx</w:t>
            </w:r>
            <w:r w:rsidRPr="00572EE8">
              <w:rPr>
                <w:sz w:val="20"/>
                <w:lang w:val="en-US"/>
              </w:rPr>
              <w:t>(</w:t>
            </w:r>
            <w:r w:rsidRPr="00572EE8">
              <w:rPr>
                <w:i/>
                <w:iCs/>
                <w:sz w:val="20"/>
                <w:lang w:val="en-US"/>
              </w:rPr>
              <w:t>i</w:t>
            </w:r>
            <w:r w:rsidRPr="00572EE8">
              <w:rPr>
                <w:sz w:val="20"/>
                <w:lang w:val="en-US"/>
              </w:rPr>
              <w:t xml:space="preserve">) = </w:t>
            </w:r>
            <w:r w:rsidRPr="00572EE8">
              <w:rPr>
                <w:i/>
                <w:iCs/>
                <w:sz w:val="20"/>
                <w:lang w:val="en-US"/>
              </w:rPr>
              <w:t>ruidx</w:t>
            </w:r>
            <w:r w:rsidRPr="00572EE8">
              <w:rPr>
                <w:sz w:val="20"/>
                <w:lang w:val="en-US"/>
              </w:rPr>
              <w:t>(</w:t>
            </w:r>
            <w:r w:rsidRPr="00572EE8">
              <w:rPr>
                <w:i/>
                <w:iCs/>
                <w:sz w:val="20"/>
                <w:lang w:val="en-US"/>
              </w:rPr>
              <w:t xml:space="preserve">i </w:t>
            </w:r>
            <w:r w:rsidRPr="00572EE8">
              <w:rPr>
                <w:sz w:val="20"/>
                <w:lang w:val="en-US"/>
              </w:rPr>
              <w:t xml:space="preserve">- 1) + 1, where 1 ≤ </w:t>
            </w:r>
            <w:r w:rsidRPr="00572EE8">
              <w:rPr>
                <w:i/>
                <w:iCs/>
                <w:sz w:val="20"/>
                <w:lang w:val="en-US"/>
              </w:rPr>
              <w:t xml:space="preserve">i </w:t>
            </w:r>
            <w:r w:rsidRPr="00572EE8">
              <w:rPr>
                <w:sz w:val="20"/>
                <w:lang w:val="en-US"/>
              </w:rPr>
              <w:t xml:space="preserve">≤ </w:t>
            </w:r>
            <w:r w:rsidRPr="00572EE8">
              <w:rPr>
                <w:i/>
                <w:iCs/>
                <w:sz w:val="20"/>
                <w:lang w:val="en-US"/>
              </w:rPr>
              <w:t xml:space="preserve">Ncqi </w:t>
            </w:r>
            <w:r w:rsidRPr="00572EE8">
              <w:rPr>
                <w:sz w:val="20"/>
                <w:lang w:val="en-US"/>
              </w:rPr>
              <w:t>- 2.</w:t>
            </w:r>
          </w:p>
          <w:p w14:paraId="6D4C36A4" w14:textId="2D6D9047" w:rsidR="00082101" w:rsidRPr="00572EE8" w:rsidRDefault="00082101" w:rsidP="00A67754">
            <w:pPr>
              <w:spacing w:line="276" w:lineRule="auto"/>
              <w:jc w:val="both"/>
              <w:rPr>
                <w:sz w:val="20"/>
              </w:rPr>
            </w:pPr>
            <w:r w:rsidRPr="00572EE8">
              <w:rPr>
                <w:sz w:val="20"/>
              </w:rPr>
              <w:t>As seen above, the values for ruidx(0) and ruidx(Ncqi-1) are explicitly mapped while other values are derived from the equation.</w:t>
            </w:r>
          </w:p>
        </w:tc>
      </w:tr>
      <w:tr w:rsidR="00A67754" w:rsidRPr="00572EE8" w14:paraId="389C40F9" w14:textId="77777777" w:rsidTr="002F1C40">
        <w:trPr>
          <w:trHeight w:val="336"/>
        </w:trPr>
        <w:tc>
          <w:tcPr>
            <w:tcW w:w="787" w:type="dxa"/>
            <w:shd w:val="clear" w:color="auto" w:fill="auto"/>
          </w:tcPr>
          <w:p w14:paraId="3FF45A12" w14:textId="1E9ABA6A" w:rsidR="00A67754" w:rsidRPr="00572EE8" w:rsidRDefault="00A67754" w:rsidP="00A67754">
            <w:pPr>
              <w:spacing w:line="276" w:lineRule="auto"/>
              <w:jc w:val="both"/>
              <w:rPr>
                <w:sz w:val="20"/>
                <w:lang w:val="en-US"/>
              </w:rPr>
            </w:pPr>
            <w:r w:rsidRPr="00572EE8">
              <w:rPr>
                <w:sz w:val="20"/>
                <w:lang w:val="en-US"/>
              </w:rPr>
              <w:t>12766</w:t>
            </w:r>
          </w:p>
        </w:tc>
        <w:tc>
          <w:tcPr>
            <w:tcW w:w="810" w:type="dxa"/>
            <w:shd w:val="clear" w:color="auto" w:fill="auto"/>
          </w:tcPr>
          <w:p w14:paraId="1C303311" w14:textId="311E8AE1" w:rsidR="00A67754" w:rsidRPr="00572EE8" w:rsidRDefault="00A67754" w:rsidP="00A67754">
            <w:pPr>
              <w:spacing w:line="276" w:lineRule="auto"/>
              <w:jc w:val="both"/>
              <w:rPr>
                <w:sz w:val="20"/>
                <w:lang w:val="en-US"/>
              </w:rPr>
            </w:pPr>
            <w:r w:rsidRPr="00572EE8">
              <w:rPr>
                <w:sz w:val="20"/>
                <w:lang w:val="en-US"/>
              </w:rPr>
              <w:t>9.4.1.65</w:t>
            </w:r>
          </w:p>
        </w:tc>
        <w:tc>
          <w:tcPr>
            <w:tcW w:w="720" w:type="dxa"/>
            <w:shd w:val="clear" w:color="auto" w:fill="auto"/>
          </w:tcPr>
          <w:p w14:paraId="0023D471" w14:textId="40C1D811" w:rsidR="00A67754" w:rsidRPr="00572EE8" w:rsidRDefault="00A67754" w:rsidP="00A67754">
            <w:pPr>
              <w:spacing w:line="276" w:lineRule="auto"/>
              <w:jc w:val="both"/>
              <w:rPr>
                <w:sz w:val="20"/>
                <w:lang w:val="en-US"/>
              </w:rPr>
            </w:pPr>
            <w:r w:rsidRPr="00572EE8">
              <w:rPr>
                <w:sz w:val="20"/>
                <w:lang w:val="en-US"/>
              </w:rPr>
              <w:t>116.54</w:t>
            </w:r>
          </w:p>
        </w:tc>
        <w:tc>
          <w:tcPr>
            <w:tcW w:w="3048" w:type="dxa"/>
            <w:shd w:val="clear" w:color="auto" w:fill="auto"/>
          </w:tcPr>
          <w:p w14:paraId="7999AE8A" w14:textId="540A39FA" w:rsidR="00A67754" w:rsidRPr="00572EE8" w:rsidRDefault="00A67754" w:rsidP="00A67754">
            <w:pPr>
              <w:spacing w:line="276" w:lineRule="auto"/>
              <w:jc w:val="both"/>
              <w:rPr>
                <w:sz w:val="20"/>
              </w:rPr>
            </w:pPr>
            <w:r w:rsidRPr="00572EE8">
              <w:rPr>
                <w:sz w:val="20"/>
              </w:rPr>
              <w:t>"Ncqi is a</w:t>
            </w:r>
            <w:r w:rsidRPr="00572EE8">
              <w:rPr>
                <w:sz w:val="20"/>
              </w:rPr>
              <w:br/>
              <w:t>function of the RU Start Index and RU End Index subfields in the HE MIMO Control field." -- the function needs to be specified</w:t>
            </w:r>
          </w:p>
        </w:tc>
        <w:tc>
          <w:tcPr>
            <w:tcW w:w="2409" w:type="dxa"/>
            <w:shd w:val="clear" w:color="auto" w:fill="auto"/>
          </w:tcPr>
          <w:p w14:paraId="17C9ECE2" w14:textId="275F177E" w:rsidR="00A67754" w:rsidRPr="00572EE8" w:rsidRDefault="00A67754" w:rsidP="00A67754">
            <w:pPr>
              <w:spacing w:line="276" w:lineRule="auto"/>
              <w:jc w:val="both"/>
              <w:rPr>
                <w:sz w:val="20"/>
              </w:rPr>
            </w:pPr>
            <w:r w:rsidRPr="00572EE8">
              <w:rPr>
                <w:sz w:val="20"/>
              </w:rPr>
              <w:t>State that Ncqi = RU End - RU Start + 1</w:t>
            </w:r>
          </w:p>
        </w:tc>
        <w:tc>
          <w:tcPr>
            <w:tcW w:w="3453" w:type="dxa"/>
            <w:shd w:val="clear" w:color="auto" w:fill="auto"/>
            <w:vAlign w:val="center"/>
          </w:tcPr>
          <w:p w14:paraId="6FC24CA1" w14:textId="5D16C630" w:rsidR="00A67754" w:rsidRPr="00572EE8" w:rsidRDefault="00263248" w:rsidP="00A67754">
            <w:pPr>
              <w:spacing w:line="276" w:lineRule="auto"/>
              <w:jc w:val="both"/>
              <w:rPr>
                <w:sz w:val="20"/>
              </w:rPr>
            </w:pPr>
            <w:r w:rsidRPr="00572EE8">
              <w:rPr>
                <w:sz w:val="20"/>
              </w:rPr>
              <w:t>Revised—</w:t>
            </w:r>
          </w:p>
          <w:p w14:paraId="5A718C9E" w14:textId="77777777" w:rsidR="00263248" w:rsidRPr="00572EE8" w:rsidRDefault="00263248" w:rsidP="00A67754">
            <w:pPr>
              <w:spacing w:line="276" w:lineRule="auto"/>
              <w:jc w:val="both"/>
              <w:rPr>
                <w:sz w:val="20"/>
              </w:rPr>
            </w:pPr>
            <w:r w:rsidRPr="00572EE8">
              <w:rPr>
                <w:sz w:val="20"/>
              </w:rPr>
              <w:t>Agree with the comment. Necessary text changes are made.</w:t>
            </w:r>
          </w:p>
          <w:p w14:paraId="4753ADB9" w14:textId="77777777" w:rsidR="003D70A5" w:rsidRPr="00572EE8" w:rsidRDefault="003D70A5" w:rsidP="00A67754">
            <w:pPr>
              <w:spacing w:line="276" w:lineRule="auto"/>
              <w:jc w:val="both"/>
              <w:rPr>
                <w:sz w:val="20"/>
              </w:rPr>
            </w:pPr>
          </w:p>
          <w:p w14:paraId="389148A2" w14:textId="6ADE5FD3" w:rsidR="00263248" w:rsidRPr="00572EE8" w:rsidRDefault="00263248" w:rsidP="00A67754">
            <w:pPr>
              <w:spacing w:line="276" w:lineRule="auto"/>
              <w:jc w:val="both"/>
              <w:rPr>
                <w:sz w:val="20"/>
              </w:rPr>
            </w:pPr>
            <w:r w:rsidRPr="00572EE8">
              <w:rPr>
                <w:sz w:val="20"/>
              </w:rPr>
              <w:t>TGax Editor to make the changes for CID12766 as suggested in proposed resolution in IEEE 802.11-18/0</w:t>
            </w:r>
            <w:r w:rsidR="0035010D">
              <w:rPr>
                <w:sz w:val="20"/>
              </w:rPr>
              <w:t>725</w:t>
            </w:r>
            <w:r w:rsidRPr="00572EE8">
              <w:rPr>
                <w:sz w:val="20"/>
              </w:rPr>
              <w:t>r0</w:t>
            </w:r>
          </w:p>
        </w:tc>
      </w:tr>
      <w:tr w:rsidR="00081FF2" w:rsidRPr="00572EE8" w14:paraId="5668E280" w14:textId="77777777" w:rsidTr="002F1C40">
        <w:trPr>
          <w:trHeight w:val="336"/>
        </w:trPr>
        <w:tc>
          <w:tcPr>
            <w:tcW w:w="787" w:type="dxa"/>
            <w:shd w:val="clear" w:color="auto" w:fill="auto"/>
          </w:tcPr>
          <w:p w14:paraId="5C5F68EB" w14:textId="548C99B9" w:rsidR="00081FF2" w:rsidRPr="00572EE8" w:rsidRDefault="00081FF2" w:rsidP="00081FF2">
            <w:pPr>
              <w:spacing w:line="276" w:lineRule="auto"/>
              <w:jc w:val="both"/>
              <w:rPr>
                <w:sz w:val="20"/>
                <w:lang w:val="en-US"/>
              </w:rPr>
            </w:pPr>
            <w:r w:rsidRPr="00572EE8">
              <w:rPr>
                <w:sz w:val="20"/>
                <w:lang w:val="en-US"/>
              </w:rPr>
              <w:t>12780</w:t>
            </w:r>
          </w:p>
        </w:tc>
        <w:tc>
          <w:tcPr>
            <w:tcW w:w="810" w:type="dxa"/>
            <w:shd w:val="clear" w:color="auto" w:fill="auto"/>
          </w:tcPr>
          <w:p w14:paraId="5348DA68" w14:textId="7F644BC4" w:rsidR="00081FF2" w:rsidRPr="00572EE8" w:rsidRDefault="00081FF2" w:rsidP="00081FF2">
            <w:pPr>
              <w:spacing w:line="276" w:lineRule="auto"/>
              <w:jc w:val="both"/>
              <w:rPr>
                <w:sz w:val="20"/>
                <w:lang w:val="en-US"/>
              </w:rPr>
            </w:pPr>
            <w:r w:rsidRPr="00572EE8">
              <w:rPr>
                <w:sz w:val="20"/>
                <w:lang w:val="en-US"/>
              </w:rPr>
              <w:t>9.4.1.65</w:t>
            </w:r>
          </w:p>
        </w:tc>
        <w:tc>
          <w:tcPr>
            <w:tcW w:w="720" w:type="dxa"/>
            <w:shd w:val="clear" w:color="auto" w:fill="auto"/>
          </w:tcPr>
          <w:p w14:paraId="2CEFBC39" w14:textId="3366360F" w:rsidR="00081FF2" w:rsidRPr="00572EE8" w:rsidRDefault="00081FF2" w:rsidP="00081FF2">
            <w:pPr>
              <w:spacing w:line="276" w:lineRule="auto"/>
              <w:jc w:val="both"/>
              <w:rPr>
                <w:sz w:val="20"/>
                <w:lang w:val="en-US"/>
              </w:rPr>
            </w:pPr>
            <w:r w:rsidRPr="00572EE8">
              <w:rPr>
                <w:sz w:val="20"/>
                <w:lang w:val="en-US"/>
              </w:rPr>
              <w:t>116.53</w:t>
            </w:r>
          </w:p>
        </w:tc>
        <w:tc>
          <w:tcPr>
            <w:tcW w:w="3048" w:type="dxa"/>
            <w:shd w:val="clear" w:color="auto" w:fill="auto"/>
          </w:tcPr>
          <w:p w14:paraId="04149487" w14:textId="38D184A1" w:rsidR="00081FF2" w:rsidRPr="00572EE8" w:rsidRDefault="00081FF2" w:rsidP="00081FF2">
            <w:pPr>
              <w:spacing w:line="276" w:lineRule="auto"/>
              <w:jc w:val="both"/>
              <w:rPr>
                <w:sz w:val="20"/>
              </w:rPr>
            </w:pPr>
            <w:r w:rsidRPr="00572EE8">
              <w:rPr>
                <w:sz w:val="20"/>
              </w:rPr>
              <w:t>The rules for Ncqi do not cover the 80+80/160 case (unlike the rules for Ns for non-CQI-only feedback)</w:t>
            </w:r>
          </w:p>
        </w:tc>
        <w:tc>
          <w:tcPr>
            <w:tcW w:w="2409" w:type="dxa"/>
            <w:shd w:val="clear" w:color="auto" w:fill="auto"/>
          </w:tcPr>
          <w:p w14:paraId="2492ACE7" w14:textId="58D9E9E8" w:rsidR="00081FF2" w:rsidRPr="00572EE8" w:rsidRDefault="00081FF2" w:rsidP="00081FF2">
            <w:pPr>
              <w:spacing w:line="276" w:lineRule="auto"/>
              <w:jc w:val="both"/>
              <w:rPr>
                <w:sz w:val="20"/>
              </w:rPr>
            </w:pPr>
            <w:r w:rsidRPr="00572EE8">
              <w:rPr>
                <w:sz w:val="20"/>
              </w:rPr>
              <w:t>Give the rules for Ncqi for 80+80 and 160</w:t>
            </w:r>
          </w:p>
        </w:tc>
        <w:tc>
          <w:tcPr>
            <w:tcW w:w="3453" w:type="dxa"/>
            <w:shd w:val="clear" w:color="auto" w:fill="auto"/>
            <w:vAlign w:val="center"/>
          </w:tcPr>
          <w:p w14:paraId="304A43EE" w14:textId="668F5340" w:rsidR="00081FF2" w:rsidRPr="00572EE8" w:rsidRDefault="00081FF2" w:rsidP="00081FF2">
            <w:pPr>
              <w:spacing w:line="276" w:lineRule="auto"/>
              <w:jc w:val="both"/>
              <w:rPr>
                <w:sz w:val="20"/>
              </w:rPr>
            </w:pPr>
            <w:r w:rsidRPr="00572EE8">
              <w:rPr>
                <w:sz w:val="20"/>
              </w:rPr>
              <w:t>Reject—</w:t>
            </w:r>
          </w:p>
          <w:p w14:paraId="54218A54" w14:textId="77777777" w:rsidR="00081FF2" w:rsidRPr="00572EE8" w:rsidRDefault="00081FF2" w:rsidP="00081FF2">
            <w:pPr>
              <w:spacing w:line="276" w:lineRule="auto"/>
              <w:jc w:val="both"/>
              <w:rPr>
                <w:sz w:val="20"/>
              </w:rPr>
            </w:pPr>
            <w:r w:rsidRPr="00572EE8">
              <w:rPr>
                <w:sz w:val="20"/>
              </w:rPr>
              <w:t xml:space="preserve">RU Start Index and RU End Index subfield values for 160/80+80 MHz are defined (see Partial BW Info subfield in NDP Announcement frame). </w:t>
            </w:r>
          </w:p>
          <w:p w14:paraId="29FFD3B0" w14:textId="71800AF4" w:rsidR="00081FF2" w:rsidRPr="00572EE8" w:rsidRDefault="00081FF2" w:rsidP="00081FF2">
            <w:pPr>
              <w:spacing w:line="276" w:lineRule="auto"/>
              <w:jc w:val="both"/>
              <w:rPr>
                <w:sz w:val="20"/>
              </w:rPr>
            </w:pPr>
            <w:r w:rsidRPr="00572EE8">
              <w:rPr>
                <w:sz w:val="20"/>
              </w:rPr>
              <w:t xml:space="preserve">The ruidx(i) = ruidx(i-1) +1, where </w:t>
            </w:r>
            <m:oMath>
              <m:r>
                <w:rPr>
                  <w:rFonts w:ascii="Cambria Math" w:hAnsi="Cambria Math"/>
                  <w:sz w:val="20"/>
                </w:rPr>
                <m:t>1≤i≤Ncqi-2</m:t>
              </m:r>
            </m:oMath>
            <w:r w:rsidRPr="00572EE8">
              <w:rPr>
                <w:sz w:val="20"/>
              </w:rPr>
              <w:t xml:space="preserve">, generates the </w:t>
            </w:r>
            <w:r w:rsidR="004066AC" w:rsidRPr="00572EE8">
              <w:rPr>
                <w:sz w:val="20"/>
              </w:rPr>
              <w:t xml:space="preserve">26-tone </w:t>
            </w:r>
            <w:r w:rsidRPr="00572EE8">
              <w:rPr>
                <w:sz w:val="20"/>
              </w:rPr>
              <w:t>RU indices</w:t>
            </w:r>
            <w:r w:rsidR="004066AC" w:rsidRPr="00572EE8">
              <w:rPr>
                <w:sz w:val="20"/>
              </w:rPr>
              <w:t>.</w:t>
            </w:r>
            <w:r w:rsidRPr="00572EE8">
              <w:rPr>
                <w:sz w:val="20"/>
              </w:rPr>
              <w:t xml:space="preserve"> </w:t>
            </w:r>
          </w:p>
        </w:tc>
      </w:tr>
      <w:tr w:rsidR="00E16982" w:rsidRPr="00572EE8" w14:paraId="7C106C65" w14:textId="77777777" w:rsidTr="002F1C40">
        <w:trPr>
          <w:trHeight w:val="336"/>
        </w:trPr>
        <w:tc>
          <w:tcPr>
            <w:tcW w:w="787" w:type="dxa"/>
            <w:shd w:val="clear" w:color="auto" w:fill="auto"/>
          </w:tcPr>
          <w:p w14:paraId="222FDF41" w14:textId="5EB124B6" w:rsidR="00E16982" w:rsidRPr="00572EE8" w:rsidRDefault="00E16982" w:rsidP="00E16982">
            <w:pPr>
              <w:spacing w:line="276" w:lineRule="auto"/>
              <w:jc w:val="both"/>
              <w:rPr>
                <w:sz w:val="20"/>
                <w:lang w:val="en-US"/>
              </w:rPr>
            </w:pPr>
            <w:r w:rsidRPr="00572EE8">
              <w:rPr>
                <w:sz w:val="20"/>
                <w:lang w:val="en-US"/>
              </w:rPr>
              <w:lastRenderedPageBreak/>
              <w:t>12786</w:t>
            </w:r>
          </w:p>
        </w:tc>
        <w:tc>
          <w:tcPr>
            <w:tcW w:w="810" w:type="dxa"/>
            <w:shd w:val="clear" w:color="auto" w:fill="auto"/>
          </w:tcPr>
          <w:p w14:paraId="2194766A" w14:textId="681571CC" w:rsidR="00E16982" w:rsidRPr="00572EE8" w:rsidRDefault="00E16982" w:rsidP="00E16982">
            <w:pPr>
              <w:spacing w:line="276" w:lineRule="auto"/>
              <w:jc w:val="both"/>
              <w:rPr>
                <w:sz w:val="20"/>
                <w:lang w:val="en-US"/>
              </w:rPr>
            </w:pPr>
            <w:r w:rsidRPr="00572EE8">
              <w:rPr>
                <w:sz w:val="20"/>
                <w:lang w:val="en-US"/>
              </w:rPr>
              <w:t>9.4.1.63</w:t>
            </w:r>
          </w:p>
        </w:tc>
        <w:tc>
          <w:tcPr>
            <w:tcW w:w="720" w:type="dxa"/>
            <w:shd w:val="clear" w:color="auto" w:fill="auto"/>
          </w:tcPr>
          <w:p w14:paraId="578F8404" w14:textId="6C441DE5" w:rsidR="00E16982" w:rsidRPr="00572EE8" w:rsidRDefault="00E16982" w:rsidP="00E16982">
            <w:pPr>
              <w:spacing w:line="276" w:lineRule="auto"/>
              <w:jc w:val="both"/>
              <w:rPr>
                <w:sz w:val="20"/>
                <w:lang w:val="en-US"/>
              </w:rPr>
            </w:pPr>
            <w:r w:rsidRPr="00572EE8">
              <w:rPr>
                <w:sz w:val="20"/>
                <w:lang w:val="en-US"/>
              </w:rPr>
              <w:t>110.21</w:t>
            </w:r>
          </w:p>
        </w:tc>
        <w:tc>
          <w:tcPr>
            <w:tcW w:w="3048" w:type="dxa"/>
            <w:shd w:val="clear" w:color="auto" w:fill="auto"/>
          </w:tcPr>
          <w:p w14:paraId="37C8808B" w14:textId="1223D100" w:rsidR="00E16982" w:rsidRPr="00572EE8" w:rsidRDefault="00E16982" w:rsidP="00E16982">
            <w:pPr>
              <w:spacing w:line="276" w:lineRule="auto"/>
              <w:jc w:val="both"/>
              <w:rPr>
                <w:sz w:val="20"/>
              </w:rPr>
            </w:pPr>
            <w:r w:rsidRPr="00572EE8">
              <w:rPr>
                <w:sz w:val="20"/>
              </w:rPr>
              <w:t>"(S, E) for 80 MHz" is unclear, especially when the RU index is different (e.g. at 110.62)</w:t>
            </w:r>
          </w:p>
        </w:tc>
        <w:tc>
          <w:tcPr>
            <w:tcW w:w="2409" w:type="dxa"/>
            <w:shd w:val="clear" w:color="auto" w:fill="auto"/>
          </w:tcPr>
          <w:p w14:paraId="21F82E56" w14:textId="0315B59C" w:rsidR="00E16982" w:rsidRPr="00572EE8" w:rsidRDefault="00E16982" w:rsidP="00E16982">
            <w:pPr>
              <w:spacing w:line="276" w:lineRule="auto"/>
              <w:jc w:val="both"/>
              <w:rPr>
                <w:sz w:val="20"/>
              </w:rPr>
            </w:pPr>
            <w:r w:rsidRPr="00572EE8">
              <w:rPr>
                <w:sz w:val="20"/>
              </w:rPr>
              <w:t>Just give the value directly</w:t>
            </w:r>
          </w:p>
        </w:tc>
        <w:tc>
          <w:tcPr>
            <w:tcW w:w="3453" w:type="dxa"/>
            <w:shd w:val="clear" w:color="auto" w:fill="auto"/>
            <w:vAlign w:val="center"/>
          </w:tcPr>
          <w:p w14:paraId="58A25600" w14:textId="72632061" w:rsidR="00E16982" w:rsidRPr="00572EE8" w:rsidRDefault="00E16982" w:rsidP="00E16982">
            <w:pPr>
              <w:spacing w:line="276" w:lineRule="auto"/>
              <w:jc w:val="both"/>
              <w:rPr>
                <w:sz w:val="20"/>
              </w:rPr>
            </w:pPr>
            <w:r w:rsidRPr="00572EE8">
              <w:rPr>
                <w:sz w:val="20"/>
              </w:rPr>
              <w:t>Reject—</w:t>
            </w:r>
          </w:p>
          <w:p w14:paraId="49166AEA" w14:textId="46C3388C" w:rsidR="00E16982" w:rsidRPr="00572EE8" w:rsidRDefault="00E16982" w:rsidP="00E16982">
            <w:pPr>
              <w:spacing w:line="276" w:lineRule="auto"/>
              <w:jc w:val="both"/>
              <w:rPr>
                <w:sz w:val="20"/>
              </w:rPr>
            </w:pPr>
            <w:r w:rsidRPr="00572EE8">
              <w:rPr>
                <w:sz w:val="20"/>
              </w:rPr>
              <w:t xml:space="preserve">Formulation rather than exact values was used to reduce chances of error while writing the specification and while implementing. </w:t>
            </w:r>
          </w:p>
        </w:tc>
      </w:tr>
      <w:tr w:rsidR="00E16982" w:rsidRPr="00572EE8" w14:paraId="24093169" w14:textId="77777777" w:rsidTr="002F1C40">
        <w:trPr>
          <w:trHeight w:val="336"/>
        </w:trPr>
        <w:tc>
          <w:tcPr>
            <w:tcW w:w="787" w:type="dxa"/>
            <w:shd w:val="clear" w:color="auto" w:fill="auto"/>
          </w:tcPr>
          <w:p w14:paraId="65B82B2D" w14:textId="0E12577B" w:rsidR="00E16982" w:rsidRPr="00572EE8" w:rsidRDefault="00E16982" w:rsidP="00E16982">
            <w:pPr>
              <w:spacing w:line="276" w:lineRule="auto"/>
              <w:jc w:val="both"/>
              <w:rPr>
                <w:sz w:val="20"/>
                <w:lang w:val="en-US"/>
              </w:rPr>
            </w:pPr>
            <w:r w:rsidRPr="00572EE8">
              <w:rPr>
                <w:sz w:val="20"/>
                <w:lang w:val="en-US"/>
              </w:rPr>
              <w:t>12787</w:t>
            </w:r>
          </w:p>
        </w:tc>
        <w:tc>
          <w:tcPr>
            <w:tcW w:w="810" w:type="dxa"/>
            <w:shd w:val="clear" w:color="auto" w:fill="auto"/>
          </w:tcPr>
          <w:p w14:paraId="655D4F3D" w14:textId="47C3AAE5" w:rsidR="00E16982" w:rsidRPr="00572EE8" w:rsidRDefault="00E16982" w:rsidP="00E16982">
            <w:pPr>
              <w:spacing w:line="276" w:lineRule="auto"/>
              <w:jc w:val="both"/>
              <w:rPr>
                <w:sz w:val="20"/>
                <w:lang w:val="en-US"/>
              </w:rPr>
            </w:pPr>
            <w:r w:rsidRPr="00572EE8">
              <w:rPr>
                <w:sz w:val="20"/>
                <w:lang w:val="en-US"/>
              </w:rPr>
              <w:t>9.4.1.63</w:t>
            </w:r>
          </w:p>
        </w:tc>
        <w:tc>
          <w:tcPr>
            <w:tcW w:w="720" w:type="dxa"/>
            <w:shd w:val="clear" w:color="auto" w:fill="auto"/>
          </w:tcPr>
          <w:p w14:paraId="47B5B498" w14:textId="1E0F16AD" w:rsidR="00E16982" w:rsidRPr="00572EE8" w:rsidRDefault="00E16982" w:rsidP="00E16982">
            <w:pPr>
              <w:spacing w:line="276" w:lineRule="auto"/>
              <w:jc w:val="both"/>
              <w:rPr>
                <w:sz w:val="20"/>
                <w:lang w:val="en-US"/>
              </w:rPr>
            </w:pPr>
            <w:r w:rsidRPr="00572EE8">
              <w:rPr>
                <w:sz w:val="20"/>
                <w:lang w:val="en-US"/>
              </w:rPr>
              <w:t>112.1</w:t>
            </w:r>
          </w:p>
        </w:tc>
        <w:tc>
          <w:tcPr>
            <w:tcW w:w="3048" w:type="dxa"/>
            <w:shd w:val="clear" w:color="auto" w:fill="auto"/>
          </w:tcPr>
          <w:p w14:paraId="20DE1877" w14:textId="5293B2AF" w:rsidR="00E16982" w:rsidRPr="00572EE8" w:rsidRDefault="00E16982" w:rsidP="00E16982">
            <w:pPr>
              <w:spacing w:line="276" w:lineRule="auto"/>
              <w:jc w:val="both"/>
              <w:rPr>
                <w:sz w:val="20"/>
              </w:rPr>
            </w:pPr>
            <w:r w:rsidRPr="00572EE8">
              <w:rPr>
                <w:sz w:val="20"/>
              </w:rPr>
              <w:t>"(S, E) for 80 MHz" is unclear, especially when the RU index is different (e.g. at 112.41)</w:t>
            </w:r>
          </w:p>
        </w:tc>
        <w:tc>
          <w:tcPr>
            <w:tcW w:w="2409" w:type="dxa"/>
            <w:shd w:val="clear" w:color="auto" w:fill="auto"/>
          </w:tcPr>
          <w:p w14:paraId="035D60A1" w14:textId="073AC369" w:rsidR="00E16982" w:rsidRPr="00572EE8" w:rsidRDefault="00E16982" w:rsidP="00E16982">
            <w:pPr>
              <w:spacing w:line="276" w:lineRule="auto"/>
              <w:jc w:val="both"/>
              <w:rPr>
                <w:sz w:val="20"/>
              </w:rPr>
            </w:pPr>
            <w:r w:rsidRPr="00572EE8">
              <w:rPr>
                <w:sz w:val="20"/>
              </w:rPr>
              <w:t>Just give the value directly</w:t>
            </w:r>
          </w:p>
        </w:tc>
        <w:tc>
          <w:tcPr>
            <w:tcW w:w="3453" w:type="dxa"/>
            <w:shd w:val="clear" w:color="auto" w:fill="auto"/>
            <w:vAlign w:val="center"/>
          </w:tcPr>
          <w:p w14:paraId="7C84CEF7" w14:textId="77777777" w:rsidR="00E16982" w:rsidRPr="00572EE8" w:rsidRDefault="00E16982" w:rsidP="00E16982">
            <w:pPr>
              <w:spacing w:line="276" w:lineRule="auto"/>
              <w:jc w:val="both"/>
              <w:rPr>
                <w:sz w:val="20"/>
              </w:rPr>
            </w:pPr>
            <w:r w:rsidRPr="00572EE8">
              <w:rPr>
                <w:sz w:val="20"/>
              </w:rPr>
              <w:t>Reject—</w:t>
            </w:r>
          </w:p>
          <w:p w14:paraId="3050BA56" w14:textId="0E04C5A1" w:rsidR="00E16982" w:rsidRPr="00572EE8" w:rsidRDefault="00E16982" w:rsidP="00E16982">
            <w:pPr>
              <w:spacing w:line="276" w:lineRule="auto"/>
              <w:jc w:val="both"/>
              <w:rPr>
                <w:sz w:val="20"/>
              </w:rPr>
            </w:pPr>
            <w:r w:rsidRPr="00572EE8">
              <w:rPr>
                <w:sz w:val="20"/>
              </w:rPr>
              <w:t>Formulation rather than exact values was used to reduce chances of error while writing the specification and while implementing.</w:t>
            </w:r>
          </w:p>
        </w:tc>
      </w:tr>
      <w:tr w:rsidR="00A86E6A" w:rsidRPr="00572EE8" w14:paraId="1EA8F777" w14:textId="77777777" w:rsidTr="002F1C40">
        <w:trPr>
          <w:trHeight w:val="336"/>
        </w:trPr>
        <w:tc>
          <w:tcPr>
            <w:tcW w:w="787" w:type="dxa"/>
            <w:shd w:val="clear" w:color="auto" w:fill="auto"/>
          </w:tcPr>
          <w:p w14:paraId="33C9E269" w14:textId="32133B7A" w:rsidR="00A86E6A" w:rsidRPr="00572EE8" w:rsidRDefault="00A86E6A" w:rsidP="00A86E6A">
            <w:pPr>
              <w:spacing w:line="276" w:lineRule="auto"/>
              <w:jc w:val="both"/>
              <w:rPr>
                <w:sz w:val="20"/>
                <w:lang w:val="en-US"/>
              </w:rPr>
            </w:pPr>
            <w:r w:rsidRPr="00572EE8">
              <w:rPr>
                <w:sz w:val="20"/>
                <w:lang w:val="en-US"/>
              </w:rPr>
              <w:t>12812</w:t>
            </w:r>
          </w:p>
        </w:tc>
        <w:tc>
          <w:tcPr>
            <w:tcW w:w="810" w:type="dxa"/>
            <w:shd w:val="clear" w:color="auto" w:fill="auto"/>
          </w:tcPr>
          <w:p w14:paraId="62FFA63E" w14:textId="1BDBA9A2" w:rsidR="00A86E6A" w:rsidRPr="00572EE8" w:rsidRDefault="00A86E6A" w:rsidP="00A86E6A">
            <w:pPr>
              <w:spacing w:line="276" w:lineRule="auto"/>
              <w:jc w:val="both"/>
              <w:rPr>
                <w:sz w:val="20"/>
                <w:lang w:val="en-US"/>
              </w:rPr>
            </w:pPr>
            <w:r w:rsidRPr="00572EE8">
              <w:rPr>
                <w:sz w:val="20"/>
                <w:lang w:val="en-US"/>
              </w:rPr>
              <w:t>9.4.2.237.3</w:t>
            </w:r>
          </w:p>
        </w:tc>
        <w:tc>
          <w:tcPr>
            <w:tcW w:w="720" w:type="dxa"/>
            <w:shd w:val="clear" w:color="auto" w:fill="auto"/>
          </w:tcPr>
          <w:p w14:paraId="04997909" w14:textId="2FD14E2C" w:rsidR="00A86E6A" w:rsidRPr="00572EE8" w:rsidRDefault="00A86E6A" w:rsidP="00A86E6A">
            <w:pPr>
              <w:spacing w:line="276" w:lineRule="auto"/>
              <w:jc w:val="both"/>
              <w:rPr>
                <w:sz w:val="20"/>
                <w:lang w:val="en-US"/>
              </w:rPr>
            </w:pPr>
            <w:r w:rsidRPr="00572EE8">
              <w:rPr>
                <w:sz w:val="20"/>
                <w:lang w:val="en-US"/>
              </w:rPr>
              <w:t>144.37</w:t>
            </w:r>
          </w:p>
        </w:tc>
        <w:tc>
          <w:tcPr>
            <w:tcW w:w="3048" w:type="dxa"/>
            <w:shd w:val="clear" w:color="auto" w:fill="auto"/>
          </w:tcPr>
          <w:p w14:paraId="0EC4FFF3" w14:textId="74A81ABA" w:rsidR="00A86E6A" w:rsidRPr="00572EE8" w:rsidRDefault="00A86E6A" w:rsidP="00A86E6A">
            <w:pPr>
              <w:spacing w:line="276" w:lineRule="auto"/>
              <w:jc w:val="both"/>
              <w:rPr>
                <w:sz w:val="20"/>
              </w:rPr>
            </w:pPr>
            <w:r w:rsidRPr="00572EE8">
              <w:rPr>
                <w:sz w:val="20"/>
              </w:rPr>
              <w:t>There are several issues with the "20 MHz In 40 MHz HE PPDU In 2.4 GHz Band" subfield: "Band" is missing in the 2 instances on p. 140; NOTE 2 on p. 140 duplicates the cell to the left and the information on p. 144 and should be deleted; it is not specified that B4 of the Channel Width Set is reserved when transmitted by an AP; a statement is missing in 28.3.3.5 (or elsewhere) that an AP shall not tx or request tx of a 20 in 40 if the non-AP STA set this field to 0  (cf. last para of 28.3.3.7)</w:t>
            </w:r>
          </w:p>
        </w:tc>
        <w:tc>
          <w:tcPr>
            <w:tcW w:w="2409" w:type="dxa"/>
            <w:shd w:val="clear" w:color="auto" w:fill="auto"/>
          </w:tcPr>
          <w:p w14:paraId="369BD12A" w14:textId="7016554B" w:rsidR="00A86E6A" w:rsidRPr="00572EE8" w:rsidRDefault="00A86E6A" w:rsidP="00A86E6A">
            <w:pPr>
              <w:spacing w:line="276" w:lineRule="auto"/>
              <w:jc w:val="both"/>
              <w:rPr>
                <w:sz w:val="20"/>
              </w:rPr>
            </w:pPr>
            <w:r w:rsidRPr="00572EE8">
              <w:rPr>
                <w:sz w:val="20"/>
              </w:rPr>
              <w:t>As it says in the comment</w:t>
            </w:r>
          </w:p>
        </w:tc>
        <w:tc>
          <w:tcPr>
            <w:tcW w:w="3453" w:type="dxa"/>
            <w:shd w:val="clear" w:color="auto" w:fill="auto"/>
            <w:vAlign w:val="center"/>
          </w:tcPr>
          <w:p w14:paraId="52EA41B8" w14:textId="079F6405" w:rsidR="00A86E6A" w:rsidRPr="00572EE8" w:rsidRDefault="00A86E6A" w:rsidP="00A86E6A">
            <w:pPr>
              <w:spacing w:line="276" w:lineRule="auto"/>
              <w:jc w:val="both"/>
              <w:rPr>
                <w:sz w:val="20"/>
              </w:rPr>
            </w:pPr>
            <w:r w:rsidRPr="00572EE8">
              <w:rPr>
                <w:sz w:val="20"/>
              </w:rPr>
              <w:t>Revised—</w:t>
            </w:r>
          </w:p>
          <w:p w14:paraId="324FE22E" w14:textId="77777777" w:rsidR="00A86E6A" w:rsidRPr="00572EE8" w:rsidRDefault="00A86E6A" w:rsidP="00A86E6A">
            <w:pPr>
              <w:spacing w:line="276" w:lineRule="auto"/>
              <w:jc w:val="both"/>
              <w:rPr>
                <w:sz w:val="20"/>
              </w:rPr>
            </w:pPr>
            <w:r w:rsidRPr="00572EE8">
              <w:rPr>
                <w:sz w:val="20"/>
              </w:rPr>
              <w:t>The following is the breakdown of multiple comments in this CID.</w:t>
            </w:r>
          </w:p>
          <w:p w14:paraId="6E3C9410" w14:textId="77777777" w:rsidR="00A86E6A" w:rsidRPr="00572EE8" w:rsidRDefault="00A86E6A" w:rsidP="00A86E6A">
            <w:pPr>
              <w:pStyle w:val="ListParagraph"/>
              <w:numPr>
                <w:ilvl w:val="0"/>
                <w:numId w:val="43"/>
              </w:numPr>
              <w:spacing w:line="276" w:lineRule="auto"/>
              <w:ind w:leftChars="0"/>
              <w:jc w:val="both"/>
              <w:rPr>
                <w:sz w:val="20"/>
              </w:rPr>
            </w:pPr>
            <w:r w:rsidRPr="00572EE8">
              <w:rPr>
                <w:sz w:val="20"/>
              </w:rPr>
              <w:t>Missing “Band” word on Pg.140</w:t>
            </w:r>
            <w:r w:rsidRPr="00572EE8">
              <w:rPr>
                <w:sz w:val="20"/>
              </w:rPr>
              <w:sym w:font="Wingdings" w:char="F0E0"/>
            </w:r>
            <w:r w:rsidRPr="00572EE8">
              <w:rPr>
                <w:sz w:val="20"/>
              </w:rPr>
              <w:t>Added</w:t>
            </w:r>
          </w:p>
          <w:p w14:paraId="2553CBC0" w14:textId="77777777" w:rsidR="00A86E6A" w:rsidRPr="00572EE8" w:rsidRDefault="00A86E6A" w:rsidP="00A86E6A">
            <w:pPr>
              <w:pStyle w:val="ListParagraph"/>
              <w:numPr>
                <w:ilvl w:val="0"/>
                <w:numId w:val="43"/>
              </w:numPr>
              <w:spacing w:line="276" w:lineRule="auto"/>
              <w:ind w:leftChars="0"/>
              <w:jc w:val="both"/>
              <w:rPr>
                <w:sz w:val="20"/>
              </w:rPr>
            </w:pPr>
            <w:r w:rsidRPr="00572EE8">
              <w:rPr>
                <w:sz w:val="20"/>
              </w:rPr>
              <w:t xml:space="preserve">NOTE 2 on Pg. 140 to be deleted </w:t>
            </w:r>
            <w:r w:rsidRPr="00572EE8">
              <w:rPr>
                <w:sz w:val="20"/>
              </w:rPr>
              <w:sym w:font="Wingdings" w:char="F0E0"/>
            </w:r>
            <w:r w:rsidRPr="00572EE8">
              <w:rPr>
                <w:sz w:val="20"/>
              </w:rPr>
              <w:t xml:space="preserve"> It is not an exact duplicate of the cell to the lest on Pg.144. Furthermore, it is useful information regarding B4 bit setting.</w:t>
            </w:r>
          </w:p>
          <w:p w14:paraId="7819AFAF" w14:textId="77777777" w:rsidR="00A86E6A" w:rsidRPr="00572EE8" w:rsidRDefault="00A86E6A" w:rsidP="00A86E6A">
            <w:pPr>
              <w:pStyle w:val="ListParagraph"/>
              <w:numPr>
                <w:ilvl w:val="0"/>
                <w:numId w:val="43"/>
              </w:numPr>
              <w:spacing w:line="276" w:lineRule="auto"/>
              <w:ind w:leftChars="0"/>
              <w:jc w:val="both"/>
              <w:rPr>
                <w:sz w:val="20"/>
              </w:rPr>
            </w:pPr>
            <w:r w:rsidRPr="00572EE8">
              <w:rPr>
                <w:sz w:val="20"/>
              </w:rPr>
              <w:t>Not specified that B4 is reserved for AP</w:t>
            </w:r>
            <w:r w:rsidRPr="00572EE8">
              <w:rPr>
                <w:sz w:val="20"/>
              </w:rPr>
              <w:sym w:font="Wingdings" w:char="F0E0"/>
            </w:r>
            <w:r w:rsidRPr="00572EE8">
              <w:rPr>
                <w:sz w:val="20"/>
              </w:rPr>
              <w:t xml:space="preserve"> Please note that B4 is described for a non-AP STA and also states “Otherwise, B4 is reserved”. </w:t>
            </w:r>
          </w:p>
          <w:p w14:paraId="7A5EE3E6" w14:textId="77777777" w:rsidR="00FF5920" w:rsidRPr="00572EE8" w:rsidRDefault="00FF5920" w:rsidP="00A86E6A">
            <w:pPr>
              <w:pStyle w:val="ListParagraph"/>
              <w:numPr>
                <w:ilvl w:val="0"/>
                <w:numId w:val="43"/>
              </w:numPr>
              <w:spacing w:line="276" w:lineRule="auto"/>
              <w:ind w:leftChars="0"/>
              <w:jc w:val="both"/>
              <w:rPr>
                <w:sz w:val="20"/>
              </w:rPr>
            </w:pPr>
            <w:r w:rsidRPr="00572EE8">
              <w:rPr>
                <w:sz w:val="20"/>
              </w:rPr>
              <w:t xml:space="preserve">Statement about normative text </w:t>
            </w:r>
            <w:r w:rsidRPr="00572EE8">
              <w:rPr>
                <w:sz w:val="20"/>
              </w:rPr>
              <w:sym w:font="Wingdings" w:char="F0E0"/>
            </w:r>
            <w:r w:rsidRPr="00572EE8">
              <w:rPr>
                <w:sz w:val="20"/>
              </w:rPr>
              <w:t xml:space="preserve"> Added</w:t>
            </w:r>
          </w:p>
          <w:p w14:paraId="12B40177" w14:textId="002EA850" w:rsidR="00FF5920" w:rsidRPr="00572EE8" w:rsidRDefault="00FF5920" w:rsidP="00FF5920">
            <w:pPr>
              <w:spacing w:line="276" w:lineRule="auto"/>
              <w:jc w:val="both"/>
              <w:rPr>
                <w:sz w:val="20"/>
              </w:rPr>
            </w:pPr>
            <w:r w:rsidRPr="00572EE8">
              <w:rPr>
                <w:sz w:val="20"/>
              </w:rPr>
              <w:t>TGax Editor to make the changes for CID12812 as suggested in proposed resolution in IEEE 802.11-18/0</w:t>
            </w:r>
            <w:r w:rsidR="0035010D">
              <w:rPr>
                <w:sz w:val="20"/>
              </w:rPr>
              <w:t>725</w:t>
            </w:r>
            <w:r w:rsidRPr="00572EE8">
              <w:rPr>
                <w:sz w:val="20"/>
              </w:rPr>
              <w:t>r0</w:t>
            </w:r>
          </w:p>
        </w:tc>
      </w:tr>
      <w:tr w:rsidR="005B697A" w:rsidRPr="00572EE8" w14:paraId="48149FEA" w14:textId="77777777" w:rsidTr="002F1C40">
        <w:trPr>
          <w:trHeight w:val="336"/>
        </w:trPr>
        <w:tc>
          <w:tcPr>
            <w:tcW w:w="787" w:type="dxa"/>
            <w:shd w:val="clear" w:color="auto" w:fill="auto"/>
          </w:tcPr>
          <w:p w14:paraId="64408940" w14:textId="2C7CF4FB" w:rsidR="005B697A" w:rsidRPr="00572EE8" w:rsidRDefault="005B697A" w:rsidP="005B697A">
            <w:pPr>
              <w:spacing w:line="276" w:lineRule="auto"/>
              <w:jc w:val="both"/>
              <w:rPr>
                <w:sz w:val="20"/>
                <w:lang w:val="en-US"/>
              </w:rPr>
            </w:pPr>
            <w:r w:rsidRPr="00572EE8">
              <w:rPr>
                <w:sz w:val="20"/>
                <w:lang w:val="en-US"/>
              </w:rPr>
              <w:t>12813</w:t>
            </w:r>
          </w:p>
        </w:tc>
        <w:tc>
          <w:tcPr>
            <w:tcW w:w="810" w:type="dxa"/>
            <w:shd w:val="clear" w:color="auto" w:fill="auto"/>
          </w:tcPr>
          <w:p w14:paraId="1ADE4B39" w14:textId="37798828" w:rsidR="005B697A" w:rsidRPr="00572EE8" w:rsidRDefault="005B697A" w:rsidP="005B697A">
            <w:pPr>
              <w:spacing w:line="276" w:lineRule="auto"/>
              <w:jc w:val="both"/>
              <w:rPr>
                <w:sz w:val="20"/>
                <w:lang w:val="en-US"/>
              </w:rPr>
            </w:pPr>
            <w:r w:rsidRPr="00572EE8">
              <w:rPr>
                <w:sz w:val="20"/>
                <w:lang w:val="en-US"/>
              </w:rPr>
              <w:t>9.4.2.237.3</w:t>
            </w:r>
          </w:p>
        </w:tc>
        <w:tc>
          <w:tcPr>
            <w:tcW w:w="720" w:type="dxa"/>
            <w:shd w:val="clear" w:color="auto" w:fill="auto"/>
          </w:tcPr>
          <w:p w14:paraId="5CF87D8E" w14:textId="290973A7" w:rsidR="005B697A" w:rsidRPr="00572EE8" w:rsidRDefault="005B697A" w:rsidP="005B697A">
            <w:pPr>
              <w:spacing w:line="276" w:lineRule="auto"/>
              <w:jc w:val="both"/>
              <w:rPr>
                <w:sz w:val="20"/>
                <w:lang w:val="en-US"/>
              </w:rPr>
            </w:pPr>
            <w:r w:rsidRPr="00572EE8">
              <w:rPr>
                <w:sz w:val="20"/>
                <w:lang w:val="en-US"/>
              </w:rPr>
              <w:t>144.45</w:t>
            </w:r>
          </w:p>
        </w:tc>
        <w:tc>
          <w:tcPr>
            <w:tcW w:w="3048" w:type="dxa"/>
            <w:shd w:val="clear" w:color="auto" w:fill="auto"/>
          </w:tcPr>
          <w:p w14:paraId="43F5A519" w14:textId="357532F3" w:rsidR="005B697A" w:rsidRPr="00572EE8" w:rsidRDefault="005B697A" w:rsidP="005B697A">
            <w:pPr>
              <w:spacing w:line="276" w:lineRule="auto"/>
              <w:jc w:val="both"/>
              <w:rPr>
                <w:sz w:val="20"/>
              </w:rPr>
            </w:pPr>
            <w:r w:rsidRPr="00572EE8">
              <w:rPr>
                <w:sz w:val="20"/>
              </w:rPr>
              <w:t>There are several issues with the "20 MHz In 160/80+80 MHz HE PPDU" subfield: 366.56 is missing "/80+80"; NOTE 3 on p. 140 duplicates the cell to the left and the information on p. 144 and should be deleted; it is not specified that B5 of the Channel Width Set is reserved when transmitted by an AP; a statement is missing in 28.3.3.5 (or elsewhere) that an AP shall not tx or request tx of a 20 in 160/80+80 if the non-AP STA set this field to 0 (cf. last para of 28.3.3.7)</w:t>
            </w:r>
          </w:p>
        </w:tc>
        <w:tc>
          <w:tcPr>
            <w:tcW w:w="2409" w:type="dxa"/>
            <w:shd w:val="clear" w:color="auto" w:fill="auto"/>
          </w:tcPr>
          <w:p w14:paraId="41CB9B3B" w14:textId="6C306A11" w:rsidR="005B697A" w:rsidRPr="00572EE8" w:rsidRDefault="005B697A" w:rsidP="005B697A">
            <w:pPr>
              <w:spacing w:line="276" w:lineRule="auto"/>
              <w:jc w:val="both"/>
              <w:rPr>
                <w:sz w:val="20"/>
              </w:rPr>
            </w:pPr>
            <w:r w:rsidRPr="00572EE8">
              <w:rPr>
                <w:sz w:val="20"/>
              </w:rPr>
              <w:t>As it says in the comment</w:t>
            </w:r>
          </w:p>
        </w:tc>
        <w:tc>
          <w:tcPr>
            <w:tcW w:w="3453" w:type="dxa"/>
            <w:shd w:val="clear" w:color="auto" w:fill="auto"/>
            <w:vAlign w:val="center"/>
          </w:tcPr>
          <w:p w14:paraId="41C7E73D" w14:textId="77777777" w:rsidR="005B697A" w:rsidRPr="00572EE8" w:rsidRDefault="005B697A" w:rsidP="005B697A">
            <w:pPr>
              <w:spacing w:line="276" w:lineRule="auto"/>
              <w:jc w:val="both"/>
              <w:rPr>
                <w:sz w:val="20"/>
              </w:rPr>
            </w:pPr>
            <w:r w:rsidRPr="00572EE8">
              <w:rPr>
                <w:sz w:val="20"/>
              </w:rPr>
              <w:t>Revised—</w:t>
            </w:r>
          </w:p>
          <w:p w14:paraId="3395FE05" w14:textId="77777777" w:rsidR="005B697A" w:rsidRPr="00572EE8" w:rsidRDefault="005B697A" w:rsidP="005B697A">
            <w:pPr>
              <w:spacing w:line="276" w:lineRule="auto"/>
              <w:jc w:val="both"/>
              <w:rPr>
                <w:sz w:val="20"/>
              </w:rPr>
            </w:pPr>
            <w:r w:rsidRPr="00572EE8">
              <w:rPr>
                <w:sz w:val="20"/>
              </w:rPr>
              <w:t>The following is the breakdown of multiple comments in this CID.</w:t>
            </w:r>
          </w:p>
          <w:p w14:paraId="2722D0F4" w14:textId="77777777" w:rsidR="005B697A" w:rsidRPr="00572EE8" w:rsidRDefault="005B697A" w:rsidP="00142629">
            <w:pPr>
              <w:pStyle w:val="ListParagraph"/>
              <w:numPr>
                <w:ilvl w:val="0"/>
                <w:numId w:val="44"/>
              </w:numPr>
              <w:spacing w:line="276" w:lineRule="auto"/>
              <w:ind w:leftChars="0"/>
              <w:jc w:val="both"/>
              <w:rPr>
                <w:sz w:val="20"/>
              </w:rPr>
            </w:pPr>
            <w:r w:rsidRPr="00572EE8">
              <w:rPr>
                <w:sz w:val="20"/>
              </w:rPr>
              <w:t>Missing ‘/80+80’</w:t>
            </w:r>
            <w:r w:rsidRPr="00572EE8">
              <w:rPr>
                <w:sz w:val="20"/>
              </w:rPr>
              <w:sym w:font="Wingdings" w:char="F0E0"/>
            </w:r>
            <w:r w:rsidRPr="00572EE8">
              <w:rPr>
                <w:sz w:val="20"/>
              </w:rPr>
              <w:t xml:space="preserve"> resolved in D2.3</w:t>
            </w:r>
            <w:r w:rsidR="003E65A8" w:rsidRPr="00572EE8">
              <w:rPr>
                <w:sz w:val="20"/>
              </w:rPr>
              <w:t>.</w:t>
            </w:r>
          </w:p>
          <w:p w14:paraId="7DB6DEE7" w14:textId="4BB865FA" w:rsidR="004A443F" w:rsidRPr="00572EE8" w:rsidRDefault="004A443F" w:rsidP="00142629">
            <w:pPr>
              <w:pStyle w:val="ListParagraph"/>
              <w:numPr>
                <w:ilvl w:val="0"/>
                <w:numId w:val="44"/>
              </w:numPr>
              <w:spacing w:line="276" w:lineRule="auto"/>
              <w:ind w:leftChars="0"/>
              <w:jc w:val="both"/>
              <w:rPr>
                <w:sz w:val="20"/>
              </w:rPr>
            </w:pPr>
            <w:r w:rsidRPr="00572EE8">
              <w:rPr>
                <w:sz w:val="20"/>
              </w:rPr>
              <w:t xml:space="preserve">NOTE 3 on Pg. 140 to be deleted </w:t>
            </w:r>
            <w:r w:rsidRPr="00572EE8">
              <w:rPr>
                <w:sz w:val="20"/>
              </w:rPr>
              <w:sym w:font="Wingdings" w:char="F0E0"/>
            </w:r>
            <w:r w:rsidRPr="00572EE8">
              <w:rPr>
                <w:sz w:val="20"/>
              </w:rPr>
              <w:t xml:space="preserve"> It is not an exact duplicate of the cell to the lest on Pg.144. Furthermore, it is useful information regarding B5 bit setting.</w:t>
            </w:r>
          </w:p>
          <w:p w14:paraId="66D6345B" w14:textId="64744E8B" w:rsidR="004A443F" w:rsidRPr="00572EE8" w:rsidRDefault="004A443F" w:rsidP="00142629">
            <w:pPr>
              <w:pStyle w:val="ListParagraph"/>
              <w:numPr>
                <w:ilvl w:val="0"/>
                <w:numId w:val="44"/>
              </w:numPr>
              <w:spacing w:line="276" w:lineRule="auto"/>
              <w:ind w:leftChars="0"/>
              <w:jc w:val="both"/>
              <w:rPr>
                <w:sz w:val="20"/>
              </w:rPr>
            </w:pPr>
            <w:r w:rsidRPr="00572EE8">
              <w:rPr>
                <w:sz w:val="20"/>
              </w:rPr>
              <w:t>Not specified that B5 is reserved for AP</w:t>
            </w:r>
            <w:r w:rsidRPr="00572EE8">
              <w:rPr>
                <w:sz w:val="20"/>
              </w:rPr>
              <w:sym w:font="Wingdings" w:char="F0E0"/>
            </w:r>
            <w:r w:rsidRPr="00572EE8">
              <w:rPr>
                <w:sz w:val="20"/>
              </w:rPr>
              <w:t xml:space="preserve"> Please note that B4 is described for a non-AP STA and also states “Otherwise, B5 is reserved”. </w:t>
            </w:r>
          </w:p>
          <w:p w14:paraId="60E6DC63" w14:textId="77777777" w:rsidR="00142629" w:rsidRPr="00572EE8" w:rsidRDefault="00142629" w:rsidP="00142629">
            <w:pPr>
              <w:pStyle w:val="ListParagraph"/>
              <w:numPr>
                <w:ilvl w:val="0"/>
                <w:numId w:val="44"/>
              </w:numPr>
              <w:spacing w:line="276" w:lineRule="auto"/>
              <w:ind w:leftChars="0"/>
              <w:jc w:val="both"/>
              <w:rPr>
                <w:sz w:val="20"/>
              </w:rPr>
            </w:pPr>
            <w:r w:rsidRPr="00572EE8">
              <w:rPr>
                <w:sz w:val="20"/>
              </w:rPr>
              <w:t xml:space="preserve">Statement about normative text </w:t>
            </w:r>
            <w:r w:rsidRPr="00572EE8">
              <w:rPr>
                <w:sz w:val="20"/>
              </w:rPr>
              <w:sym w:font="Wingdings" w:char="F0E0"/>
            </w:r>
            <w:r w:rsidRPr="00572EE8">
              <w:rPr>
                <w:sz w:val="20"/>
              </w:rPr>
              <w:t xml:space="preserve"> Added</w:t>
            </w:r>
          </w:p>
          <w:p w14:paraId="3B0EF688" w14:textId="0C17EC88" w:rsidR="004A443F" w:rsidRPr="00572EE8" w:rsidRDefault="00142629" w:rsidP="00D12CEC">
            <w:pPr>
              <w:spacing w:line="276" w:lineRule="auto"/>
              <w:jc w:val="both"/>
              <w:rPr>
                <w:sz w:val="20"/>
              </w:rPr>
            </w:pPr>
            <w:r w:rsidRPr="00572EE8">
              <w:rPr>
                <w:sz w:val="20"/>
              </w:rPr>
              <w:lastRenderedPageBreak/>
              <w:t>TGax Editor to make the changes for CID12813 as suggested in proposed resolution in IEEE 802.11-18/0</w:t>
            </w:r>
            <w:r w:rsidR="0035010D">
              <w:rPr>
                <w:sz w:val="20"/>
              </w:rPr>
              <w:t>725</w:t>
            </w:r>
            <w:r w:rsidRPr="00572EE8">
              <w:rPr>
                <w:sz w:val="20"/>
              </w:rPr>
              <w:t>r0</w:t>
            </w:r>
          </w:p>
        </w:tc>
      </w:tr>
      <w:tr w:rsidR="00591AC3" w:rsidRPr="00572EE8" w14:paraId="5CE12E57" w14:textId="77777777" w:rsidTr="002F1C40">
        <w:trPr>
          <w:trHeight w:val="336"/>
        </w:trPr>
        <w:tc>
          <w:tcPr>
            <w:tcW w:w="787" w:type="dxa"/>
            <w:shd w:val="clear" w:color="auto" w:fill="auto"/>
          </w:tcPr>
          <w:p w14:paraId="60A9121D" w14:textId="7CEF6694" w:rsidR="00591AC3" w:rsidRPr="00572EE8" w:rsidRDefault="00591AC3" w:rsidP="00591AC3">
            <w:pPr>
              <w:jc w:val="both"/>
              <w:rPr>
                <w:sz w:val="20"/>
                <w:lang w:val="en-US"/>
              </w:rPr>
            </w:pPr>
            <w:r w:rsidRPr="00572EE8">
              <w:rPr>
                <w:sz w:val="20"/>
                <w:lang w:val="en-US"/>
              </w:rPr>
              <w:lastRenderedPageBreak/>
              <w:t>14007</w:t>
            </w:r>
          </w:p>
        </w:tc>
        <w:tc>
          <w:tcPr>
            <w:tcW w:w="810" w:type="dxa"/>
            <w:shd w:val="clear" w:color="auto" w:fill="auto"/>
          </w:tcPr>
          <w:p w14:paraId="5128B99A" w14:textId="2DEFFD67" w:rsidR="00591AC3" w:rsidRPr="00572EE8" w:rsidRDefault="00591AC3" w:rsidP="00591AC3">
            <w:pPr>
              <w:jc w:val="both"/>
              <w:rPr>
                <w:sz w:val="20"/>
                <w:lang w:val="en-US"/>
              </w:rPr>
            </w:pPr>
            <w:r w:rsidRPr="00572EE8">
              <w:rPr>
                <w:sz w:val="20"/>
                <w:lang w:val="en-US"/>
              </w:rPr>
              <w:t>28,1,1</w:t>
            </w:r>
          </w:p>
        </w:tc>
        <w:tc>
          <w:tcPr>
            <w:tcW w:w="720" w:type="dxa"/>
            <w:shd w:val="clear" w:color="auto" w:fill="auto"/>
          </w:tcPr>
          <w:p w14:paraId="22652556" w14:textId="23A972A7" w:rsidR="00591AC3" w:rsidRPr="00572EE8" w:rsidRDefault="00591AC3" w:rsidP="00591AC3">
            <w:pPr>
              <w:jc w:val="both"/>
              <w:rPr>
                <w:sz w:val="20"/>
                <w:lang w:val="en-US"/>
              </w:rPr>
            </w:pPr>
            <w:r w:rsidRPr="00572EE8">
              <w:rPr>
                <w:sz w:val="20"/>
                <w:lang w:val="en-US"/>
              </w:rPr>
              <w:t>330.44</w:t>
            </w:r>
          </w:p>
        </w:tc>
        <w:tc>
          <w:tcPr>
            <w:tcW w:w="3048" w:type="dxa"/>
            <w:shd w:val="clear" w:color="auto" w:fill="auto"/>
          </w:tcPr>
          <w:p w14:paraId="1D56064C" w14:textId="6F0C84ED" w:rsidR="00591AC3" w:rsidRPr="00572EE8" w:rsidRDefault="00591AC3" w:rsidP="00591AC3">
            <w:pPr>
              <w:jc w:val="both"/>
              <w:rPr>
                <w:sz w:val="20"/>
              </w:rPr>
            </w:pPr>
            <w:r w:rsidRPr="00572EE8">
              <w:rPr>
                <w:sz w:val="20"/>
              </w:rPr>
              <w:t>"total of up to 8 space-time streams" could be mistaken to mean that a non-AP STA need to transmit 8SS.</w:t>
            </w:r>
          </w:p>
        </w:tc>
        <w:tc>
          <w:tcPr>
            <w:tcW w:w="2409" w:type="dxa"/>
            <w:shd w:val="clear" w:color="auto" w:fill="auto"/>
          </w:tcPr>
          <w:p w14:paraId="083C51FA" w14:textId="4E545EE6" w:rsidR="00591AC3" w:rsidRPr="00572EE8" w:rsidRDefault="00591AC3" w:rsidP="00591AC3">
            <w:pPr>
              <w:jc w:val="both"/>
              <w:rPr>
                <w:sz w:val="20"/>
              </w:rPr>
            </w:pPr>
            <w:r w:rsidRPr="00572EE8">
              <w:rPr>
                <w:sz w:val="20"/>
              </w:rPr>
              <w:t>Change "If it is supported ... are supported" to "If supported, then the non-AP STA shall support transmitting UL MU-MIMO in which the total space-time streams summed across all users are up to 8." at both P330 L44 and L47.</w:t>
            </w:r>
          </w:p>
        </w:tc>
        <w:tc>
          <w:tcPr>
            <w:tcW w:w="3453" w:type="dxa"/>
            <w:shd w:val="clear" w:color="auto" w:fill="auto"/>
            <w:vAlign w:val="center"/>
          </w:tcPr>
          <w:p w14:paraId="3148EC46" w14:textId="3B779C16" w:rsidR="00591AC3" w:rsidRPr="00572EE8" w:rsidRDefault="00591AC3" w:rsidP="00591AC3">
            <w:pPr>
              <w:jc w:val="both"/>
              <w:rPr>
                <w:sz w:val="20"/>
              </w:rPr>
            </w:pPr>
            <w:r w:rsidRPr="00572EE8">
              <w:rPr>
                <w:sz w:val="20"/>
              </w:rPr>
              <w:t>Accept—</w:t>
            </w:r>
          </w:p>
          <w:p w14:paraId="0D21986C" w14:textId="41E2B510" w:rsidR="00591AC3" w:rsidRPr="00572EE8" w:rsidRDefault="00591AC3" w:rsidP="00591AC3">
            <w:pPr>
              <w:jc w:val="both"/>
              <w:rPr>
                <w:sz w:val="20"/>
              </w:rPr>
            </w:pPr>
          </w:p>
        </w:tc>
      </w:tr>
      <w:tr w:rsidR="0056133B" w:rsidRPr="00572EE8" w14:paraId="28D2CC21" w14:textId="77777777" w:rsidTr="002F1C40">
        <w:trPr>
          <w:trHeight w:val="336"/>
        </w:trPr>
        <w:tc>
          <w:tcPr>
            <w:tcW w:w="787" w:type="dxa"/>
            <w:shd w:val="clear" w:color="auto" w:fill="auto"/>
          </w:tcPr>
          <w:p w14:paraId="3D65499C" w14:textId="358EE8C2" w:rsidR="0056133B" w:rsidRPr="00572EE8" w:rsidRDefault="0056133B" w:rsidP="0056133B">
            <w:pPr>
              <w:spacing w:line="276" w:lineRule="auto"/>
              <w:jc w:val="both"/>
              <w:rPr>
                <w:sz w:val="20"/>
                <w:lang w:val="en-US"/>
              </w:rPr>
            </w:pPr>
            <w:r w:rsidRPr="00572EE8">
              <w:rPr>
                <w:sz w:val="20"/>
                <w:lang w:val="en-US"/>
              </w:rPr>
              <w:t>12848</w:t>
            </w:r>
          </w:p>
        </w:tc>
        <w:tc>
          <w:tcPr>
            <w:tcW w:w="810" w:type="dxa"/>
            <w:shd w:val="clear" w:color="auto" w:fill="auto"/>
          </w:tcPr>
          <w:p w14:paraId="71C5CBA6" w14:textId="787F2AC7" w:rsidR="0056133B" w:rsidRPr="00572EE8" w:rsidRDefault="0056133B" w:rsidP="0056133B">
            <w:pPr>
              <w:spacing w:line="276" w:lineRule="auto"/>
              <w:jc w:val="both"/>
              <w:rPr>
                <w:sz w:val="20"/>
                <w:lang w:val="en-US"/>
              </w:rPr>
            </w:pPr>
            <w:r w:rsidRPr="00572EE8">
              <w:rPr>
                <w:sz w:val="20"/>
                <w:lang w:val="en-US"/>
              </w:rPr>
              <w:t>9.4.1.63</w:t>
            </w:r>
          </w:p>
        </w:tc>
        <w:tc>
          <w:tcPr>
            <w:tcW w:w="720" w:type="dxa"/>
            <w:shd w:val="clear" w:color="auto" w:fill="auto"/>
          </w:tcPr>
          <w:p w14:paraId="4C22814F" w14:textId="0DAD03FB" w:rsidR="0056133B" w:rsidRPr="00572EE8" w:rsidRDefault="0056133B" w:rsidP="0056133B">
            <w:pPr>
              <w:spacing w:line="276" w:lineRule="auto"/>
              <w:jc w:val="both"/>
              <w:rPr>
                <w:sz w:val="20"/>
                <w:lang w:val="en-US"/>
              </w:rPr>
            </w:pPr>
            <w:r w:rsidRPr="00572EE8">
              <w:rPr>
                <w:sz w:val="20"/>
                <w:lang w:val="en-US"/>
              </w:rPr>
              <w:t>109.62</w:t>
            </w:r>
          </w:p>
        </w:tc>
        <w:tc>
          <w:tcPr>
            <w:tcW w:w="3048" w:type="dxa"/>
            <w:shd w:val="clear" w:color="auto" w:fill="auto"/>
          </w:tcPr>
          <w:p w14:paraId="62C7A404" w14:textId="4F93C46F" w:rsidR="0056133B" w:rsidRPr="00572EE8" w:rsidRDefault="0056133B" w:rsidP="0056133B">
            <w:pPr>
              <w:spacing w:line="276" w:lineRule="auto"/>
              <w:jc w:val="both"/>
              <w:rPr>
                <w:strike/>
                <w:sz w:val="20"/>
                <w:highlight w:val="yellow"/>
              </w:rPr>
            </w:pPr>
            <w:r w:rsidRPr="00572EE8">
              <w:rPr>
                <w:sz w:val="20"/>
              </w:rPr>
              <w:t>The rules for which subcarriers are in HE CBR is grotesquely complex (e.g. different rules for 20M and 40M+, outside subcarriers not necessarily Ng-separated from adjacent subcarrier, hand-waving for 160/80+80).  Needs to be simplified both technically and editorially, especially for partial-BW's sake, otherwise there is essentially zero chance of interoperability</w:t>
            </w:r>
          </w:p>
        </w:tc>
        <w:tc>
          <w:tcPr>
            <w:tcW w:w="2409" w:type="dxa"/>
            <w:shd w:val="clear" w:color="auto" w:fill="auto"/>
          </w:tcPr>
          <w:p w14:paraId="1FEC1202" w14:textId="72E3C1D8" w:rsidR="0056133B" w:rsidRPr="00572EE8" w:rsidRDefault="0056133B" w:rsidP="0056133B">
            <w:pPr>
              <w:spacing w:line="276" w:lineRule="auto"/>
              <w:jc w:val="both"/>
              <w:rPr>
                <w:strike/>
                <w:sz w:val="20"/>
                <w:highlight w:val="yellow"/>
              </w:rPr>
            </w:pPr>
            <w:r w:rsidRPr="00572EE8">
              <w:rPr>
                <w:sz w:val="20"/>
              </w:rPr>
              <w:t>As it says in the comment</w:t>
            </w:r>
          </w:p>
        </w:tc>
        <w:tc>
          <w:tcPr>
            <w:tcW w:w="3453" w:type="dxa"/>
            <w:shd w:val="clear" w:color="auto" w:fill="auto"/>
            <w:vAlign w:val="center"/>
          </w:tcPr>
          <w:p w14:paraId="0F3E431D" w14:textId="629CF010" w:rsidR="0056133B" w:rsidRPr="00572EE8" w:rsidRDefault="0056133B" w:rsidP="0056133B">
            <w:pPr>
              <w:spacing w:line="276" w:lineRule="auto"/>
              <w:jc w:val="both"/>
              <w:rPr>
                <w:sz w:val="20"/>
              </w:rPr>
            </w:pPr>
            <w:r w:rsidRPr="00572EE8">
              <w:rPr>
                <w:sz w:val="20"/>
              </w:rPr>
              <w:t>Reject—</w:t>
            </w:r>
          </w:p>
          <w:p w14:paraId="53DE6E6D" w14:textId="55B730CA" w:rsidR="0056133B" w:rsidRPr="00572EE8" w:rsidRDefault="00370124" w:rsidP="0056133B">
            <w:pPr>
              <w:spacing w:line="276" w:lineRule="auto"/>
              <w:jc w:val="both"/>
              <w:rPr>
                <w:strike/>
                <w:sz w:val="20"/>
              </w:rPr>
            </w:pPr>
            <w:r w:rsidRPr="00572EE8">
              <w:rPr>
                <w:sz w:val="20"/>
              </w:rPr>
              <w:t>P</w:t>
            </w:r>
            <w:r w:rsidR="0056133B" w:rsidRPr="00572EE8">
              <w:rPr>
                <w:sz w:val="20"/>
              </w:rPr>
              <w:t>artial BW Info field in NDPA indicates the Start 26-tone RU Index and End 26-tone RU Index. Tables 28-6, 28-7, and 28-8 provide 26-tone RU Indices for various bandwidths.</w:t>
            </w:r>
            <w:r w:rsidR="0056133B" w:rsidRPr="00572EE8">
              <w:rPr>
                <w:strike/>
                <w:sz w:val="20"/>
              </w:rPr>
              <w:t xml:space="preserve"> </w:t>
            </w:r>
          </w:p>
          <w:p w14:paraId="0619B0CA" w14:textId="77777777" w:rsidR="00370124" w:rsidRPr="00572EE8" w:rsidRDefault="00370124" w:rsidP="0056133B">
            <w:pPr>
              <w:spacing w:line="276" w:lineRule="auto"/>
              <w:jc w:val="both"/>
              <w:rPr>
                <w:strike/>
                <w:sz w:val="20"/>
                <w:highlight w:val="yellow"/>
              </w:rPr>
            </w:pPr>
          </w:p>
          <w:p w14:paraId="1A663CE2" w14:textId="77777777" w:rsidR="00370124" w:rsidRPr="00572EE8" w:rsidRDefault="00370124" w:rsidP="0056133B">
            <w:pPr>
              <w:spacing w:line="276" w:lineRule="auto"/>
              <w:jc w:val="both"/>
              <w:rPr>
                <w:sz w:val="20"/>
              </w:rPr>
            </w:pPr>
            <w:r w:rsidRPr="00572EE8">
              <w:rPr>
                <w:sz w:val="20"/>
              </w:rPr>
              <w:t>Tables 9-76c, 9-76d, and 9-76e provide feedback subcarrier indices indicating start 26-tone RU index and end 26-tone RU index for various Ng values.</w:t>
            </w:r>
          </w:p>
          <w:p w14:paraId="5FE7E89F" w14:textId="77777777" w:rsidR="00370124" w:rsidRPr="00572EE8" w:rsidRDefault="00370124" w:rsidP="0056133B">
            <w:pPr>
              <w:spacing w:line="276" w:lineRule="auto"/>
              <w:jc w:val="both"/>
              <w:rPr>
                <w:sz w:val="20"/>
                <w:highlight w:val="yellow"/>
              </w:rPr>
            </w:pPr>
          </w:p>
          <w:p w14:paraId="3E7BA76D" w14:textId="010B5EFD" w:rsidR="00370124" w:rsidRPr="00572EE8" w:rsidRDefault="00370124" w:rsidP="0056133B">
            <w:pPr>
              <w:spacing w:line="276" w:lineRule="auto"/>
              <w:jc w:val="both"/>
              <w:rPr>
                <w:sz w:val="20"/>
                <w:highlight w:val="yellow"/>
              </w:rPr>
            </w:pPr>
            <w:r w:rsidRPr="00572EE8">
              <w:rPr>
                <w:sz w:val="20"/>
              </w:rPr>
              <w:t>The 11ax specification clearly defines the feedback tones and hence risk to interoperability is mitigated.</w:t>
            </w:r>
          </w:p>
        </w:tc>
      </w:tr>
      <w:tr w:rsidR="007327B4" w:rsidRPr="00572EE8" w14:paraId="5587E2EA" w14:textId="77777777" w:rsidTr="002F1C40">
        <w:trPr>
          <w:trHeight w:val="336"/>
        </w:trPr>
        <w:tc>
          <w:tcPr>
            <w:tcW w:w="787" w:type="dxa"/>
            <w:shd w:val="clear" w:color="auto" w:fill="auto"/>
          </w:tcPr>
          <w:p w14:paraId="3B15C31E" w14:textId="78FDEB22" w:rsidR="007327B4" w:rsidRPr="00572EE8" w:rsidRDefault="007327B4" w:rsidP="007327B4">
            <w:pPr>
              <w:spacing w:line="276" w:lineRule="auto"/>
              <w:jc w:val="both"/>
              <w:rPr>
                <w:sz w:val="20"/>
                <w:lang w:val="en-US"/>
              </w:rPr>
            </w:pPr>
            <w:r w:rsidRPr="00572EE8">
              <w:rPr>
                <w:sz w:val="20"/>
                <w:lang w:val="en-US"/>
              </w:rPr>
              <w:t>13764</w:t>
            </w:r>
          </w:p>
        </w:tc>
        <w:tc>
          <w:tcPr>
            <w:tcW w:w="810" w:type="dxa"/>
            <w:shd w:val="clear" w:color="auto" w:fill="auto"/>
          </w:tcPr>
          <w:p w14:paraId="4CEB294B" w14:textId="0C7EB100" w:rsidR="007327B4" w:rsidRPr="00572EE8" w:rsidRDefault="007327B4" w:rsidP="007327B4">
            <w:pPr>
              <w:spacing w:line="276" w:lineRule="auto"/>
              <w:jc w:val="both"/>
              <w:rPr>
                <w:sz w:val="20"/>
                <w:lang w:val="en-US"/>
              </w:rPr>
            </w:pPr>
            <w:r w:rsidRPr="00572EE8">
              <w:rPr>
                <w:sz w:val="20"/>
                <w:lang w:val="en-US"/>
              </w:rPr>
              <w:t>28.3.10.7</w:t>
            </w:r>
          </w:p>
        </w:tc>
        <w:tc>
          <w:tcPr>
            <w:tcW w:w="720" w:type="dxa"/>
            <w:shd w:val="clear" w:color="auto" w:fill="auto"/>
          </w:tcPr>
          <w:p w14:paraId="749C0273" w14:textId="1F458FA0" w:rsidR="007327B4" w:rsidRPr="00572EE8" w:rsidRDefault="007327B4" w:rsidP="007327B4">
            <w:pPr>
              <w:spacing w:line="276" w:lineRule="auto"/>
              <w:jc w:val="both"/>
              <w:rPr>
                <w:sz w:val="20"/>
                <w:lang w:val="en-US"/>
              </w:rPr>
            </w:pPr>
            <w:r w:rsidRPr="00572EE8">
              <w:rPr>
                <w:sz w:val="20"/>
                <w:lang w:val="en-US"/>
              </w:rPr>
              <w:t>412.33</w:t>
            </w:r>
          </w:p>
        </w:tc>
        <w:tc>
          <w:tcPr>
            <w:tcW w:w="3048" w:type="dxa"/>
            <w:shd w:val="clear" w:color="auto" w:fill="auto"/>
          </w:tcPr>
          <w:p w14:paraId="2016FEAC" w14:textId="7C0C3EF1" w:rsidR="007327B4" w:rsidRPr="00572EE8" w:rsidRDefault="007327B4" w:rsidP="007327B4">
            <w:pPr>
              <w:spacing w:line="276" w:lineRule="auto"/>
              <w:jc w:val="both"/>
              <w:rPr>
                <w:sz w:val="20"/>
              </w:rPr>
            </w:pPr>
            <w:r w:rsidRPr="00572EE8">
              <w:rPr>
                <w:sz w:val="20"/>
              </w:rPr>
              <w:t>Since 20MHz channel is not aligned with 242 tone RU in 80MHz,</w:t>
            </w:r>
            <w:r w:rsidRPr="00572EE8">
              <w:rPr>
                <w:sz w:val="20"/>
              </w:rPr>
              <w:br/>
              <w:t>the 20MHz channel cannot be fully punctured because some RU in adjacent 20MHz may overlap with the punctured 20MHz.</w:t>
            </w:r>
            <w:r w:rsidRPr="00572EE8">
              <w:rPr>
                <w:sz w:val="20"/>
              </w:rPr>
              <w:br/>
              <w:t>Currently, the spec doesn't specify how to handle this case.</w:t>
            </w:r>
          </w:p>
        </w:tc>
        <w:tc>
          <w:tcPr>
            <w:tcW w:w="2409" w:type="dxa"/>
            <w:shd w:val="clear" w:color="auto" w:fill="auto"/>
          </w:tcPr>
          <w:p w14:paraId="2D34E0EE" w14:textId="7CD7A5C6" w:rsidR="007327B4" w:rsidRPr="00572EE8" w:rsidRDefault="007327B4" w:rsidP="007327B4">
            <w:pPr>
              <w:spacing w:line="276" w:lineRule="auto"/>
              <w:jc w:val="both"/>
              <w:rPr>
                <w:sz w:val="20"/>
              </w:rPr>
            </w:pPr>
            <w:r w:rsidRPr="00572EE8">
              <w:rPr>
                <w:sz w:val="20"/>
              </w:rPr>
              <w:t>Add the following clarifications after P.L. 412.33</w:t>
            </w:r>
            <w:r w:rsidRPr="00572EE8">
              <w:rPr>
                <w:sz w:val="20"/>
              </w:rPr>
              <w:br/>
              <w:t>"If an AP indicate preamble puncture in a HE MU PPDU by setting the Bandwidth field in HE-SIG-A in the range 4 to 7,</w:t>
            </w:r>
            <w:r w:rsidRPr="00572EE8">
              <w:rPr>
                <w:sz w:val="20"/>
              </w:rPr>
              <w:br/>
              <w:t>the AP is recommended to avoid allocate resources on the tones that could interfere the punctured channel."</w:t>
            </w:r>
          </w:p>
        </w:tc>
        <w:tc>
          <w:tcPr>
            <w:tcW w:w="3453" w:type="dxa"/>
            <w:shd w:val="clear" w:color="auto" w:fill="auto"/>
            <w:vAlign w:val="center"/>
          </w:tcPr>
          <w:p w14:paraId="5178BCA5" w14:textId="6E11E119" w:rsidR="007327B4" w:rsidRPr="00572EE8" w:rsidRDefault="007327B4" w:rsidP="007327B4">
            <w:pPr>
              <w:spacing w:line="276" w:lineRule="auto"/>
              <w:jc w:val="both"/>
              <w:rPr>
                <w:sz w:val="20"/>
              </w:rPr>
            </w:pPr>
            <w:r w:rsidRPr="00572EE8">
              <w:rPr>
                <w:sz w:val="20"/>
              </w:rPr>
              <w:t>Reject—</w:t>
            </w:r>
          </w:p>
          <w:p w14:paraId="7D067FBF" w14:textId="77777777" w:rsidR="007327B4" w:rsidRPr="00572EE8" w:rsidRDefault="007327B4" w:rsidP="007327B4">
            <w:pPr>
              <w:spacing w:line="276" w:lineRule="auto"/>
              <w:jc w:val="both"/>
              <w:rPr>
                <w:sz w:val="20"/>
              </w:rPr>
            </w:pPr>
            <w:r w:rsidRPr="00572EE8">
              <w:rPr>
                <w:sz w:val="20"/>
              </w:rPr>
              <w:t>CIDs 13200, 11358 resolved this CID. Please refer to Section 28.3.18.1 in D2.3.</w:t>
            </w:r>
          </w:p>
          <w:p w14:paraId="5A7D11D9" w14:textId="77777777" w:rsidR="007327B4" w:rsidRPr="00572EE8" w:rsidRDefault="007327B4" w:rsidP="007327B4">
            <w:pPr>
              <w:spacing w:line="276" w:lineRule="auto"/>
              <w:jc w:val="both"/>
              <w:rPr>
                <w:sz w:val="20"/>
              </w:rPr>
            </w:pPr>
          </w:p>
          <w:p w14:paraId="60A5D922" w14:textId="0FDFEE54" w:rsidR="007327B4" w:rsidRPr="00572EE8" w:rsidRDefault="007327B4" w:rsidP="007327B4">
            <w:pPr>
              <w:spacing w:line="276" w:lineRule="auto"/>
              <w:jc w:val="both"/>
              <w:rPr>
                <w:sz w:val="20"/>
              </w:rPr>
            </w:pPr>
            <w:r w:rsidRPr="00572EE8">
              <w:rPr>
                <w:sz w:val="20"/>
              </w:rPr>
              <w:t>For preamble puncture, the signal leakage to the preamble punctured channel from the occupied subchannels shall be less than or equal to -20 dBr (db relative to the maximum spectral density of the signal) starting 0.5 MHz from the boundary of the preamble punctured channel.</w:t>
            </w:r>
          </w:p>
        </w:tc>
      </w:tr>
      <w:tr w:rsidR="00DB5239" w:rsidRPr="00572EE8" w14:paraId="174EE931" w14:textId="77777777" w:rsidTr="002F1C40">
        <w:trPr>
          <w:trHeight w:val="336"/>
        </w:trPr>
        <w:tc>
          <w:tcPr>
            <w:tcW w:w="787" w:type="dxa"/>
            <w:shd w:val="clear" w:color="auto" w:fill="auto"/>
          </w:tcPr>
          <w:p w14:paraId="5EB70534" w14:textId="36A08458" w:rsidR="00DB5239" w:rsidRPr="00572EE8" w:rsidRDefault="00DB5239" w:rsidP="00DB5239">
            <w:pPr>
              <w:spacing w:line="276" w:lineRule="auto"/>
              <w:jc w:val="both"/>
              <w:rPr>
                <w:sz w:val="20"/>
                <w:lang w:val="en-US"/>
              </w:rPr>
            </w:pPr>
            <w:r w:rsidRPr="00D82A84">
              <w:rPr>
                <w:sz w:val="20"/>
                <w:lang w:val="en-US"/>
              </w:rPr>
              <w:t>13987</w:t>
            </w:r>
          </w:p>
        </w:tc>
        <w:tc>
          <w:tcPr>
            <w:tcW w:w="810" w:type="dxa"/>
            <w:shd w:val="clear" w:color="auto" w:fill="auto"/>
          </w:tcPr>
          <w:p w14:paraId="2E4F8DB5" w14:textId="0AD17B01" w:rsidR="00DB5239" w:rsidRPr="00572EE8" w:rsidRDefault="00DB5239" w:rsidP="00DB5239">
            <w:pPr>
              <w:spacing w:line="276" w:lineRule="auto"/>
              <w:jc w:val="both"/>
              <w:rPr>
                <w:sz w:val="20"/>
                <w:lang w:val="en-US"/>
              </w:rPr>
            </w:pPr>
            <w:r w:rsidRPr="00572EE8">
              <w:rPr>
                <w:sz w:val="20"/>
                <w:lang w:val="en-US"/>
              </w:rPr>
              <w:t>28.1.1</w:t>
            </w:r>
          </w:p>
        </w:tc>
        <w:tc>
          <w:tcPr>
            <w:tcW w:w="720" w:type="dxa"/>
            <w:shd w:val="clear" w:color="auto" w:fill="auto"/>
          </w:tcPr>
          <w:p w14:paraId="3CFC2F39" w14:textId="3C3B7DF0" w:rsidR="00DB5239" w:rsidRPr="00572EE8" w:rsidRDefault="00DB5239" w:rsidP="00DB5239">
            <w:pPr>
              <w:spacing w:line="276" w:lineRule="auto"/>
              <w:jc w:val="both"/>
              <w:rPr>
                <w:sz w:val="20"/>
                <w:lang w:val="en-US"/>
              </w:rPr>
            </w:pPr>
            <w:r w:rsidRPr="00572EE8">
              <w:rPr>
                <w:sz w:val="20"/>
                <w:lang w:val="en-US"/>
              </w:rPr>
              <w:t>328.1</w:t>
            </w:r>
          </w:p>
        </w:tc>
        <w:tc>
          <w:tcPr>
            <w:tcW w:w="3048" w:type="dxa"/>
            <w:shd w:val="clear" w:color="auto" w:fill="auto"/>
          </w:tcPr>
          <w:p w14:paraId="31AC68B6" w14:textId="466C2ECB" w:rsidR="00DB5239" w:rsidRPr="00572EE8" w:rsidRDefault="00DB5239" w:rsidP="00DB5239">
            <w:pPr>
              <w:spacing w:line="276" w:lineRule="auto"/>
              <w:jc w:val="both"/>
              <w:rPr>
                <w:sz w:val="20"/>
              </w:rPr>
            </w:pPr>
            <w:r w:rsidRPr="00572EE8">
              <w:rPr>
                <w:sz w:val="20"/>
              </w:rPr>
              <w:t>Why are we referring to the regulatory requirements of VHT?</w:t>
            </w:r>
          </w:p>
        </w:tc>
        <w:tc>
          <w:tcPr>
            <w:tcW w:w="2409" w:type="dxa"/>
            <w:shd w:val="clear" w:color="auto" w:fill="auto"/>
          </w:tcPr>
          <w:p w14:paraId="3E39E123" w14:textId="3F4C0F11" w:rsidR="00DB5239" w:rsidRPr="00572EE8" w:rsidRDefault="00DB5239" w:rsidP="00DB5239">
            <w:pPr>
              <w:spacing w:line="276" w:lineRule="auto"/>
              <w:jc w:val="both"/>
              <w:rPr>
                <w:sz w:val="20"/>
              </w:rPr>
            </w:pPr>
            <w:r w:rsidRPr="00572EE8">
              <w:rPr>
                <w:sz w:val="20"/>
              </w:rPr>
              <w:t>Create a separate section for regulatory requirements under Clause 28.</w:t>
            </w:r>
          </w:p>
        </w:tc>
        <w:tc>
          <w:tcPr>
            <w:tcW w:w="3453" w:type="dxa"/>
            <w:shd w:val="clear" w:color="auto" w:fill="auto"/>
            <w:vAlign w:val="center"/>
          </w:tcPr>
          <w:p w14:paraId="48B64829" w14:textId="22D0A594" w:rsidR="00DB5239" w:rsidRPr="00D82A84" w:rsidRDefault="0043498F" w:rsidP="00DB5239">
            <w:pPr>
              <w:spacing w:line="276" w:lineRule="auto"/>
              <w:jc w:val="both"/>
              <w:rPr>
                <w:sz w:val="20"/>
              </w:rPr>
            </w:pPr>
            <w:r w:rsidRPr="00D82A84">
              <w:rPr>
                <w:sz w:val="20"/>
              </w:rPr>
              <w:t>Revised—</w:t>
            </w:r>
          </w:p>
          <w:p w14:paraId="3C370173" w14:textId="77777777" w:rsidR="0043498F" w:rsidRDefault="0043498F" w:rsidP="00DB5239">
            <w:pPr>
              <w:spacing w:line="276" w:lineRule="auto"/>
              <w:jc w:val="both"/>
              <w:rPr>
                <w:sz w:val="20"/>
              </w:rPr>
            </w:pPr>
            <w:r>
              <w:rPr>
                <w:sz w:val="20"/>
              </w:rPr>
              <w:t>HE operates in 2.4 GHz and 5 GHz band. Current sentence in 28.1.1 is exclusive to 5 GHz band.</w:t>
            </w:r>
          </w:p>
          <w:p w14:paraId="4D7EDF72" w14:textId="5DE2564F" w:rsidR="005A0868" w:rsidRPr="00572EE8" w:rsidRDefault="005A0868" w:rsidP="00DB5239">
            <w:pPr>
              <w:spacing w:line="276" w:lineRule="auto"/>
              <w:jc w:val="both"/>
              <w:rPr>
                <w:sz w:val="20"/>
              </w:rPr>
            </w:pPr>
            <w:r w:rsidRPr="00572EE8">
              <w:rPr>
                <w:sz w:val="20"/>
              </w:rPr>
              <w:t>TGax Editor to make the changes for CID139</w:t>
            </w:r>
            <w:r>
              <w:rPr>
                <w:sz w:val="20"/>
              </w:rPr>
              <w:t>87</w:t>
            </w:r>
            <w:r w:rsidRPr="00572EE8">
              <w:rPr>
                <w:sz w:val="20"/>
              </w:rPr>
              <w:t xml:space="preserve"> as suggested in proposed resolution in IEEE 802.11-18/0</w:t>
            </w:r>
            <w:r w:rsidR="0035010D">
              <w:rPr>
                <w:sz w:val="20"/>
              </w:rPr>
              <w:t>725</w:t>
            </w:r>
            <w:r w:rsidRPr="00572EE8">
              <w:rPr>
                <w:sz w:val="20"/>
              </w:rPr>
              <w:t>r0</w:t>
            </w:r>
          </w:p>
        </w:tc>
      </w:tr>
      <w:tr w:rsidR="00802A2E" w:rsidRPr="00572EE8" w14:paraId="719B9F3A" w14:textId="77777777" w:rsidTr="002F1C40">
        <w:trPr>
          <w:trHeight w:val="336"/>
        </w:trPr>
        <w:tc>
          <w:tcPr>
            <w:tcW w:w="787" w:type="dxa"/>
            <w:shd w:val="clear" w:color="auto" w:fill="auto"/>
          </w:tcPr>
          <w:p w14:paraId="0E3C584F" w14:textId="60543539" w:rsidR="00802A2E" w:rsidRPr="00572EE8" w:rsidRDefault="00802A2E" w:rsidP="00802A2E">
            <w:pPr>
              <w:spacing w:line="276" w:lineRule="auto"/>
              <w:jc w:val="both"/>
              <w:rPr>
                <w:sz w:val="20"/>
                <w:lang w:val="en-US"/>
              </w:rPr>
            </w:pPr>
            <w:r w:rsidRPr="00572EE8">
              <w:rPr>
                <w:sz w:val="20"/>
                <w:lang w:val="en-US"/>
              </w:rPr>
              <w:t>13996</w:t>
            </w:r>
          </w:p>
        </w:tc>
        <w:tc>
          <w:tcPr>
            <w:tcW w:w="810" w:type="dxa"/>
            <w:shd w:val="clear" w:color="auto" w:fill="auto"/>
          </w:tcPr>
          <w:p w14:paraId="3C147750" w14:textId="198ABA4E" w:rsidR="00802A2E" w:rsidRPr="00572EE8" w:rsidRDefault="00802A2E" w:rsidP="00802A2E">
            <w:pPr>
              <w:spacing w:line="276" w:lineRule="auto"/>
              <w:jc w:val="both"/>
              <w:rPr>
                <w:sz w:val="20"/>
                <w:lang w:val="en-US"/>
              </w:rPr>
            </w:pPr>
            <w:r w:rsidRPr="00572EE8">
              <w:rPr>
                <w:sz w:val="20"/>
                <w:lang w:val="en-US"/>
              </w:rPr>
              <w:t>28.1.1</w:t>
            </w:r>
          </w:p>
        </w:tc>
        <w:tc>
          <w:tcPr>
            <w:tcW w:w="720" w:type="dxa"/>
            <w:shd w:val="clear" w:color="auto" w:fill="auto"/>
          </w:tcPr>
          <w:p w14:paraId="7831FCC5" w14:textId="7A19F9B4" w:rsidR="00802A2E" w:rsidRPr="00572EE8" w:rsidRDefault="00802A2E" w:rsidP="00802A2E">
            <w:pPr>
              <w:spacing w:line="276" w:lineRule="auto"/>
              <w:jc w:val="both"/>
              <w:rPr>
                <w:sz w:val="20"/>
                <w:lang w:val="en-US"/>
              </w:rPr>
            </w:pPr>
            <w:r w:rsidRPr="00572EE8">
              <w:rPr>
                <w:sz w:val="20"/>
                <w:lang w:val="en-US"/>
              </w:rPr>
              <w:t>328.40</w:t>
            </w:r>
          </w:p>
        </w:tc>
        <w:tc>
          <w:tcPr>
            <w:tcW w:w="3048" w:type="dxa"/>
            <w:shd w:val="clear" w:color="auto" w:fill="auto"/>
          </w:tcPr>
          <w:p w14:paraId="30BB0110" w14:textId="518D7782" w:rsidR="00802A2E" w:rsidRPr="00572EE8" w:rsidRDefault="00802A2E" w:rsidP="00802A2E">
            <w:pPr>
              <w:spacing w:line="276" w:lineRule="auto"/>
              <w:jc w:val="both"/>
              <w:rPr>
                <w:sz w:val="20"/>
              </w:rPr>
            </w:pPr>
            <w:r w:rsidRPr="00572EE8">
              <w:rPr>
                <w:sz w:val="20"/>
              </w:rPr>
              <w:t>HE TB PPDU does not support 0.8 us GI</w:t>
            </w:r>
          </w:p>
        </w:tc>
        <w:tc>
          <w:tcPr>
            <w:tcW w:w="2409" w:type="dxa"/>
            <w:shd w:val="clear" w:color="auto" w:fill="auto"/>
          </w:tcPr>
          <w:p w14:paraId="11248115" w14:textId="3B2E9FA7" w:rsidR="00802A2E" w:rsidRPr="00572EE8" w:rsidRDefault="00802A2E" w:rsidP="00802A2E">
            <w:pPr>
              <w:spacing w:line="276" w:lineRule="auto"/>
              <w:jc w:val="both"/>
              <w:rPr>
                <w:sz w:val="20"/>
              </w:rPr>
            </w:pPr>
            <w:r w:rsidRPr="00572EE8">
              <w:rPr>
                <w:sz w:val="20"/>
              </w:rPr>
              <w:t xml:space="preserve">Change "0.8 ++s and 1.6 ++s GI duration on both HE-LTF and data symbols when the 2x HE-LTF is </w:t>
            </w:r>
            <w:r w:rsidRPr="00572EE8">
              <w:rPr>
                <w:sz w:val="20"/>
              </w:rPr>
              <w:lastRenderedPageBreak/>
              <w:t>used (transmit and receive)" to "0.8 ++s and 1.6 ++s GI duration on both HE-LTF and data symbols when the 2x HE-LTF is used in HE SU PPDUs (transmit and receive)"</w:t>
            </w:r>
          </w:p>
        </w:tc>
        <w:tc>
          <w:tcPr>
            <w:tcW w:w="3453" w:type="dxa"/>
            <w:shd w:val="clear" w:color="auto" w:fill="auto"/>
            <w:vAlign w:val="center"/>
          </w:tcPr>
          <w:p w14:paraId="06AF92F4" w14:textId="77777777" w:rsidR="00802A2E" w:rsidRPr="00572EE8" w:rsidRDefault="00802A2E" w:rsidP="00802A2E">
            <w:pPr>
              <w:spacing w:line="276" w:lineRule="auto"/>
              <w:jc w:val="both"/>
              <w:rPr>
                <w:sz w:val="20"/>
              </w:rPr>
            </w:pPr>
            <w:r w:rsidRPr="00572EE8">
              <w:rPr>
                <w:sz w:val="20"/>
              </w:rPr>
              <w:lastRenderedPageBreak/>
              <w:t>Revised—</w:t>
            </w:r>
          </w:p>
          <w:p w14:paraId="18A5407B" w14:textId="4E25DC09" w:rsidR="00802A2E" w:rsidRPr="00572EE8" w:rsidRDefault="006E63BD" w:rsidP="00802A2E">
            <w:pPr>
              <w:spacing w:line="276" w:lineRule="auto"/>
              <w:jc w:val="both"/>
              <w:rPr>
                <w:sz w:val="20"/>
              </w:rPr>
            </w:pPr>
            <w:r w:rsidRPr="00572EE8">
              <w:rPr>
                <w:sz w:val="20"/>
              </w:rPr>
              <w:t xml:space="preserve">“0.8 μs and 1.6 μs GI duration on both HE-LTF and data symbols when the 2x </w:t>
            </w:r>
            <w:r w:rsidRPr="00572EE8">
              <w:rPr>
                <w:sz w:val="20"/>
              </w:rPr>
              <w:lastRenderedPageBreak/>
              <w:t>HE-LTF is used (transmit and receive)” is qualified for various PPDU formats.</w:t>
            </w:r>
          </w:p>
          <w:p w14:paraId="16A77E1C" w14:textId="77777777" w:rsidR="00802A2E" w:rsidRPr="00572EE8" w:rsidRDefault="00802A2E" w:rsidP="00802A2E">
            <w:pPr>
              <w:spacing w:line="276" w:lineRule="auto"/>
              <w:jc w:val="both"/>
              <w:rPr>
                <w:sz w:val="20"/>
              </w:rPr>
            </w:pPr>
          </w:p>
          <w:p w14:paraId="4078B3EF" w14:textId="0F103382" w:rsidR="00802A2E" w:rsidRPr="00572EE8" w:rsidRDefault="00802A2E" w:rsidP="00802A2E">
            <w:pPr>
              <w:spacing w:line="276" w:lineRule="auto"/>
              <w:jc w:val="both"/>
              <w:rPr>
                <w:sz w:val="20"/>
              </w:rPr>
            </w:pPr>
            <w:r w:rsidRPr="00572EE8">
              <w:rPr>
                <w:sz w:val="20"/>
              </w:rPr>
              <w:t>TGax Editor to make the changes for CID13996 as suggested in proposed resolution in IEEE 802.11-18/0</w:t>
            </w:r>
            <w:r w:rsidR="0035010D">
              <w:rPr>
                <w:sz w:val="20"/>
              </w:rPr>
              <w:t>725</w:t>
            </w:r>
            <w:r w:rsidRPr="00572EE8">
              <w:rPr>
                <w:sz w:val="20"/>
              </w:rPr>
              <w:t>r0</w:t>
            </w:r>
          </w:p>
        </w:tc>
      </w:tr>
      <w:tr w:rsidR="006E63BD" w:rsidRPr="00572EE8" w14:paraId="3496A963" w14:textId="77777777" w:rsidTr="002F1C40">
        <w:trPr>
          <w:trHeight w:val="336"/>
        </w:trPr>
        <w:tc>
          <w:tcPr>
            <w:tcW w:w="787" w:type="dxa"/>
            <w:shd w:val="clear" w:color="auto" w:fill="auto"/>
          </w:tcPr>
          <w:p w14:paraId="60CE0705" w14:textId="07E3F056" w:rsidR="006E63BD" w:rsidRPr="00572EE8" w:rsidRDefault="006E63BD" w:rsidP="006E63BD">
            <w:pPr>
              <w:spacing w:line="276" w:lineRule="auto"/>
              <w:jc w:val="both"/>
              <w:rPr>
                <w:sz w:val="20"/>
                <w:lang w:val="en-US"/>
              </w:rPr>
            </w:pPr>
            <w:r w:rsidRPr="00572EE8">
              <w:rPr>
                <w:sz w:val="20"/>
                <w:lang w:val="en-US"/>
              </w:rPr>
              <w:lastRenderedPageBreak/>
              <w:t>13998</w:t>
            </w:r>
          </w:p>
        </w:tc>
        <w:tc>
          <w:tcPr>
            <w:tcW w:w="810" w:type="dxa"/>
            <w:shd w:val="clear" w:color="auto" w:fill="auto"/>
          </w:tcPr>
          <w:p w14:paraId="5AF04001" w14:textId="2DA2F02B" w:rsidR="006E63BD" w:rsidRPr="00572EE8" w:rsidRDefault="006E63BD" w:rsidP="006E63BD">
            <w:pPr>
              <w:spacing w:line="276" w:lineRule="auto"/>
              <w:jc w:val="both"/>
              <w:rPr>
                <w:sz w:val="20"/>
                <w:lang w:val="en-US"/>
              </w:rPr>
            </w:pPr>
            <w:r w:rsidRPr="00572EE8">
              <w:rPr>
                <w:sz w:val="20"/>
                <w:lang w:val="en-US"/>
              </w:rPr>
              <w:t>28.1.1</w:t>
            </w:r>
          </w:p>
        </w:tc>
        <w:tc>
          <w:tcPr>
            <w:tcW w:w="720" w:type="dxa"/>
            <w:shd w:val="clear" w:color="auto" w:fill="auto"/>
          </w:tcPr>
          <w:p w14:paraId="4DD44380" w14:textId="30154A92" w:rsidR="006E63BD" w:rsidRPr="00572EE8" w:rsidRDefault="006E63BD" w:rsidP="006E63BD">
            <w:pPr>
              <w:spacing w:line="276" w:lineRule="auto"/>
              <w:jc w:val="both"/>
              <w:rPr>
                <w:sz w:val="20"/>
                <w:lang w:val="en-US"/>
              </w:rPr>
            </w:pPr>
            <w:r w:rsidRPr="00572EE8">
              <w:rPr>
                <w:sz w:val="20"/>
                <w:lang w:val="en-US"/>
              </w:rPr>
              <w:t>328.46</w:t>
            </w:r>
          </w:p>
        </w:tc>
        <w:tc>
          <w:tcPr>
            <w:tcW w:w="3048" w:type="dxa"/>
            <w:shd w:val="clear" w:color="auto" w:fill="auto"/>
          </w:tcPr>
          <w:p w14:paraId="632E56DF" w14:textId="02E8B629" w:rsidR="006E63BD" w:rsidRPr="00572EE8" w:rsidRDefault="006E63BD" w:rsidP="006E63BD">
            <w:pPr>
              <w:spacing w:line="276" w:lineRule="auto"/>
              <w:jc w:val="both"/>
              <w:rPr>
                <w:strike/>
                <w:sz w:val="20"/>
                <w:highlight w:val="yellow"/>
              </w:rPr>
            </w:pPr>
            <w:r w:rsidRPr="00572EE8">
              <w:rPr>
                <w:sz w:val="20"/>
              </w:rPr>
              <w:t>It is optional for an HE AP STA to receive HE MU PPDUs, and for an non-AP HE STA to transmit HE MU PPDUs.  HE AP STA does not transmit HE TB PPDUs, and non-AP HE STA does not receive HE TB PPDUs.</w:t>
            </w:r>
          </w:p>
        </w:tc>
        <w:tc>
          <w:tcPr>
            <w:tcW w:w="2409" w:type="dxa"/>
            <w:shd w:val="clear" w:color="auto" w:fill="auto"/>
          </w:tcPr>
          <w:p w14:paraId="03C78CE5" w14:textId="34A0EE81" w:rsidR="006E63BD" w:rsidRPr="00572EE8" w:rsidRDefault="006E63BD" w:rsidP="006E63BD">
            <w:pPr>
              <w:spacing w:line="276" w:lineRule="auto"/>
              <w:jc w:val="both"/>
              <w:rPr>
                <w:strike/>
                <w:sz w:val="20"/>
                <w:highlight w:val="yellow"/>
              </w:rPr>
            </w:pPr>
            <w:r w:rsidRPr="00572EE8">
              <w:rPr>
                <w:sz w:val="20"/>
              </w:rPr>
              <w:t>Change "3.2 ++s GI duration on both HE-LTF and data symbols when the 4x HE-LTF is used (transmit and receive)" to "3.2 ++s GI duration on both HE-LTF and data symbols when the 4x HE-LTF is used in HE SU PPDUs (transmit and receive)"</w:t>
            </w:r>
          </w:p>
        </w:tc>
        <w:tc>
          <w:tcPr>
            <w:tcW w:w="3453" w:type="dxa"/>
            <w:shd w:val="clear" w:color="auto" w:fill="auto"/>
            <w:vAlign w:val="center"/>
          </w:tcPr>
          <w:p w14:paraId="6198448C" w14:textId="473CF810" w:rsidR="006E63BD" w:rsidRPr="00572EE8" w:rsidRDefault="004638F9" w:rsidP="006E63BD">
            <w:pPr>
              <w:spacing w:line="276" w:lineRule="auto"/>
              <w:jc w:val="both"/>
              <w:rPr>
                <w:sz w:val="20"/>
              </w:rPr>
            </w:pPr>
            <w:r w:rsidRPr="00572EE8">
              <w:rPr>
                <w:sz w:val="20"/>
              </w:rPr>
              <w:t>Revised—</w:t>
            </w:r>
          </w:p>
          <w:p w14:paraId="5907788A" w14:textId="6796754C" w:rsidR="007D42D2" w:rsidRPr="00572EE8" w:rsidRDefault="004638F9" w:rsidP="007D42D2">
            <w:pPr>
              <w:spacing w:line="276" w:lineRule="auto"/>
              <w:jc w:val="both"/>
              <w:rPr>
                <w:sz w:val="20"/>
              </w:rPr>
            </w:pPr>
            <w:r w:rsidRPr="00572EE8">
              <w:rPr>
                <w:sz w:val="20"/>
              </w:rPr>
              <w:t>“3.2 μs GI duration on both HE-LTF and data symbols when the 4x HE-LTF is used (transmit and receive)”</w:t>
            </w:r>
            <w:r w:rsidR="007D42D2" w:rsidRPr="00572EE8">
              <w:rPr>
                <w:sz w:val="20"/>
              </w:rPr>
              <w:t xml:space="preserve"> is qualified for various PPDU formats.</w:t>
            </w:r>
          </w:p>
          <w:p w14:paraId="0EA83D7F" w14:textId="77777777" w:rsidR="007D42D2" w:rsidRPr="00572EE8" w:rsidRDefault="007D42D2" w:rsidP="007D42D2">
            <w:pPr>
              <w:spacing w:line="276" w:lineRule="auto"/>
              <w:jc w:val="both"/>
              <w:rPr>
                <w:sz w:val="20"/>
              </w:rPr>
            </w:pPr>
          </w:p>
          <w:p w14:paraId="1974E58A" w14:textId="77F3DDD4" w:rsidR="004638F9" w:rsidRPr="00572EE8" w:rsidRDefault="007D42D2" w:rsidP="007D42D2">
            <w:pPr>
              <w:spacing w:line="276" w:lineRule="auto"/>
              <w:jc w:val="both"/>
              <w:rPr>
                <w:strike/>
                <w:sz w:val="20"/>
                <w:highlight w:val="yellow"/>
              </w:rPr>
            </w:pPr>
            <w:r w:rsidRPr="00572EE8">
              <w:rPr>
                <w:sz w:val="20"/>
              </w:rPr>
              <w:t>TGax Editor to make the changes for CID13998 as suggested in proposed resolution in IEEE 802.11-18/0</w:t>
            </w:r>
            <w:r w:rsidR="0035010D">
              <w:rPr>
                <w:sz w:val="20"/>
              </w:rPr>
              <w:t>725</w:t>
            </w:r>
            <w:r w:rsidRPr="00572EE8">
              <w:rPr>
                <w:sz w:val="20"/>
              </w:rPr>
              <w:t>r0</w:t>
            </w:r>
          </w:p>
        </w:tc>
      </w:tr>
      <w:tr w:rsidR="007D42D2" w:rsidRPr="00572EE8" w14:paraId="44D234AC" w14:textId="77777777" w:rsidTr="002F1C40">
        <w:trPr>
          <w:trHeight w:val="336"/>
        </w:trPr>
        <w:tc>
          <w:tcPr>
            <w:tcW w:w="787" w:type="dxa"/>
            <w:shd w:val="clear" w:color="auto" w:fill="auto"/>
          </w:tcPr>
          <w:p w14:paraId="21ABB0DE" w14:textId="36864D5D" w:rsidR="007D42D2" w:rsidRPr="00572EE8" w:rsidRDefault="007D42D2" w:rsidP="007D42D2">
            <w:pPr>
              <w:spacing w:line="276" w:lineRule="auto"/>
              <w:jc w:val="both"/>
              <w:rPr>
                <w:sz w:val="20"/>
                <w:lang w:val="en-US"/>
              </w:rPr>
            </w:pPr>
            <w:r w:rsidRPr="00572EE8">
              <w:rPr>
                <w:sz w:val="20"/>
                <w:lang w:val="en-US"/>
              </w:rPr>
              <w:t>14001</w:t>
            </w:r>
          </w:p>
        </w:tc>
        <w:tc>
          <w:tcPr>
            <w:tcW w:w="810" w:type="dxa"/>
            <w:shd w:val="clear" w:color="auto" w:fill="auto"/>
          </w:tcPr>
          <w:p w14:paraId="52ACEC18" w14:textId="518C6C77" w:rsidR="007D42D2" w:rsidRPr="00572EE8" w:rsidRDefault="007D42D2" w:rsidP="007D42D2">
            <w:pPr>
              <w:spacing w:line="276" w:lineRule="auto"/>
              <w:jc w:val="both"/>
              <w:rPr>
                <w:sz w:val="20"/>
                <w:lang w:val="en-US"/>
              </w:rPr>
            </w:pPr>
            <w:r w:rsidRPr="00572EE8">
              <w:rPr>
                <w:sz w:val="20"/>
                <w:lang w:val="en-US"/>
              </w:rPr>
              <w:t>28.1.1</w:t>
            </w:r>
          </w:p>
        </w:tc>
        <w:tc>
          <w:tcPr>
            <w:tcW w:w="720" w:type="dxa"/>
            <w:shd w:val="clear" w:color="auto" w:fill="auto"/>
          </w:tcPr>
          <w:p w14:paraId="4EEA3E71" w14:textId="14C86CB6" w:rsidR="007D42D2" w:rsidRPr="00572EE8" w:rsidRDefault="007D42D2" w:rsidP="007D42D2">
            <w:pPr>
              <w:spacing w:line="276" w:lineRule="auto"/>
              <w:jc w:val="both"/>
              <w:rPr>
                <w:sz w:val="20"/>
                <w:lang w:val="en-US"/>
              </w:rPr>
            </w:pPr>
            <w:r w:rsidRPr="00572EE8">
              <w:rPr>
                <w:sz w:val="20"/>
                <w:lang w:val="en-US"/>
              </w:rPr>
              <w:t>28.1.1</w:t>
            </w:r>
          </w:p>
        </w:tc>
        <w:tc>
          <w:tcPr>
            <w:tcW w:w="3048" w:type="dxa"/>
            <w:shd w:val="clear" w:color="auto" w:fill="auto"/>
          </w:tcPr>
          <w:p w14:paraId="0B6A5A35" w14:textId="2E6F5762" w:rsidR="007D42D2" w:rsidRPr="00572EE8" w:rsidRDefault="007D42D2" w:rsidP="007D42D2">
            <w:pPr>
              <w:spacing w:line="276" w:lineRule="auto"/>
              <w:jc w:val="both"/>
              <w:rPr>
                <w:sz w:val="20"/>
              </w:rPr>
            </w:pPr>
            <w:r w:rsidRPr="00572EE8">
              <w:rPr>
                <w:sz w:val="20"/>
              </w:rPr>
              <w:t>Language (style) of mandatory/optional features for AP and non-AP STAs are vastly different.  E.g. AP section generally says "feature X (transmit)", while non-AP section generally says "support transmission of X".</w:t>
            </w:r>
          </w:p>
        </w:tc>
        <w:tc>
          <w:tcPr>
            <w:tcW w:w="2409" w:type="dxa"/>
            <w:shd w:val="clear" w:color="auto" w:fill="auto"/>
          </w:tcPr>
          <w:p w14:paraId="0A135EFA" w14:textId="00782139" w:rsidR="007D42D2" w:rsidRPr="00572EE8" w:rsidRDefault="007D42D2" w:rsidP="007D42D2">
            <w:pPr>
              <w:spacing w:line="276" w:lineRule="auto"/>
              <w:jc w:val="both"/>
              <w:rPr>
                <w:sz w:val="20"/>
              </w:rPr>
            </w:pPr>
            <w:r w:rsidRPr="00572EE8">
              <w:rPr>
                <w:sz w:val="20"/>
              </w:rPr>
              <w:t>Fix the language/style of section 28.1.1</w:t>
            </w:r>
          </w:p>
        </w:tc>
        <w:tc>
          <w:tcPr>
            <w:tcW w:w="3453" w:type="dxa"/>
            <w:shd w:val="clear" w:color="auto" w:fill="auto"/>
            <w:vAlign w:val="center"/>
          </w:tcPr>
          <w:p w14:paraId="566174C5" w14:textId="1840F63C" w:rsidR="007D42D2" w:rsidRPr="00572EE8" w:rsidRDefault="007D42D2" w:rsidP="007D42D2">
            <w:pPr>
              <w:spacing w:line="276" w:lineRule="auto"/>
              <w:jc w:val="both"/>
              <w:rPr>
                <w:sz w:val="20"/>
              </w:rPr>
            </w:pPr>
            <w:r w:rsidRPr="00572EE8">
              <w:rPr>
                <w:sz w:val="20"/>
              </w:rPr>
              <w:t>Reject—</w:t>
            </w:r>
          </w:p>
          <w:p w14:paraId="242F4762" w14:textId="5B4ABDA9" w:rsidR="007D42D2" w:rsidRPr="00572EE8" w:rsidRDefault="007D42D2" w:rsidP="007D42D2">
            <w:pPr>
              <w:spacing w:line="276" w:lineRule="auto"/>
              <w:jc w:val="both"/>
              <w:rPr>
                <w:sz w:val="20"/>
              </w:rPr>
            </w:pPr>
            <w:r w:rsidRPr="00572EE8">
              <w:rPr>
                <w:sz w:val="20"/>
              </w:rPr>
              <w:t>D2.3 has improved has ameliorated language consistency issues. While one may say further improvements can be made, at this point the text is technically correct and offers good readability.</w:t>
            </w:r>
          </w:p>
        </w:tc>
      </w:tr>
      <w:tr w:rsidR="007D42D2" w:rsidRPr="00572EE8" w14:paraId="47E4177C" w14:textId="77777777" w:rsidTr="002F1C40">
        <w:trPr>
          <w:trHeight w:val="336"/>
        </w:trPr>
        <w:tc>
          <w:tcPr>
            <w:tcW w:w="787" w:type="dxa"/>
            <w:shd w:val="clear" w:color="auto" w:fill="auto"/>
          </w:tcPr>
          <w:p w14:paraId="5B38613E" w14:textId="01F42542" w:rsidR="007D42D2" w:rsidRPr="00572EE8" w:rsidRDefault="007D42D2" w:rsidP="007D42D2">
            <w:pPr>
              <w:spacing w:line="276" w:lineRule="auto"/>
              <w:jc w:val="both"/>
              <w:rPr>
                <w:sz w:val="20"/>
                <w:lang w:val="en-US"/>
              </w:rPr>
            </w:pPr>
            <w:r w:rsidRPr="00572EE8">
              <w:rPr>
                <w:sz w:val="20"/>
                <w:lang w:val="en-US"/>
              </w:rPr>
              <w:t>14004</w:t>
            </w:r>
          </w:p>
        </w:tc>
        <w:tc>
          <w:tcPr>
            <w:tcW w:w="810" w:type="dxa"/>
            <w:shd w:val="clear" w:color="auto" w:fill="auto"/>
          </w:tcPr>
          <w:p w14:paraId="1CF77D17" w14:textId="2A79D44D" w:rsidR="007D42D2" w:rsidRPr="00572EE8" w:rsidRDefault="007D42D2" w:rsidP="007D42D2">
            <w:pPr>
              <w:spacing w:line="276" w:lineRule="auto"/>
              <w:jc w:val="both"/>
              <w:rPr>
                <w:sz w:val="20"/>
                <w:lang w:val="en-US"/>
              </w:rPr>
            </w:pPr>
            <w:r w:rsidRPr="00572EE8">
              <w:rPr>
                <w:sz w:val="20"/>
                <w:lang w:val="en-US"/>
              </w:rPr>
              <w:t>28.1.1</w:t>
            </w:r>
          </w:p>
        </w:tc>
        <w:tc>
          <w:tcPr>
            <w:tcW w:w="720" w:type="dxa"/>
            <w:shd w:val="clear" w:color="auto" w:fill="auto"/>
          </w:tcPr>
          <w:p w14:paraId="5D868E9B" w14:textId="67CBD3A5" w:rsidR="007D42D2" w:rsidRPr="00572EE8" w:rsidRDefault="007D42D2" w:rsidP="007D42D2">
            <w:pPr>
              <w:spacing w:line="276" w:lineRule="auto"/>
              <w:jc w:val="both"/>
              <w:rPr>
                <w:sz w:val="20"/>
                <w:lang w:val="en-US"/>
              </w:rPr>
            </w:pPr>
            <w:r w:rsidRPr="00572EE8">
              <w:rPr>
                <w:sz w:val="20"/>
                <w:lang w:val="en-US"/>
              </w:rPr>
              <w:t>330.20</w:t>
            </w:r>
          </w:p>
        </w:tc>
        <w:tc>
          <w:tcPr>
            <w:tcW w:w="3048" w:type="dxa"/>
            <w:shd w:val="clear" w:color="auto" w:fill="auto"/>
          </w:tcPr>
          <w:p w14:paraId="0E19B371" w14:textId="72D2DB41" w:rsidR="007D42D2" w:rsidRPr="00572EE8" w:rsidRDefault="007D42D2" w:rsidP="007D42D2">
            <w:pPr>
              <w:spacing w:line="276" w:lineRule="auto"/>
              <w:jc w:val="both"/>
              <w:rPr>
                <w:sz w:val="20"/>
              </w:rPr>
            </w:pPr>
            <w:r w:rsidRPr="00572EE8">
              <w:rPr>
                <w:sz w:val="20"/>
              </w:rPr>
              <w:t>A non-AP HE STA cannot transmit any HE MU PPDU.  It can transmit only a single RU - full BW or 106 tones.</w:t>
            </w:r>
          </w:p>
        </w:tc>
        <w:tc>
          <w:tcPr>
            <w:tcW w:w="2409" w:type="dxa"/>
            <w:shd w:val="clear" w:color="auto" w:fill="auto"/>
          </w:tcPr>
          <w:p w14:paraId="0B05B572" w14:textId="1E32489F" w:rsidR="007D42D2" w:rsidRPr="00572EE8" w:rsidRDefault="007D42D2" w:rsidP="007D42D2">
            <w:pPr>
              <w:spacing w:line="276" w:lineRule="auto"/>
              <w:jc w:val="both"/>
              <w:rPr>
                <w:sz w:val="20"/>
              </w:rPr>
            </w:pPr>
            <w:r w:rsidRPr="00572EE8">
              <w:rPr>
                <w:sz w:val="20"/>
              </w:rPr>
              <w:t>Change "Transmission of HE MU PPDU" to "Transmission of HE MU PPDUs with a single RU spanning the entire PPDU bandwidth, or 20 MHz HE MU PPDUs with a single RU with 106 tones in the Primary 20 MHz channel"</w:t>
            </w:r>
          </w:p>
        </w:tc>
        <w:tc>
          <w:tcPr>
            <w:tcW w:w="3453" w:type="dxa"/>
            <w:shd w:val="clear" w:color="auto" w:fill="auto"/>
            <w:vAlign w:val="center"/>
          </w:tcPr>
          <w:p w14:paraId="533D8CD7" w14:textId="6B4F2860" w:rsidR="007D42D2" w:rsidRPr="00572EE8" w:rsidRDefault="006D0E7B" w:rsidP="007D42D2">
            <w:pPr>
              <w:spacing w:line="276" w:lineRule="auto"/>
              <w:jc w:val="both"/>
              <w:rPr>
                <w:sz w:val="20"/>
              </w:rPr>
            </w:pPr>
            <w:r w:rsidRPr="00572EE8">
              <w:rPr>
                <w:sz w:val="20"/>
              </w:rPr>
              <w:t>Accept—</w:t>
            </w:r>
          </w:p>
          <w:p w14:paraId="750E7D26" w14:textId="34DB1190" w:rsidR="006D0E7B" w:rsidRPr="00572EE8" w:rsidRDefault="006D0E7B" w:rsidP="007D42D2">
            <w:pPr>
              <w:spacing w:line="276" w:lineRule="auto"/>
              <w:jc w:val="both"/>
              <w:rPr>
                <w:sz w:val="20"/>
              </w:rPr>
            </w:pPr>
          </w:p>
        </w:tc>
      </w:tr>
      <w:tr w:rsidR="006D0E7B" w:rsidRPr="00572EE8" w14:paraId="4F9986BE" w14:textId="77777777" w:rsidTr="002F1C40">
        <w:trPr>
          <w:trHeight w:val="336"/>
        </w:trPr>
        <w:tc>
          <w:tcPr>
            <w:tcW w:w="787" w:type="dxa"/>
            <w:shd w:val="clear" w:color="auto" w:fill="auto"/>
          </w:tcPr>
          <w:p w14:paraId="1BD17322" w14:textId="44D1DF6E" w:rsidR="006D0E7B" w:rsidRPr="00572EE8" w:rsidRDefault="006D0E7B" w:rsidP="006D0E7B">
            <w:pPr>
              <w:spacing w:line="276" w:lineRule="auto"/>
              <w:jc w:val="both"/>
              <w:rPr>
                <w:sz w:val="20"/>
                <w:lang w:val="en-US"/>
              </w:rPr>
            </w:pPr>
            <w:r w:rsidRPr="00572EE8">
              <w:rPr>
                <w:sz w:val="20"/>
                <w:lang w:val="en-US"/>
              </w:rPr>
              <w:t>14008</w:t>
            </w:r>
          </w:p>
        </w:tc>
        <w:tc>
          <w:tcPr>
            <w:tcW w:w="810" w:type="dxa"/>
            <w:shd w:val="clear" w:color="auto" w:fill="auto"/>
          </w:tcPr>
          <w:p w14:paraId="4D3AA4A9" w14:textId="6BDB1942" w:rsidR="006D0E7B" w:rsidRPr="00572EE8" w:rsidRDefault="006D0E7B" w:rsidP="006D0E7B">
            <w:pPr>
              <w:spacing w:line="276" w:lineRule="auto"/>
              <w:jc w:val="both"/>
              <w:rPr>
                <w:sz w:val="20"/>
                <w:lang w:val="en-US"/>
              </w:rPr>
            </w:pPr>
            <w:r w:rsidRPr="00572EE8">
              <w:rPr>
                <w:sz w:val="20"/>
                <w:lang w:val="en-US"/>
              </w:rPr>
              <w:t>28.1.1</w:t>
            </w:r>
          </w:p>
        </w:tc>
        <w:tc>
          <w:tcPr>
            <w:tcW w:w="720" w:type="dxa"/>
            <w:shd w:val="clear" w:color="auto" w:fill="auto"/>
          </w:tcPr>
          <w:p w14:paraId="5DCBC1E8" w14:textId="01DEF5CD" w:rsidR="006D0E7B" w:rsidRPr="00572EE8" w:rsidRDefault="006D0E7B" w:rsidP="006D0E7B">
            <w:pPr>
              <w:spacing w:line="276" w:lineRule="auto"/>
              <w:jc w:val="both"/>
              <w:rPr>
                <w:sz w:val="20"/>
                <w:lang w:val="en-US"/>
              </w:rPr>
            </w:pPr>
            <w:r w:rsidRPr="00572EE8">
              <w:rPr>
                <w:sz w:val="20"/>
                <w:lang w:val="en-US"/>
              </w:rPr>
              <w:t>330.52</w:t>
            </w:r>
          </w:p>
        </w:tc>
        <w:tc>
          <w:tcPr>
            <w:tcW w:w="3048" w:type="dxa"/>
            <w:shd w:val="clear" w:color="auto" w:fill="auto"/>
          </w:tcPr>
          <w:p w14:paraId="6CDACB4D" w14:textId="690D38CC" w:rsidR="006D0E7B" w:rsidRPr="00572EE8" w:rsidRDefault="006D0E7B" w:rsidP="006D0E7B">
            <w:pPr>
              <w:spacing w:line="276" w:lineRule="auto"/>
              <w:jc w:val="both"/>
              <w:rPr>
                <w:sz w:val="20"/>
              </w:rPr>
            </w:pPr>
            <w:r w:rsidRPr="00572EE8">
              <w:rPr>
                <w:sz w:val="20"/>
              </w:rPr>
              <w:t>The assigned RU is in the Primary 80 MHz.</w:t>
            </w:r>
          </w:p>
        </w:tc>
        <w:tc>
          <w:tcPr>
            <w:tcW w:w="2409" w:type="dxa"/>
            <w:shd w:val="clear" w:color="auto" w:fill="auto"/>
          </w:tcPr>
          <w:p w14:paraId="20B64A00" w14:textId="3B48D93B" w:rsidR="006D0E7B" w:rsidRPr="00572EE8" w:rsidRDefault="006D0E7B" w:rsidP="006D0E7B">
            <w:pPr>
              <w:spacing w:line="276" w:lineRule="auto"/>
              <w:jc w:val="both"/>
              <w:rPr>
                <w:sz w:val="20"/>
              </w:rPr>
            </w:pPr>
            <w:r w:rsidRPr="00572EE8">
              <w:rPr>
                <w:sz w:val="20"/>
              </w:rPr>
              <w:t>Add ", where the assigned RU is within the Primary 80 MHz channel" at the end of P330L52.</w:t>
            </w:r>
          </w:p>
        </w:tc>
        <w:tc>
          <w:tcPr>
            <w:tcW w:w="3453" w:type="dxa"/>
            <w:shd w:val="clear" w:color="auto" w:fill="auto"/>
            <w:vAlign w:val="center"/>
          </w:tcPr>
          <w:p w14:paraId="14C9BD40" w14:textId="08260CFF" w:rsidR="006D0E7B" w:rsidRPr="00572EE8" w:rsidRDefault="006D0E7B" w:rsidP="006D0E7B">
            <w:pPr>
              <w:spacing w:line="276" w:lineRule="auto"/>
              <w:jc w:val="both"/>
              <w:rPr>
                <w:sz w:val="20"/>
              </w:rPr>
            </w:pPr>
            <w:r w:rsidRPr="00572EE8">
              <w:rPr>
                <w:sz w:val="20"/>
              </w:rPr>
              <w:t>Accept—</w:t>
            </w:r>
          </w:p>
          <w:p w14:paraId="0C41B3C0" w14:textId="149AE181" w:rsidR="006D0E7B" w:rsidRPr="00572EE8" w:rsidRDefault="006D0E7B" w:rsidP="006D0E7B">
            <w:pPr>
              <w:spacing w:line="276" w:lineRule="auto"/>
              <w:jc w:val="both"/>
              <w:rPr>
                <w:sz w:val="20"/>
              </w:rPr>
            </w:pPr>
          </w:p>
        </w:tc>
      </w:tr>
      <w:tr w:rsidR="006F59EB" w:rsidRPr="00572EE8" w14:paraId="7905F7EF" w14:textId="77777777" w:rsidTr="002F1C40">
        <w:trPr>
          <w:trHeight w:val="336"/>
        </w:trPr>
        <w:tc>
          <w:tcPr>
            <w:tcW w:w="787" w:type="dxa"/>
            <w:shd w:val="clear" w:color="auto" w:fill="auto"/>
          </w:tcPr>
          <w:p w14:paraId="50F11F1C" w14:textId="4C624F58" w:rsidR="006F59EB" w:rsidRPr="00572EE8" w:rsidRDefault="006F59EB" w:rsidP="006F59EB">
            <w:pPr>
              <w:spacing w:line="276" w:lineRule="auto"/>
              <w:jc w:val="both"/>
              <w:rPr>
                <w:sz w:val="20"/>
                <w:lang w:val="en-US"/>
              </w:rPr>
            </w:pPr>
            <w:bookmarkStart w:id="0" w:name="_Hlk511993989"/>
          </w:p>
        </w:tc>
        <w:tc>
          <w:tcPr>
            <w:tcW w:w="810" w:type="dxa"/>
            <w:shd w:val="clear" w:color="auto" w:fill="auto"/>
          </w:tcPr>
          <w:p w14:paraId="4D4342DF" w14:textId="370EC32C" w:rsidR="006F59EB" w:rsidRPr="00572EE8" w:rsidRDefault="006F59EB" w:rsidP="006F59EB">
            <w:pPr>
              <w:spacing w:line="276" w:lineRule="auto"/>
              <w:jc w:val="both"/>
              <w:rPr>
                <w:sz w:val="20"/>
                <w:lang w:val="en-US"/>
              </w:rPr>
            </w:pPr>
          </w:p>
        </w:tc>
        <w:tc>
          <w:tcPr>
            <w:tcW w:w="720" w:type="dxa"/>
            <w:shd w:val="clear" w:color="auto" w:fill="auto"/>
          </w:tcPr>
          <w:p w14:paraId="28694CB7" w14:textId="03142652" w:rsidR="006F59EB" w:rsidRPr="00572EE8" w:rsidRDefault="006F59EB" w:rsidP="006F59EB">
            <w:pPr>
              <w:spacing w:line="276" w:lineRule="auto"/>
              <w:jc w:val="both"/>
              <w:rPr>
                <w:sz w:val="20"/>
                <w:lang w:val="en-US"/>
              </w:rPr>
            </w:pPr>
          </w:p>
        </w:tc>
        <w:tc>
          <w:tcPr>
            <w:tcW w:w="3048" w:type="dxa"/>
            <w:shd w:val="clear" w:color="auto" w:fill="auto"/>
          </w:tcPr>
          <w:p w14:paraId="6AB0CAF1" w14:textId="7E1191D2" w:rsidR="006F59EB" w:rsidRPr="00572EE8" w:rsidRDefault="006F59EB" w:rsidP="006F59EB">
            <w:pPr>
              <w:spacing w:line="276" w:lineRule="auto"/>
              <w:jc w:val="both"/>
              <w:rPr>
                <w:sz w:val="20"/>
              </w:rPr>
            </w:pPr>
          </w:p>
        </w:tc>
        <w:tc>
          <w:tcPr>
            <w:tcW w:w="2409" w:type="dxa"/>
            <w:shd w:val="clear" w:color="auto" w:fill="auto"/>
          </w:tcPr>
          <w:p w14:paraId="1B665DD0" w14:textId="3A7D9032" w:rsidR="006F59EB" w:rsidRPr="00572EE8" w:rsidRDefault="006F59EB" w:rsidP="006F59EB">
            <w:pPr>
              <w:spacing w:line="276" w:lineRule="auto"/>
              <w:jc w:val="both"/>
              <w:rPr>
                <w:sz w:val="20"/>
              </w:rPr>
            </w:pPr>
          </w:p>
        </w:tc>
        <w:tc>
          <w:tcPr>
            <w:tcW w:w="3453" w:type="dxa"/>
            <w:shd w:val="clear" w:color="auto" w:fill="auto"/>
            <w:vAlign w:val="center"/>
          </w:tcPr>
          <w:p w14:paraId="4129BB5F" w14:textId="77777777" w:rsidR="006F59EB" w:rsidRPr="00572EE8" w:rsidRDefault="006F59EB" w:rsidP="006F59EB">
            <w:pPr>
              <w:spacing w:line="276" w:lineRule="auto"/>
              <w:jc w:val="both"/>
              <w:rPr>
                <w:sz w:val="20"/>
              </w:rPr>
            </w:pPr>
          </w:p>
        </w:tc>
      </w:tr>
      <w:bookmarkEnd w:id="0"/>
    </w:tbl>
    <w:p w14:paraId="2D43A42B" w14:textId="1C38DD67" w:rsidR="00F400A1" w:rsidRPr="00572EE8" w:rsidRDefault="00F400A1" w:rsidP="00F400A1">
      <w:pPr>
        <w:autoSpaceDE w:val="0"/>
        <w:autoSpaceDN w:val="0"/>
        <w:adjustRightInd w:val="0"/>
        <w:jc w:val="both"/>
        <w:rPr>
          <w:sz w:val="20"/>
          <w:lang w:val="en-US" w:eastAsia="ko-KR"/>
        </w:rPr>
      </w:pPr>
    </w:p>
    <w:p w14:paraId="278DB935" w14:textId="6499F166" w:rsidR="007C64D7" w:rsidRDefault="007C64D7" w:rsidP="00B70113">
      <w:pPr>
        <w:spacing w:line="360" w:lineRule="auto"/>
        <w:rPr>
          <w:b/>
          <w:bCs/>
          <w:iCs/>
          <w:sz w:val="20"/>
          <w:lang w:eastAsia="ko-KR"/>
        </w:rPr>
      </w:pPr>
    </w:p>
    <w:p w14:paraId="00CECD1F" w14:textId="189FC36E" w:rsidR="0035010D" w:rsidRDefault="0035010D" w:rsidP="00B70113">
      <w:pPr>
        <w:spacing w:line="360" w:lineRule="auto"/>
        <w:rPr>
          <w:b/>
          <w:bCs/>
          <w:iCs/>
          <w:sz w:val="20"/>
          <w:lang w:eastAsia="ko-KR"/>
        </w:rPr>
      </w:pPr>
    </w:p>
    <w:p w14:paraId="44190A09" w14:textId="0FA2CDA8" w:rsidR="0035010D" w:rsidRDefault="0035010D" w:rsidP="00B70113">
      <w:pPr>
        <w:spacing w:line="360" w:lineRule="auto"/>
        <w:rPr>
          <w:b/>
          <w:bCs/>
          <w:iCs/>
          <w:sz w:val="20"/>
          <w:lang w:eastAsia="ko-KR"/>
        </w:rPr>
      </w:pPr>
    </w:p>
    <w:p w14:paraId="73B861AC" w14:textId="0387F3CE" w:rsidR="0035010D" w:rsidRDefault="0035010D" w:rsidP="00B70113">
      <w:pPr>
        <w:spacing w:line="360" w:lineRule="auto"/>
        <w:rPr>
          <w:b/>
          <w:bCs/>
          <w:iCs/>
          <w:sz w:val="20"/>
          <w:lang w:eastAsia="ko-KR"/>
        </w:rPr>
      </w:pPr>
    </w:p>
    <w:p w14:paraId="11A0E41B" w14:textId="645B911C" w:rsidR="0035010D" w:rsidRDefault="0035010D" w:rsidP="00B70113">
      <w:pPr>
        <w:spacing w:line="360" w:lineRule="auto"/>
        <w:rPr>
          <w:b/>
          <w:bCs/>
          <w:iCs/>
          <w:sz w:val="20"/>
          <w:lang w:eastAsia="ko-KR"/>
        </w:rPr>
      </w:pPr>
    </w:p>
    <w:p w14:paraId="27DACCF2" w14:textId="0FF5175D" w:rsidR="0035010D" w:rsidRDefault="0035010D" w:rsidP="00B70113">
      <w:pPr>
        <w:spacing w:line="360" w:lineRule="auto"/>
        <w:rPr>
          <w:b/>
          <w:bCs/>
          <w:iCs/>
          <w:sz w:val="20"/>
          <w:lang w:eastAsia="ko-KR"/>
        </w:rPr>
      </w:pPr>
    </w:p>
    <w:p w14:paraId="488E0E25" w14:textId="0CC18699" w:rsidR="0035010D" w:rsidRDefault="0035010D" w:rsidP="00B70113">
      <w:pPr>
        <w:spacing w:line="360" w:lineRule="auto"/>
        <w:rPr>
          <w:b/>
          <w:bCs/>
          <w:iCs/>
          <w:sz w:val="20"/>
          <w:lang w:eastAsia="ko-KR"/>
        </w:rPr>
      </w:pPr>
    </w:p>
    <w:p w14:paraId="7755574C" w14:textId="77777777" w:rsidR="0035010D" w:rsidRPr="00572EE8" w:rsidRDefault="0035010D" w:rsidP="00B70113">
      <w:pPr>
        <w:spacing w:line="360" w:lineRule="auto"/>
        <w:rPr>
          <w:b/>
          <w:bCs/>
          <w:iCs/>
          <w:sz w:val="20"/>
          <w:lang w:eastAsia="ko-KR"/>
        </w:rPr>
      </w:pPr>
    </w:p>
    <w:p w14:paraId="3E8FEAE9" w14:textId="77777777" w:rsidR="007C64D7" w:rsidRPr="00572EE8" w:rsidRDefault="007C64D7" w:rsidP="00B70113">
      <w:pPr>
        <w:spacing w:line="360" w:lineRule="auto"/>
        <w:rPr>
          <w:b/>
          <w:bCs/>
          <w:iCs/>
          <w:sz w:val="20"/>
          <w:lang w:eastAsia="ko-KR"/>
        </w:rPr>
      </w:pPr>
    </w:p>
    <w:p w14:paraId="456611F2" w14:textId="0306FFCC" w:rsidR="0031091B" w:rsidRPr="00572EE8" w:rsidRDefault="00514C7F" w:rsidP="00B70113">
      <w:pPr>
        <w:spacing w:line="360" w:lineRule="auto"/>
        <w:rPr>
          <w:b/>
          <w:bCs/>
          <w:iCs/>
          <w:sz w:val="20"/>
          <w:lang w:eastAsia="ko-KR"/>
        </w:rPr>
      </w:pPr>
      <w:r w:rsidRPr="00572EE8">
        <w:rPr>
          <w:b/>
          <w:bCs/>
          <w:iCs/>
          <w:sz w:val="20"/>
          <w:lang w:eastAsia="ko-KR"/>
        </w:rPr>
        <w:lastRenderedPageBreak/>
        <w:t>==============================================================================</w:t>
      </w:r>
    </w:p>
    <w:p w14:paraId="4039E803" w14:textId="18C2F533" w:rsidR="006E5109" w:rsidRPr="00572EE8" w:rsidRDefault="006E5109" w:rsidP="00D0011C">
      <w:pPr>
        <w:spacing w:line="276" w:lineRule="auto"/>
        <w:jc w:val="both"/>
        <w:rPr>
          <w:b/>
          <w:bCs/>
          <w:iCs/>
          <w:sz w:val="20"/>
          <w:u w:val="single"/>
          <w:lang w:eastAsia="ko-KR"/>
        </w:rPr>
      </w:pPr>
      <w:bookmarkStart w:id="1" w:name="_GoBack"/>
      <w:bookmarkEnd w:id="1"/>
    </w:p>
    <w:p w14:paraId="187BC462" w14:textId="218FCD3C" w:rsidR="00D0011C" w:rsidRPr="00572EE8" w:rsidRDefault="00D0011C" w:rsidP="00D0011C">
      <w:pPr>
        <w:spacing w:line="276" w:lineRule="auto"/>
        <w:jc w:val="both"/>
        <w:rPr>
          <w:b/>
          <w:bCs/>
          <w:iCs/>
          <w:sz w:val="20"/>
          <w:u w:val="single"/>
          <w:lang w:eastAsia="ko-KR"/>
        </w:rPr>
      </w:pPr>
      <w:r w:rsidRPr="00572EE8">
        <w:rPr>
          <w:b/>
          <w:bCs/>
          <w:iCs/>
          <w:sz w:val="20"/>
          <w:u w:val="single"/>
          <w:lang w:eastAsia="ko-KR"/>
        </w:rPr>
        <w:t>Resolution for CID 12</w:t>
      </w:r>
      <w:r w:rsidR="00263248" w:rsidRPr="00572EE8">
        <w:rPr>
          <w:b/>
          <w:bCs/>
          <w:iCs/>
          <w:sz w:val="20"/>
          <w:u w:val="single"/>
          <w:lang w:eastAsia="ko-KR"/>
        </w:rPr>
        <w:t>766</w:t>
      </w:r>
      <w:r w:rsidR="001C05A1" w:rsidRPr="00572EE8">
        <w:rPr>
          <w:b/>
          <w:bCs/>
          <w:iCs/>
          <w:sz w:val="20"/>
          <w:u w:val="single"/>
          <w:lang w:eastAsia="ko-KR"/>
        </w:rPr>
        <w:t>, 1206</w:t>
      </w:r>
      <w:r w:rsidR="0051693C" w:rsidRPr="00572EE8">
        <w:rPr>
          <w:b/>
          <w:bCs/>
          <w:iCs/>
          <w:sz w:val="20"/>
          <w:u w:val="single"/>
          <w:lang w:eastAsia="ko-KR"/>
        </w:rPr>
        <w:t>6</w:t>
      </w:r>
    </w:p>
    <w:p w14:paraId="5F29A636" w14:textId="77777777" w:rsidR="00D0011C" w:rsidRPr="00572EE8" w:rsidRDefault="00D0011C" w:rsidP="00D0011C">
      <w:pPr>
        <w:spacing w:line="276" w:lineRule="auto"/>
        <w:jc w:val="both"/>
        <w:rPr>
          <w:b/>
          <w:bCs/>
          <w:iCs/>
          <w:sz w:val="20"/>
          <w:u w:val="single"/>
          <w:lang w:eastAsia="ko-KR"/>
        </w:rPr>
      </w:pPr>
    </w:p>
    <w:p w14:paraId="5BDA51D0" w14:textId="32F49EF2" w:rsidR="00D0011C" w:rsidRPr="00572EE8" w:rsidRDefault="00D0011C" w:rsidP="00D0011C">
      <w:pPr>
        <w:spacing w:after="160" w:line="256" w:lineRule="auto"/>
        <w:rPr>
          <w:rStyle w:val="Strong"/>
          <w:sz w:val="20"/>
          <w:highlight w:val="yellow"/>
        </w:rPr>
      </w:pPr>
      <w:r w:rsidRPr="00572EE8">
        <w:rPr>
          <w:rStyle w:val="Strong"/>
          <w:sz w:val="20"/>
          <w:highlight w:val="yellow"/>
        </w:rPr>
        <w:t xml:space="preserve">TGax Editor: Please make the following changes to section </w:t>
      </w:r>
      <w:r w:rsidR="00DA6E6B" w:rsidRPr="00572EE8">
        <w:rPr>
          <w:rStyle w:val="Strong"/>
          <w:sz w:val="20"/>
          <w:highlight w:val="yellow"/>
        </w:rPr>
        <w:t>9.4.1.65 HE CQI-only Report field under the Table 9-76g (HE CQI-Only Report information)</w:t>
      </w:r>
    </w:p>
    <w:p w14:paraId="60CC4B90" w14:textId="21A20F8D" w:rsidR="00D0011C" w:rsidRPr="00572EE8" w:rsidRDefault="00B62211" w:rsidP="0031091B">
      <w:pPr>
        <w:spacing w:after="160" w:line="256" w:lineRule="auto"/>
        <w:rPr>
          <w:color w:val="FF0000"/>
          <w:sz w:val="20"/>
          <w:u w:val="single"/>
        </w:rPr>
      </w:pPr>
      <w:r w:rsidRPr="00572EE8">
        <w:rPr>
          <w:rStyle w:val="Strong"/>
          <w:b w:val="0"/>
          <w:sz w:val="20"/>
        </w:rPr>
        <w:t>Ncqi is the number of RU indices for which the CQI-only report is sent back to the beamformer.</w:t>
      </w:r>
      <w:r w:rsidRPr="00572EE8">
        <w:rPr>
          <w:rStyle w:val="Strong"/>
          <w:b w:val="0"/>
          <w:sz w:val="20"/>
          <w:u w:val="single"/>
        </w:rPr>
        <w:t xml:space="preserve"> </w:t>
      </w:r>
      <w:r w:rsidRPr="00572EE8">
        <w:rPr>
          <w:rStyle w:val="Strong"/>
          <w:b w:val="0"/>
          <w:color w:val="FF0000"/>
          <w:sz w:val="20"/>
          <w:u w:val="single"/>
        </w:rPr>
        <w:t>Ncqi = (RU End Index – RU Start Index) + 1, where RU Start Index and RU End Index are subfields in the HE MIMO Control field.</w:t>
      </w:r>
      <w:r w:rsidR="002B5ABF" w:rsidRPr="00572EE8">
        <w:rPr>
          <w:rStyle w:val="Strong"/>
          <w:b w:val="0"/>
          <w:color w:val="FF0000"/>
          <w:sz w:val="20"/>
          <w:u w:val="single"/>
        </w:rPr>
        <w:t xml:space="preserve"> </w:t>
      </w:r>
      <w:r w:rsidR="002B5ABF" w:rsidRPr="00572EE8">
        <w:rPr>
          <w:rStyle w:val="Strong"/>
          <w:b w:val="0"/>
          <w:sz w:val="20"/>
          <w:highlight w:val="yellow"/>
          <w:u w:val="single"/>
        </w:rPr>
        <w:t>(#12766)</w:t>
      </w:r>
      <w:r w:rsidRPr="00572EE8">
        <w:rPr>
          <w:rStyle w:val="Strong"/>
          <w:b w:val="0"/>
          <w:color w:val="FF0000"/>
          <w:sz w:val="20"/>
        </w:rPr>
        <w:t xml:space="preserve"> </w:t>
      </w:r>
      <w:r w:rsidRPr="00572EE8">
        <w:rPr>
          <w:rStyle w:val="Strong"/>
          <w:b w:val="0"/>
          <w:strike/>
          <w:sz w:val="20"/>
        </w:rPr>
        <w:t>Ncqi is a function of the RU Start Indec and RU End Index subfields in the HE MIMO Control field.</w:t>
      </w:r>
      <w:r w:rsidR="007C64D7" w:rsidRPr="00572EE8">
        <w:rPr>
          <w:rStyle w:val="Strong"/>
          <w:b w:val="0"/>
          <w:strike/>
          <w:sz w:val="20"/>
        </w:rPr>
        <w:t xml:space="preserve"> </w:t>
      </w:r>
      <w:r w:rsidR="007C64D7" w:rsidRPr="00572EE8">
        <w:rPr>
          <w:sz w:val="20"/>
        </w:rPr>
        <w:t xml:space="preserve">The RU indices </w:t>
      </w:r>
      <w:r w:rsidR="007C64D7" w:rsidRPr="00572EE8">
        <w:rPr>
          <w:i/>
          <w:iCs/>
          <w:sz w:val="20"/>
        </w:rPr>
        <w:t>ruidx</w:t>
      </w:r>
      <w:r w:rsidR="007C64D7" w:rsidRPr="00572EE8">
        <w:rPr>
          <w:sz w:val="20"/>
        </w:rPr>
        <w:t xml:space="preserve">(0) and </w:t>
      </w:r>
      <w:r w:rsidR="007C64D7" w:rsidRPr="00572EE8">
        <w:rPr>
          <w:i/>
          <w:iCs/>
          <w:sz w:val="20"/>
        </w:rPr>
        <w:t>ruidx</w:t>
      </w:r>
      <w:r w:rsidR="007C64D7" w:rsidRPr="00572EE8">
        <w:rPr>
          <w:sz w:val="20"/>
        </w:rPr>
        <w:t>(</w:t>
      </w:r>
      <w:r w:rsidR="007C64D7" w:rsidRPr="00572EE8">
        <w:rPr>
          <w:i/>
          <w:iCs/>
          <w:sz w:val="20"/>
        </w:rPr>
        <w:t xml:space="preserve">Ncqi </w:t>
      </w:r>
      <w:r w:rsidR="007C64D7" w:rsidRPr="00572EE8">
        <w:rPr>
          <w:sz w:val="20"/>
        </w:rPr>
        <w:t xml:space="preserve">- 1) correspond to the RU Start Index and RU End Index subfields, respectively. The RU index </w:t>
      </w:r>
      <w:r w:rsidR="007C64D7" w:rsidRPr="00572EE8">
        <w:rPr>
          <w:i/>
          <w:iCs/>
          <w:sz w:val="20"/>
        </w:rPr>
        <w:t>ruidx</w:t>
      </w:r>
      <w:r w:rsidR="007C64D7" w:rsidRPr="00572EE8">
        <w:rPr>
          <w:sz w:val="20"/>
        </w:rPr>
        <w:t>(</w:t>
      </w:r>
      <w:r w:rsidR="007C64D7" w:rsidRPr="00572EE8">
        <w:rPr>
          <w:i/>
          <w:iCs/>
          <w:sz w:val="20"/>
        </w:rPr>
        <w:t>i</w:t>
      </w:r>
      <w:r w:rsidR="007C64D7" w:rsidRPr="00572EE8">
        <w:rPr>
          <w:sz w:val="20"/>
        </w:rPr>
        <w:t xml:space="preserve">) = </w:t>
      </w:r>
      <w:r w:rsidR="007C64D7" w:rsidRPr="00572EE8">
        <w:rPr>
          <w:i/>
          <w:iCs/>
          <w:sz w:val="20"/>
        </w:rPr>
        <w:t>ruidx</w:t>
      </w:r>
      <w:r w:rsidR="007C64D7" w:rsidRPr="00572EE8">
        <w:rPr>
          <w:sz w:val="20"/>
        </w:rPr>
        <w:t>(</w:t>
      </w:r>
      <w:r w:rsidR="007C64D7" w:rsidRPr="00572EE8">
        <w:rPr>
          <w:i/>
          <w:iCs/>
          <w:sz w:val="20"/>
        </w:rPr>
        <w:t xml:space="preserve">i </w:t>
      </w:r>
      <w:r w:rsidR="007C64D7" w:rsidRPr="00572EE8">
        <w:rPr>
          <w:sz w:val="20"/>
        </w:rPr>
        <w:t xml:space="preserve">- 1) + 1, where 1 ≤ </w:t>
      </w:r>
      <w:r w:rsidR="007C64D7" w:rsidRPr="00572EE8">
        <w:rPr>
          <w:i/>
          <w:iCs/>
          <w:sz w:val="20"/>
        </w:rPr>
        <w:t xml:space="preserve">i </w:t>
      </w:r>
      <w:r w:rsidR="007C64D7" w:rsidRPr="00572EE8">
        <w:rPr>
          <w:sz w:val="20"/>
        </w:rPr>
        <w:t xml:space="preserve">≤ </w:t>
      </w:r>
      <w:r w:rsidR="007C64D7" w:rsidRPr="00572EE8">
        <w:rPr>
          <w:i/>
          <w:iCs/>
          <w:sz w:val="20"/>
        </w:rPr>
        <w:t xml:space="preserve">Ncqi </w:t>
      </w:r>
      <w:r w:rsidR="007C64D7" w:rsidRPr="00572EE8">
        <w:rPr>
          <w:sz w:val="20"/>
        </w:rPr>
        <w:t xml:space="preserve">- 2. </w:t>
      </w:r>
      <w:r w:rsidR="00803319" w:rsidRPr="00572EE8">
        <w:rPr>
          <w:color w:val="FF0000"/>
          <w:sz w:val="20"/>
          <w:u w:val="single"/>
        </w:rPr>
        <w:t>The</w:t>
      </w:r>
      <w:r w:rsidR="007C64D7" w:rsidRPr="00572EE8">
        <w:rPr>
          <w:color w:val="FF0000"/>
          <w:sz w:val="20"/>
          <w:u w:val="single"/>
        </w:rPr>
        <w:t xml:space="preserve"> 26-tone RU </w:t>
      </w:r>
      <w:r w:rsidR="00803319" w:rsidRPr="00572EE8">
        <w:rPr>
          <w:color w:val="FF0000"/>
          <w:sz w:val="20"/>
          <w:u w:val="single"/>
        </w:rPr>
        <w:t>subcarrier indices for 20 MHz, 40 MHz, and 80 MHz, are defined in Tables 28-6, 28-7, and 28-8, respectively.</w:t>
      </w:r>
      <w:r w:rsidR="001C05A1" w:rsidRPr="00572EE8">
        <w:rPr>
          <w:color w:val="FF0000"/>
          <w:sz w:val="20"/>
          <w:u w:val="single"/>
        </w:rPr>
        <w:t xml:space="preserve"> </w:t>
      </w:r>
      <w:r w:rsidR="001C05A1" w:rsidRPr="00572EE8">
        <w:rPr>
          <w:sz w:val="20"/>
          <w:highlight w:val="yellow"/>
          <w:u w:val="single"/>
        </w:rPr>
        <w:t>(#1206</w:t>
      </w:r>
      <w:r w:rsidR="0051693C" w:rsidRPr="00572EE8">
        <w:rPr>
          <w:sz w:val="20"/>
          <w:highlight w:val="yellow"/>
          <w:u w:val="single"/>
        </w:rPr>
        <w:t>6</w:t>
      </w:r>
      <w:r w:rsidR="001C05A1" w:rsidRPr="00572EE8">
        <w:rPr>
          <w:sz w:val="20"/>
          <w:highlight w:val="yellow"/>
          <w:u w:val="single"/>
        </w:rPr>
        <w:t>)</w:t>
      </w:r>
    </w:p>
    <w:p w14:paraId="62A1A772" w14:textId="7E47120E" w:rsidR="00803319" w:rsidRPr="00572EE8" w:rsidRDefault="00803319" w:rsidP="0031091B">
      <w:pPr>
        <w:spacing w:after="160" w:line="256" w:lineRule="auto"/>
        <w:rPr>
          <w:rStyle w:val="Strong"/>
          <w:b w:val="0"/>
          <w:sz w:val="20"/>
        </w:rPr>
      </w:pPr>
      <w:r w:rsidRPr="00572EE8">
        <w:rPr>
          <w:rStyle w:val="Strong"/>
          <w:b w:val="0"/>
          <w:sz w:val="20"/>
        </w:rPr>
        <w:t>….</w:t>
      </w:r>
    </w:p>
    <w:p w14:paraId="12D8FC49" w14:textId="62862823" w:rsidR="00572EE8" w:rsidRPr="00572EE8" w:rsidRDefault="00803319" w:rsidP="00E6491F">
      <w:pPr>
        <w:spacing w:line="276" w:lineRule="auto"/>
        <w:jc w:val="both"/>
        <w:rPr>
          <w:b/>
          <w:bCs/>
          <w:iCs/>
          <w:color w:val="FF0000"/>
          <w:sz w:val="20"/>
          <w:u w:val="single"/>
          <w:lang w:eastAsia="ko-KR"/>
        </w:rPr>
      </w:pPr>
      <w:r w:rsidRPr="00572EE8">
        <w:rPr>
          <w:sz w:val="20"/>
        </w:rPr>
        <w:t xml:space="preserve">The </w:t>
      </w:r>
      <w:r w:rsidRPr="00572EE8">
        <w:rPr>
          <w:i/>
          <w:iCs/>
          <w:sz w:val="20"/>
        </w:rPr>
        <w:t xml:space="preserve">AvgSNRk,i </w:t>
      </w:r>
      <w:r w:rsidRPr="00572EE8">
        <w:rPr>
          <w:sz w:val="20"/>
        </w:rPr>
        <w:t xml:space="preserve">in Table 9-76h (Average SNR of RU index k for space-time stream i subfield) is found by computing the arithmetic mean of the SNR per subcarrier in decibels for space-time stream </w:t>
      </w:r>
      <w:r w:rsidRPr="00572EE8">
        <w:rPr>
          <w:i/>
          <w:iCs/>
          <w:sz w:val="20"/>
        </w:rPr>
        <w:t xml:space="preserve">i </w:t>
      </w:r>
      <w:r w:rsidRPr="00572EE8">
        <w:rPr>
          <w:sz w:val="20"/>
        </w:rPr>
        <w:t xml:space="preserve">over the sub-carriers in RU index </w:t>
      </w:r>
      <w:r w:rsidRPr="00572EE8">
        <w:rPr>
          <w:i/>
          <w:iCs/>
          <w:sz w:val="20"/>
        </w:rPr>
        <w:t xml:space="preserve">k </w:t>
      </w:r>
      <w:r w:rsidRPr="00572EE8">
        <w:rPr>
          <w:sz w:val="20"/>
        </w:rPr>
        <w:t xml:space="preserve">for which the feedback is being requested. </w:t>
      </w:r>
      <w:r w:rsidR="00435AC8">
        <w:rPr>
          <w:color w:val="FF0000"/>
          <w:sz w:val="20"/>
          <w:u w:val="single"/>
        </w:rPr>
        <w:t>SNR per subcarrier calculation is defined in 9.4.1.63 (HE Compressed Beamforming Report field)</w:t>
      </w:r>
      <w:r w:rsidRPr="00572EE8">
        <w:rPr>
          <w:color w:val="FF0000"/>
          <w:sz w:val="20"/>
          <w:u w:val="single"/>
        </w:rPr>
        <w:t>.</w:t>
      </w:r>
      <w:r w:rsidR="00435AC8">
        <w:rPr>
          <w:color w:val="FF0000"/>
          <w:sz w:val="20"/>
          <w:u w:val="single"/>
        </w:rPr>
        <w:t xml:space="preserve"> </w:t>
      </w:r>
      <w:r w:rsidR="00572EE8" w:rsidRPr="00572EE8">
        <w:rPr>
          <w:color w:val="FF0000"/>
          <w:sz w:val="20"/>
          <w:u w:val="single"/>
        </w:rPr>
        <w:t>It is recommended that</w:t>
      </w:r>
      <w:r w:rsidR="007D2B09">
        <w:rPr>
          <w:color w:val="FF0000"/>
          <w:sz w:val="20"/>
          <w:u w:val="single"/>
        </w:rPr>
        <w:t xml:space="preserve"> SNR</w:t>
      </w:r>
      <w:r w:rsidR="00435AC8">
        <w:rPr>
          <w:color w:val="FF0000"/>
          <w:sz w:val="20"/>
          <w:u w:val="single"/>
        </w:rPr>
        <w:t xml:space="preserve"> per subcarrier</w:t>
      </w:r>
      <w:r w:rsidR="007D2B09">
        <w:rPr>
          <w:color w:val="FF0000"/>
          <w:sz w:val="20"/>
          <w:u w:val="single"/>
        </w:rPr>
        <w:t xml:space="preserve"> computation is done on at least </w:t>
      </w:r>
      <w:r w:rsidR="006E15B2">
        <w:rPr>
          <w:color w:val="FF0000"/>
          <w:sz w:val="20"/>
          <w:u w:val="single"/>
        </w:rPr>
        <w:t>on 4 subcarriers in a 26-tone RU</w:t>
      </w:r>
      <w:r w:rsidR="00572EE8" w:rsidRPr="00572EE8">
        <w:rPr>
          <w:color w:val="FF0000"/>
          <w:sz w:val="20"/>
          <w:u w:val="single"/>
        </w:rPr>
        <w:t>.</w:t>
      </w:r>
      <w:r w:rsidR="00435AC8">
        <w:rPr>
          <w:color w:val="FF0000"/>
          <w:sz w:val="20"/>
          <w:u w:val="single"/>
        </w:rPr>
        <w:t xml:space="preserve"> </w:t>
      </w:r>
      <w:r w:rsidR="00572EE8" w:rsidRPr="00572EE8">
        <w:rPr>
          <w:sz w:val="20"/>
          <w:highlight w:val="yellow"/>
          <w:u w:val="single"/>
        </w:rPr>
        <w:t>(#12066)</w:t>
      </w:r>
    </w:p>
    <w:p w14:paraId="6C05917D" w14:textId="77777777" w:rsidR="00572EE8" w:rsidRDefault="00572EE8" w:rsidP="00E6491F">
      <w:pPr>
        <w:spacing w:line="276" w:lineRule="auto"/>
        <w:jc w:val="both"/>
        <w:rPr>
          <w:b/>
          <w:bCs/>
          <w:iCs/>
          <w:sz w:val="20"/>
          <w:u w:val="single"/>
          <w:lang w:eastAsia="ko-KR"/>
        </w:rPr>
      </w:pPr>
    </w:p>
    <w:p w14:paraId="44EE2196" w14:textId="4A66FD05" w:rsidR="00E6491F" w:rsidRPr="00572EE8" w:rsidRDefault="00E6491F" w:rsidP="00E6491F">
      <w:pPr>
        <w:spacing w:line="276" w:lineRule="auto"/>
        <w:jc w:val="both"/>
        <w:rPr>
          <w:b/>
          <w:bCs/>
          <w:iCs/>
          <w:sz w:val="20"/>
          <w:u w:val="single"/>
          <w:lang w:eastAsia="ko-KR"/>
        </w:rPr>
      </w:pPr>
      <w:r w:rsidRPr="00572EE8">
        <w:rPr>
          <w:b/>
          <w:bCs/>
          <w:iCs/>
          <w:sz w:val="20"/>
          <w:u w:val="single"/>
          <w:lang w:eastAsia="ko-KR"/>
        </w:rPr>
        <w:t>Resolution for CID 12812</w:t>
      </w:r>
      <w:r w:rsidR="004A443F" w:rsidRPr="00572EE8">
        <w:rPr>
          <w:b/>
          <w:bCs/>
          <w:iCs/>
          <w:sz w:val="20"/>
          <w:u w:val="single"/>
          <w:lang w:eastAsia="ko-KR"/>
        </w:rPr>
        <w:t xml:space="preserve"> and 12813</w:t>
      </w:r>
    </w:p>
    <w:p w14:paraId="260629FF" w14:textId="7D1E79C9" w:rsidR="00A86E6A" w:rsidRPr="00572EE8" w:rsidRDefault="00FF5920" w:rsidP="0031091B">
      <w:pPr>
        <w:spacing w:after="160" w:line="256" w:lineRule="auto"/>
        <w:rPr>
          <w:rStyle w:val="Strong"/>
          <w:sz w:val="20"/>
        </w:rPr>
      </w:pPr>
      <w:r w:rsidRPr="00572EE8">
        <w:rPr>
          <w:rStyle w:val="Strong"/>
          <w:sz w:val="20"/>
        </w:rPr>
        <w:t>28.3.2.7 20 MHz operating non-AP HE STAs</w:t>
      </w:r>
    </w:p>
    <w:p w14:paraId="61261CB3" w14:textId="3F8078A5" w:rsidR="00FF5920" w:rsidRPr="00572EE8" w:rsidRDefault="00FF5920" w:rsidP="00FF5920">
      <w:pPr>
        <w:spacing w:after="160" w:line="256" w:lineRule="auto"/>
        <w:rPr>
          <w:rStyle w:val="Strong"/>
          <w:sz w:val="20"/>
          <w:highlight w:val="yellow"/>
        </w:rPr>
      </w:pPr>
      <w:r w:rsidRPr="00572EE8">
        <w:rPr>
          <w:rStyle w:val="Strong"/>
          <w:sz w:val="20"/>
          <w:highlight w:val="yellow"/>
        </w:rPr>
        <w:t>TGax Editor: Please add the following red text to the end of section 28.3.2.7 (20 MHz operating non-AP HE STAs)</w:t>
      </w:r>
    </w:p>
    <w:p w14:paraId="0CBA36EE" w14:textId="0551AC63" w:rsidR="00A86E6A" w:rsidRPr="00572EE8" w:rsidRDefault="00A86E6A" w:rsidP="0031091B">
      <w:pPr>
        <w:spacing w:after="160" w:line="256" w:lineRule="auto"/>
        <w:rPr>
          <w:rStyle w:val="Strong"/>
          <w:b w:val="0"/>
          <w:sz w:val="20"/>
          <w:highlight w:val="yellow"/>
          <w:u w:val="single"/>
        </w:rPr>
      </w:pPr>
      <w:r w:rsidRPr="00572EE8">
        <w:rPr>
          <w:rStyle w:val="Strong"/>
          <w:b w:val="0"/>
          <w:color w:val="FF0000"/>
          <w:sz w:val="20"/>
          <w:u w:val="single"/>
        </w:rPr>
        <w:t xml:space="preserve">An HE AP STA shall not allocate </w:t>
      </w:r>
      <w:r w:rsidR="008906C2" w:rsidRPr="00572EE8">
        <w:rPr>
          <w:rStyle w:val="Strong"/>
          <w:b w:val="0"/>
          <w:color w:val="FF0000"/>
          <w:sz w:val="20"/>
          <w:u w:val="single"/>
        </w:rPr>
        <w:t xml:space="preserve">any </w:t>
      </w:r>
      <w:r w:rsidRPr="00572EE8">
        <w:rPr>
          <w:rStyle w:val="Strong"/>
          <w:b w:val="0"/>
          <w:color w:val="FF0000"/>
          <w:sz w:val="20"/>
          <w:u w:val="single"/>
        </w:rPr>
        <w:t>RU’s in a 40 MHz HE MU PPDU or HE TB PPDU to a</w:t>
      </w:r>
      <w:r w:rsidR="0056133B" w:rsidRPr="00572EE8">
        <w:rPr>
          <w:rStyle w:val="Strong"/>
          <w:b w:val="0"/>
          <w:color w:val="FF0000"/>
          <w:sz w:val="20"/>
          <w:u w:val="single"/>
        </w:rPr>
        <w:t xml:space="preserve"> 20 MHz operating</w:t>
      </w:r>
      <w:r w:rsidRPr="00572EE8">
        <w:rPr>
          <w:rStyle w:val="Strong"/>
          <w:b w:val="0"/>
          <w:color w:val="FF0000"/>
          <w:sz w:val="20"/>
          <w:u w:val="single"/>
        </w:rPr>
        <w:t xml:space="preserve"> non-AP HE STA that sets the 20 MHz in </w:t>
      </w:r>
      <w:r w:rsidR="00FF5920" w:rsidRPr="00572EE8">
        <w:rPr>
          <w:rStyle w:val="Strong"/>
          <w:b w:val="0"/>
          <w:color w:val="FF0000"/>
          <w:sz w:val="20"/>
          <w:u w:val="single"/>
        </w:rPr>
        <w:t>4</w:t>
      </w:r>
      <w:r w:rsidRPr="00572EE8">
        <w:rPr>
          <w:rStyle w:val="Strong"/>
          <w:b w:val="0"/>
          <w:color w:val="FF0000"/>
          <w:sz w:val="20"/>
          <w:u w:val="single"/>
        </w:rPr>
        <w:t xml:space="preserve">0 MHz HE PPDU In 2.4 GHz Band subfield in the HE PHY Capabilities Information field in the HE Capabilities element to </w:t>
      </w:r>
      <w:r w:rsidR="00FF5920" w:rsidRPr="00572EE8">
        <w:rPr>
          <w:rStyle w:val="Strong"/>
          <w:b w:val="0"/>
          <w:color w:val="FF0000"/>
          <w:sz w:val="20"/>
          <w:u w:val="single"/>
        </w:rPr>
        <w:t>0</w:t>
      </w:r>
      <w:r w:rsidR="008906C2" w:rsidRPr="00572EE8">
        <w:rPr>
          <w:rStyle w:val="Strong"/>
          <w:b w:val="0"/>
          <w:color w:val="FF0000"/>
          <w:sz w:val="20"/>
          <w:u w:val="single"/>
        </w:rPr>
        <w:t>.</w:t>
      </w:r>
      <w:r w:rsidR="00E6491F" w:rsidRPr="00572EE8">
        <w:rPr>
          <w:rStyle w:val="Strong"/>
          <w:b w:val="0"/>
          <w:sz w:val="20"/>
          <w:highlight w:val="yellow"/>
          <w:u w:val="single"/>
        </w:rPr>
        <w:t>(#12812)</w:t>
      </w:r>
    </w:p>
    <w:p w14:paraId="541A2697" w14:textId="1FE0E3DA" w:rsidR="004A443F" w:rsidRPr="00572EE8" w:rsidRDefault="004A443F" w:rsidP="004A443F">
      <w:pPr>
        <w:spacing w:after="160" w:line="256" w:lineRule="auto"/>
        <w:rPr>
          <w:rStyle w:val="Strong"/>
          <w:b w:val="0"/>
          <w:sz w:val="20"/>
          <w:highlight w:val="yellow"/>
          <w:u w:val="single"/>
        </w:rPr>
      </w:pPr>
      <w:r w:rsidRPr="00572EE8">
        <w:rPr>
          <w:rStyle w:val="Strong"/>
          <w:b w:val="0"/>
          <w:color w:val="FF0000"/>
          <w:sz w:val="20"/>
          <w:u w:val="single"/>
        </w:rPr>
        <w:t>An HE AP STA shall not allocate any RU’s in an 160/80+80 MHz HE MU PPDU or HE TB PPDU to a</w:t>
      </w:r>
      <w:r w:rsidR="0056133B" w:rsidRPr="00572EE8">
        <w:rPr>
          <w:rStyle w:val="Strong"/>
          <w:b w:val="0"/>
          <w:color w:val="FF0000"/>
          <w:sz w:val="20"/>
          <w:u w:val="single"/>
        </w:rPr>
        <w:t xml:space="preserve"> 20 MHz operating</w:t>
      </w:r>
      <w:r w:rsidRPr="00572EE8">
        <w:rPr>
          <w:rStyle w:val="Strong"/>
          <w:b w:val="0"/>
          <w:color w:val="FF0000"/>
          <w:sz w:val="20"/>
          <w:u w:val="single"/>
        </w:rPr>
        <w:t xml:space="preserve"> non-AP HE STA that sets the 20 MHz in 160/80+80 MHz HE PPDU In 2.4 GHz Band subfield in the HE PHY Capabilities Information field in the HE Capabilities element to 0.</w:t>
      </w:r>
      <w:r w:rsidRPr="00572EE8">
        <w:rPr>
          <w:rStyle w:val="Strong"/>
          <w:b w:val="0"/>
          <w:sz w:val="20"/>
          <w:highlight w:val="yellow"/>
          <w:u w:val="single"/>
        </w:rPr>
        <w:t>(#12813)</w:t>
      </w:r>
    </w:p>
    <w:p w14:paraId="0B790E47" w14:textId="77777777" w:rsidR="006E5109" w:rsidRPr="00572EE8" w:rsidRDefault="006E5109" w:rsidP="004A443F">
      <w:pPr>
        <w:spacing w:after="160" w:line="256" w:lineRule="auto"/>
        <w:rPr>
          <w:rStyle w:val="Strong"/>
          <w:b w:val="0"/>
          <w:color w:val="FF0000"/>
          <w:sz w:val="20"/>
          <w:u w:val="single"/>
        </w:rPr>
      </w:pPr>
    </w:p>
    <w:p w14:paraId="45366250" w14:textId="1FD6A624" w:rsidR="00EC7747" w:rsidRPr="00572EE8" w:rsidRDefault="00EC7747" w:rsidP="00EC7747">
      <w:pPr>
        <w:spacing w:line="276" w:lineRule="auto"/>
        <w:jc w:val="both"/>
        <w:rPr>
          <w:b/>
          <w:bCs/>
          <w:iCs/>
          <w:sz w:val="20"/>
          <w:u w:val="single"/>
          <w:lang w:eastAsia="ko-KR"/>
        </w:rPr>
      </w:pPr>
      <w:r w:rsidRPr="00572EE8">
        <w:rPr>
          <w:b/>
          <w:bCs/>
          <w:iCs/>
          <w:sz w:val="20"/>
          <w:u w:val="single"/>
          <w:lang w:eastAsia="ko-KR"/>
        </w:rPr>
        <w:t>Resolution for CID 13996</w:t>
      </w:r>
      <w:r w:rsidR="00B06EFE" w:rsidRPr="00572EE8">
        <w:rPr>
          <w:b/>
          <w:bCs/>
          <w:iCs/>
          <w:sz w:val="20"/>
          <w:u w:val="single"/>
          <w:lang w:eastAsia="ko-KR"/>
        </w:rPr>
        <w:t>, 13998</w:t>
      </w:r>
    </w:p>
    <w:p w14:paraId="526675FF" w14:textId="09EB96C6" w:rsidR="00EC7747" w:rsidRPr="00572EE8" w:rsidRDefault="00EC7747" w:rsidP="00EC7747">
      <w:pPr>
        <w:spacing w:after="160" w:line="256" w:lineRule="auto"/>
        <w:rPr>
          <w:rStyle w:val="Strong"/>
          <w:sz w:val="20"/>
        </w:rPr>
      </w:pPr>
      <w:r w:rsidRPr="00572EE8">
        <w:rPr>
          <w:rStyle w:val="Strong"/>
          <w:sz w:val="20"/>
        </w:rPr>
        <w:t>28.1.1 HE PHY Introduction</w:t>
      </w:r>
    </w:p>
    <w:p w14:paraId="6523B285" w14:textId="7C9F5FE8" w:rsidR="00EC7747" w:rsidRPr="00572EE8" w:rsidRDefault="00EC7747" w:rsidP="00EC7747">
      <w:pPr>
        <w:spacing w:after="160" w:line="276" w:lineRule="auto"/>
        <w:jc w:val="both"/>
        <w:rPr>
          <w:rStyle w:val="Strong"/>
          <w:sz w:val="20"/>
          <w:highlight w:val="yellow"/>
        </w:rPr>
      </w:pPr>
      <w:r w:rsidRPr="00572EE8">
        <w:rPr>
          <w:rStyle w:val="Strong"/>
          <w:sz w:val="20"/>
          <w:highlight w:val="yellow"/>
        </w:rPr>
        <w:t>TGax Editor: Please make the following changes to section 28.1.1 (CIDs: 13996)</w:t>
      </w:r>
    </w:p>
    <w:p w14:paraId="73CB0954" w14:textId="77777777" w:rsidR="00EC7747" w:rsidRPr="00572EE8" w:rsidRDefault="00EC7747" w:rsidP="00EC7747">
      <w:pPr>
        <w:spacing w:after="160"/>
        <w:jc w:val="both"/>
        <w:rPr>
          <w:sz w:val="20"/>
        </w:rPr>
      </w:pPr>
      <w:r w:rsidRPr="00572EE8">
        <w:rPr>
          <w:sz w:val="20"/>
        </w:rPr>
        <w:t>An HE STA shall support the following features:</w:t>
      </w:r>
    </w:p>
    <w:p w14:paraId="198514F6" w14:textId="279C9E10" w:rsidR="00B06EFE" w:rsidRPr="00572EE8" w:rsidRDefault="00B06EFE" w:rsidP="00B06EFE">
      <w:pPr>
        <w:pStyle w:val="ListParagraph"/>
        <w:numPr>
          <w:ilvl w:val="0"/>
          <w:numId w:val="45"/>
        </w:numPr>
        <w:spacing w:after="160" w:line="256" w:lineRule="auto"/>
        <w:ind w:leftChars="0"/>
        <w:rPr>
          <w:rStyle w:val="Strong"/>
          <w:sz w:val="20"/>
        </w:rPr>
      </w:pPr>
      <w:r w:rsidRPr="00572EE8">
        <w:rPr>
          <w:rStyle w:val="Strong"/>
          <w:sz w:val="20"/>
        </w:rPr>
        <w:t>…</w:t>
      </w:r>
    </w:p>
    <w:p w14:paraId="5A7113AB" w14:textId="73EB00A8" w:rsidR="00EC7747" w:rsidRPr="00572EE8" w:rsidRDefault="00EC7747" w:rsidP="00B06EFE">
      <w:pPr>
        <w:pStyle w:val="ListParagraph"/>
        <w:numPr>
          <w:ilvl w:val="0"/>
          <w:numId w:val="45"/>
        </w:numPr>
        <w:spacing w:after="160" w:line="256" w:lineRule="auto"/>
        <w:ind w:leftChars="0"/>
        <w:rPr>
          <w:rStyle w:val="Strong"/>
          <w:sz w:val="20"/>
        </w:rPr>
      </w:pPr>
      <w:r w:rsidRPr="00572EE8">
        <w:rPr>
          <w:rStyle w:val="Strong"/>
          <w:b w:val="0"/>
          <w:bCs w:val="0"/>
          <w:sz w:val="20"/>
        </w:rPr>
        <w:t>0.8 us and 1.6 us GI duration on both HE-LTF and data symbols when 2x HE-LTF is used</w:t>
      </w:r>
      <w:r w:rsidRPr="00572EE8">
        <w:rPr>
          <w:rStyle w:val="Strong"/>
          <w:b w:val="0"/>
          <w:bCs w:val="0"/>
          <w:color w:val="FF0000"/>
          <w:sz w:val="20"/>
          <w:u w:val="single"/>
        </w:rPr>
        <w:t xml:space="preserve"> in HE SU PPDUs and HE ER SU PPDUs</w:t>
      </w:r>
      <w:r w:rsidRPr="00572EE8">
        <w:rPr>
          <w:rStyle w:val="Strong"/>
          <w:b w:val="0"/>
          <w:bCs w:val="0"/>
          <w:sz w:val="20"/>
        </w:rPr>
        <w:t xml:space="preserve"> (transmit and receive) </w:t>
      </w:r>
      <w:r w:rsidRPr="00572EE8">
        <w:rPr>
          <w:rStyle w:val="Strong"/>
          <w:b w:val="0"/>
          <w:bCs w:val="0"/>
          <w:sz w:val="20"/>
          <w:highlight w:val="yellow"/>
        </w:rPr>
        <w:t>(#13396)</w:t>
      </w:r>
    </w:p>
    <w:p w14:paraId="26701485" w14:textId="77214062" w:rsidR="00B06EFE" w:rsidRPr="00572EE8" w:rsidRDefault="00B06EFE" w:rsidP="00B06EFE">
      <w:pPr>
        <w:pStyle w:val="ListParagraph"/>
        <w:numPr>
          <w:ilvl w:val="0"/>
          <w:numId w:val="36"/>
        </w:numPr>
        <w:spacing w:after="160"/>
        <w:ind w:leftChars="0"/>
        <w:jc w:val="both"/>
        <w:rPr>
          <w:sz w:val="20"/>
        </w:rPr>
      </w:pPr>
      <w:r w:rsidRPr="00572EE8">
        <w:rPr>
          <w:rStyle w:val="Strong"/>
          <w:b w:val="0"/>
          <w:bCs w:val="0"/>
          <w:sz w:val="20"/>
        </w:rPr>
        <w:t xml:space="preserve">3.2 μs GI duration on both HE-LTF and data symbols when the 4x HE-LTF is used </w:t>
      </w:r>
      <w:r w:rsidRPr="00572EE8">
        <w:rPr>
          <w:rStyle w:val="Strong"/>
          <w:b w:val="0"/>
          <w:bCs w:val="0"/>
          <w:color w:val="FF0000"/>
          <w:sz w:val="20"/>
          <w:u w:val="single"/>
        </w:rPr>
        <w:t xml:space="preserve">in HE SU PPDUs and HE ER SU PPDUs </w:t>
      </w:r>
      <w:r w:rsidRPr="00572EE8">
        <w:rPr>
          <w:rStyle w:val="Strong"/>
          <w:b w:val="0"/>
          <w:bCs w:val="0"/>
          <w:sz w:val="20"/>
        </w:rPr>
        <w:t xml:space="preserve">(transmit and receive) </w:t>
      </w:r>
      <w:r w:rsidRPr="00572EE8">
        <w:rPr>
          <w:sz w:val="20"/>
          <w:highlight w:val="yellow"/>
          <w:u w:val="single"/>
          <w:lang w:val="en-US" w:eastAsia="ko-KR"/>
        </w:rPr>
        <w:t>(#13998)</w:t>
      </w:r>
    </w:p>
    <w:p w14:paraId="7EB95147" w14:textId="77777777" w:rsidR="00B06EFE" w:rsidRPr="00572EE8" w:rsidRDefault="00B06EFE" w:rsidP="00EC7747">
      <w:pPr>
        <w:spacing w:after="160"/>
        <w:jc w:val="both"/>
        <w:rPr>
          <w:rStyle w:val="Strong"/>
          <w:b w:val="0"/>
          <w:bCs w:val="0"/>
          <w:color w:val="FF0000"/>
          <w:sz w:val="20"/>
          <w:u w:val="single"/>
        </w:rPr>
      </w:pPr>
    </w:p>
    <w:p w14:paraId="324B8CC4" w14:textId="7ED762A6" w:rsidR="00EC7747" w:rsidRPr="00572EE8" w:rsidRDefault="00EC7747" w:rsidP="00EC7747">
      <w:pPr>
        <w:spacing w:after="160" w:line="256" w:lineRule="auto"/>
        <w:rPr>
          <w:rStyle w:val="Strong"/>
          <w:b w:val="0"/>
          <w:sz w:val="20"/>
        </w:rPr>
      </w:pPr>
      <w:r w:rsidRPr="00572EE8">
        <w:rPr>
          <w:rStyle w:val="Strong"/>
          <w:b w:val="0"/>
          <w:sz w:val="20"/>
        </w:rPr>
        <w:t xml:space="preserve">An HE AP </w:t>
      </w:r>
      <w:r w:rsidR="006E63BD" w:rsidRPr="00572EE8">
        <w:rPr>
          <w:rStyle w:val="Strong"/>
          <w:b w:val="0"/>
          <w:sz w:val="20"/>
        </w:rPr>
        <w:t>shall support the following features:</w:t>
      </w:r>
    </w:p>
    <w:p w14:paraId="5A8C7614" w14:textId="77777777" w:rsidR="006E63BD" w:rsidRPr="00572EE8" w:rsidRDefault="006E63BD" w:rsidP="006E63BD">
      <w:pPr>
        <w:pStyle w:val="ListParagraph"/>
        <w:numPr>
          <w:ilvl w:val="0"/>
          <w:numId w:val="36"/>
        </w:numPr>
        <w:spacing w:after="160"/>
        <w:ind w:leftChars="0"/>
        <w:jc w:val="both"/>
        <w:rPr>
          <w:rStyle w:val="Strong"/>
          <w:b w:val="0"/>
          <w:bCs w:val="0"/>
          <w:sz w:val="20"/>
        </w:rPr>
      </w:pPr>
      <w:r w:rsidRPr="00572EE8">
        <w:rPr>
          <w:rStyle w:val="Strong"/>
          <w:b w:val="0"/>
          <w:bCs w:val="0"/>
          <w:sz w:val="20"/>
        </w:rPr>
        <w:t>40 MHz and 80 MHz channel widths and all RU sizes and locations applicable to the 40 MHz and 80 MHz channel width in 5 GHz band (transmit and receive)</w:t>
      </w:r>
    </w:p>
    <w:p w14:paraId="599AC0FE" w14:textId="77777777" w:rsidR="006E63BD" w:rsidRPr="00572EE8" w:rsidRDefault="006E63BD" w:rsidP="006E63BD">
      <w:pPr>
        <w:pStyle w:val="ListParagraph"/>
        <w:numPr>
          <w:ilvl w:val="0"/>
          <w:numId w:val="36"/>
        </w:numPr>
        <w:spacing w:after="160"/>
        <w:ind w:leftChars="0"/>
        <w:jc w:val="both"/>
        <w:rPr>
          <w:rStyle w:val="Strong"/>
          <w:b w:val="0"/>
          <w:bCs w:val="0"/>
          <w:sz w:val="20"/>
        </w:rPr>
      </w:pPr>
      <w:r w:rsidRPr="00572EE8">
        <w:rPr>
          <w:rStyle w:val="Strong"/>
          <w:b w:val="0"/>
          <w:bCs w:val="0"/>
          <w:color w:val="FF0000"/>
          <w:sz w:val="20"/>
          <w:u w:val="single"/>
        </w:rPr>
        <w:t>0.8 us and 1.6 us GI duration on both HE-LTF and data symbols when 2x HE-LTF is used in HE MU PPDU (transmit)</w:t>
      </w:r>
      <w:r w:rsidRPr="00572EE8">
        <w:rPr>
          <w:rStyle w:val="Strong"/>
          <w:b w:val="0"/>
          <w:bCs w:val="0"/>
          <w:color w:val="FF0000"/>
          <w:sz w:val="20"/>
        </w:rPr>
        <w:t xml:space="preserve"> </w:t>
      </w:r>
      <w:r w:rsidRPr="00572EE8">
        <w:rPr>
          <w:rStyle w:val="Strong"/>
          <w:b w:val="0"/>
          <w:bCs w:val="0"/>
          <w:sz w:val="20"/>
          <w:highlight w:val="yellow"/>
        </w:rPr>
        <w:t>(#13396)</w:t>
      </w:r>
    </w:p>
    <w:p w14:paraId="53939F29" w14:textId="0051CADE" w:rsidR="006E63BD" w:rsidRPr="00572EE8" w:rsidRDefault="006E63BD" w:rsidP="006E63BD">
      <w:pPr>
        <w:pStyle w:val="ListParagraph"/>
        <w:numPr>
          <w:ilvl w:val="0"/>
          <w:numId w:val="36"/>
        </w:numPr>
        <w:spacing w:after="160"/>
        <w:ind w:leftChars="0"/>
        <w:jc w:val="both"/>
        <w:rPr>
          <w:rStyle w:val="Strong"/>
          <w:b w:val="0"/>
          <w:bCs w:val="0"/>
          <w:sz w:val="20"/>
        </w:rPr>
      </w:pPr>
      <w:r w:rsidRPr="00572EE8">
        <w:rPr>
          <w:rStyle w:val="Strong"/>
          <w:b w:val="0"/>
          <w:bCs w:val="0"/>
          <w:color w:val="FF0000"/>
          <w:sz w:val="20"/>
          <w:u w:val="single"/>
        </w:rPr>
        <w:lastRenderedPageBreak/>
        <w:t>1.6 us GI duration on both HE-LTF and data symbols when 2x HE-LTF is used in HE TB PPDU (receive)</w:t>
      </w:r>
      <w:r w:rsidRPr="00572EE8">
        <w:rPr>
          <w:rStyle w:val="Strong"/>
          <w:b w:val="0"/>
          <w:bCs w:val="0"/>
          <w:color w:val="FF0000"/>
          <w:sz w:val="20"/>
        </w:rPr>
        <w:t xml:space="preserve"> </w:t>
      </w:r>
      <w:r w:rsidRPr="00572EE8">
        <w:rPr>
          <w:rStyle w:val="Strong"/>
          <w:b w:val="0"/>
          <w:bCs w:val="0"/>
          <w:sz w:val="20"/>
          <w:highlight w:val="yellow"/>
        </w:rPr>
        <w:t>(#13396)</w:t>
      </w:r>
    </w:p>
    <w:p w14:paraId="2E140845" w14:textId="518E1BC1" w:rsidR="004B18C2" w:rsidRPr="00572EE8" w:rsidRDefault="004B18C2" w:rsidP="004B18C2">
      <w:pPr>
        <w:pStyle w:val="ListParagraph"/>
        <w:numPr>
          <w:ilvl w:val="0"/>
          <w:numId w:val="36"/>
        </w:numPr>
        <w:spacing w:after="160"/>
        <w:ind w:leftChars="0"/>
        <w:jc w:val="both"/>
        <w:rPr>
          <w:color w:val="FF0000"/>
          <w:sz w:val="20"/>
          <w:u w:val="single"/>
        </w:rPr>
      </w:pPr>
      <w:r w:rsidRPr="00572EE8">
        <w:rPr>
          <w:sz w:val="20"/>
        </w:rPr>
        <w:t xml:space="preserve">1.6 μs GI duration on both the HE-LTF and Data field symbols when the 1x HE-LTF is used (receive) for full bandwidth UL MU-MIMO if the HE AP supports UL MU-MIMO </w:t>
      </w:r>
    </w:p>
    <w:p w14:paraId="323AB7EB" w14:textId="6F8DCD90" w:rsidR="004B18C2" w:rsidRPr="00572EE8" w:rsidRDefault="004B18C2" w:rsidP="004B18C2">
      <w:pPr>
        <w:pStyle w:val="ListParagraph"/>
        <w:numPr>
          <w:ilvl w:val="0"/>
          <w:numId w:val="36"/>
        </w:numPr>
        <w:spacing w:after="160"/>
        <w:ind w:leftChars="0"/>
        <w:jc w:val="both"/>
        <w:rPr>
          <w:rStyle w:val="Strong"/>
          <w:b w:val="0"/>
          <w:bCs w:val="0"/>
          <w:color w:val="FF0000"/>
          <w:sz w:val="20"/>
          <w:u w:val="single"/>
        </w:rPr>
      </w:pPr>
      <w:r w:rsidRPr="00572EE8">
        <w:rPr>
          <w:rStyle w:val="Strong"/>
          <w:b w:val="0"/>
          <w:bCs w:val="0"/>
          <w:color w:val="FF0000"/>
          <w:sz w:val="20"/>
          <w:u w:val="single"/>
        </w:rPr>
        <w:t xml:space="preserve">3.2 μs GI duration on both HE-LTF and data symbols when the 4x HE-LTF is used in HE MU PPDUs (transmit) or HE TB PPDU (receive) </w:t>
      </w:r>
      <w:r w:rsidRPr="00572EE8">
        <w:rPr>
          <w:sz w:val="20"/>
          <w:highlight w:val="yellow"/>
          <w:u w:val="single"/>
          <w:lang w:val="en-US" w:eastAsia="ko-KR"/>
        </w:rPr>
        <w:t>(#13998)</w:t>
      </w:r>
    </w:p>
    <w:p w14:paraId="7E663636" w14:textId="77777777" w:rsidR="004B18C2" w:rsidRPr="00572EE8" w:rsidRDefault="004B18C2" w:rsidP="006E63BD">
      <w:pPr>
        <w:pStyle w:val="ListParagraph"/>
        <w:numPr>
          <w:ilvl w:val="0"/>
          <w:numId w:val="36"/>
        </w:numPr>
        <w:spacing w:after="160"/>
        <w:ind w:leftChars="0"/>
        <w:jc w:val="both"/>
        <w:rPr>
          <w:rStyle w:val="Strong"/>
          <w:b w:val="0"/>
          <w:bCs w:val="0"/>
          <w:sz w:val="20"/>
        </w:rPr>
      </w:pPr>
    </w:p>
    <w:p w14:paraId="20F78E48" w14:textId="6926C761" w:rsidR="004A443F" w:rsidRPr="00572EE8" w:rsidRDefault="006E63BD" w:rsidP="006E63BD">
      <w:pPr>
        <w:spacing w:after="160"/>
        <w:jc w:val="both"/>
        <w:rPr>
          <w:rStyle w:val="Strong"/>
          <w:b w:val="0"/>
          <w:bCs w:val="0"/>
          <w:sz w:val="20"/>
        </w:rPr>
      </w:pPr>
      <w:r w:rsidRPr="00572EE8">
        <w:rPr>
          <w:rStyle w:val="Strong"/>
          <w:b w:val="0"/>
          <w:bCs w:val="0"/>
          <w:sz w:val="20"/>
        </w:rPr>
        <w:t>A non-AP HE STA shall support the following features:</w:t>
      </w:r>
    </w:p>
    <w:p w14:paraId="33562A49" w14:textId="77777777" w:rsidR="006E63BD" w:rsidRPr="00572EE8" w:rsidRDefault="006E63BD" w:rsidP="006E63BD">
      <w:pPr>
        <w:pStyle w:val="ListParagraph"/>
        <w:numPr>
          <w:ilvl w:val="0"/>
          <w:numId w:val="36"/>
        </w:numPr>
        <w:spacing w:after="160"/>
        <w:ind w:leftChars="0"/>
        <w:jc w:val="both"/>
        <w:rPr>
          <w:rStyle w:val="Strong"/>
          <w:b w:val="0"/>
          <w:bCs w:val="0"/>
          <w:color w:val="FF0000"/>
          <w:sz w:val="20"/>
          <w:u w:val="single"/>
        </w:rPr>
      </w:pPr>
      <w:r w:rsidRPr="00572EE8">
        <w:rPr>
          <w:rStyle w:val="Strong"/>
          <w:b w:val="0"/>
          <w:bCs w:val="0"/>
          <w:sz w:val="20"/>
        </w:rPr>
        <w:t>A 20 MHz-only non-AP HE STA shall support 26-, 52-, and 106-tone RU sizes and locations in 40 MHz channel width in the 2.4 GHz band and 40 MHz and 80 MHz channel width in 5 GHz band (transmit and receive)</w:t>
      </w:r>
    </w:p>
    <w:p w14:paraId="0BA0FD4D" w14:textId="77777777" w:rsidR="006E63BD" w:rsidRPr="00572EE8" w:rsidRDefault="006E63BD" w:rsidP="006E63BD">
      <w:pPr>
        <w:pStyle w:val="ListParagraph"/>
        <w:numPr>
          <w:ilvl w:val="0"/>
          <w:numId w:val="36"/>
        </w:numPr>
        <w:spacing w:after="160"/>
        <w:ind w:leftChars="0"/>
        <w:jc w:val="both"/>
        <w:rPr>
          <w:rStyle w:val="Strong"/>
          <w:b w:val="0"/>
          <w:bCs w:val="0"/>
          <w:color w:val="FF0000"/>
          <w:sz w:val="20"/>
          <w:u w:val="single"/>
        </w:rPr>
      </w:pPr>
      <w:r w:rsidRPr="00572EE8">
        <w:rPr>
          <w:rStyle w:val="Strong"/>
          <w:b w:val="0"/>
          <w:bCs w:val="0"/>
          <w:color w:val="FF0000"/>
          <w:sz w:val="20"/>
          <w:u w:val="single"/>
        </w:rPr>
        <w:t xml:space="preserve">0.8 us and 1.6 us GI duration on both HE-LTF and data symbols when 2x HE-LTF is used in HE MU PPDU (receive) </w:t>
      </w:r>
      <w:r w:rsidRPr="00572EE8">
        <w:rPr>
          <w:rStyle w:val="Strong"/>
          <w:b w:val="0"/>
          <w:bCs w:val="0"/>
          <w:sz w:val="20"/>
          <w:highlight w:val="yellow"/>
        </w:rPr>
        <w:t>(#13396)</w:t>
      </w:r>
    </w:p>
    <w:p w14:paraId="3A223117" w14:textId="2C8C7CC6" w:rsidR="006E63BD" w:rsidRPr="00572EE8" w:rsidRDefault="006E63BD" w:rsidP="006E63BD">
      <w:pPr>
        <w:pStyle w:val="ListParagraph"/>
        <w:numPr>
          <w:ilvl w:val="0"/>
          <w:numId w:val="36"/>
        </w:numPr>
        <w:spacing w:after="160"/>
        <w:ind w:leftChars="0"/>
        <w:jc w:val="both"/>
        <w:rPr>
          <w:rStyle w:val="Strong"/>
          <w:b w:val="0"/>
          <w:bCs w:val="0"/>
          <w:color w:val="FF0000"/>
          <w:sz w:val="20"/>
          <w:u w:val="single"/>
        </w:rPr>
      </w:pPr>
      <w:r w:rsidRPr="00572EE8">
        <w:rPr>
          <w:rStyle w:val="Strong"/>
          <w:b w:val="0"/>
          <w:bCs w:val="0"/>
          <w:color w:val="FF0000"/>
          <w:sz w:val="20"/>
          <w:u w:val="single"/>
        </w:rPr>
        <w:t xml:space="preserve">1.6 us GI duration on both HE-LTF and data symbols when 2x HE-LTF is used in HE TB PPDU (transmit) </w:t>
      </w:r>
      <w:r w:rsidRPr="00572EE8">
        <w:rPr>
          <w:rStyle w:val="Strong"/>
          <w:b w:val="0"/>
          <w:bCs w:val="0"/>
          <w:sz w:val="20"/>
          <w:highlight w:val="yellow"/>
        </w:rPr>
        <w:t>(#13396)</w:t>
      </w:r>
    </w:p>
    <w:p w14:paraId="249B7B84" w14:textId="7BDE4AA5" w:rsidR="004B18C2" w:rsidRPr="00572EE8" w:rsidRDefault="004B18C2" w:rsidP="006E63BD">
      <w:pPr>
        <w:pStyle w:val="ListParagraph"/>
        <w:numPr>
          <w:ilvl w:val="0"/>
          <w:numId w:val="36"/>
        </w:numPr>
        <w:spacing w:after="160"/>
        <w:ind w:leftChars="0"/>
        <w:jc w:val="both"/>
        <w:rPr>
          <w:rStyle w:val="Strong"/>
          <w:b w:val="0"/>
          <w:bCs w:val="0"/>
          <w:color w:val="FF0000"/>
          <w:sz w:val="20"/>
          <w:u w:val="single"/>
        </w:rPr>
      </w:pPr>
      <w:r w:rsidRPr="00572EE8">
        <w:rPr>
          <w:sz w:val="20"/>
        </w:rPr>
        <w:t>1.6 μs GI duration on both HE-LTF and data symbols when the 1x HE-LTF is used (transmit) for full bandwidth UL MU-MIMO if the non-AP HE STA supports UL MU-MIMO(#13997)</w:t>
      </w:r>
    </w:p>
    <w:p w14:paraId="4D11523B" w14:textId="77777777" w:rsidR="004B18C2" w:rsidRPr="00572EE8" w:rsidRDefault="004B18C2" w:rsidP="004B18C2">
      <w:pPr>
        <w:pStyle w:val="ListParagraph"/>
        <w:numPr>
          <w:ilvl w:val="0"/>
          <w:numId w:val="36"/>
        </w:numPr>
        <w:spacing w:after="160"/>
        <w:ind w:leftChars="0"/>
        <w:jc w:val="both"/>
        <w:rPr>
          <w:rStyle w:val="Strong"/>
          <w:b w:val="0"/>
          <w:bCs w:val="0"/>
          <w:color w:val="FF0000"/>
          <w:sz w:val="20"/>
          <w:u w:val="single"/>
        </w:rPr>
      </w:pPr>
      <w:r w:rsidRPr="00572EE8">
        <w:rPr>
          <w:rStyle w:val="Strong"/>
          <w:b w:val="0"/>
          <w:bCs w:val="0"/>
          <w:color w:val="FF0000"/>
          <w:sz w:val="20"/>
          <w:u w:val="single"/>
        </w:rPr>
        <w:t xml:space="preserve">3.2 μs GI duration on both HE-LTF and data symbols when the 4x HE-LTF is used in HE MU PPDUs (receive) or HE TB PPDU (transmit) </w:t>
      </w:r>
      <w:r w:rsidRPr="00572EE8">
        <w:rPr>
          <w:sz w:val="20"/>
          <w:highlight w:val="yellow"/>
          <w:u w:val="single"/>
          <w:lang w:val="en-US" w:eastAsia="ko-KR"/>
        </w:rPr>
        <w:t>(#13998)</w:t>
      </w:r>
    </w:p>
    <w:p w14:paraId="2E3BF421" w14:textId="0EF9167C" w:rsidR="004B18C2" w:rsidRDefault="004B18C2" w:rsidP="005A0868">
      <w:pPr>
        <w:spacing w:after="160"/>
        <w:jc w:val="both"/>
        <w:rPr>
          <w:rStyle w:val="Strong"/>
          <w:b w:val="0"/>
          <w:bCs w:val="0"/>
          <w:color w:val="FF0000"/>
          <w:sz w:val="20"/>
          <w:u w:val="single"/>
        </w:rPr>
      </w:pPr>
    </w:p>
    <w:p w14:paraId="04E05836" w14:textId="77777777" w:rsidR="005A0868" w:rsidRPr="005A0868" w:rsidRDefault="005A0868" w:rsidP="005A0868">
      <w:pPr>
        <w:spacing w:after="160"/>
        <w:jc w:val="both"/>
        <w:rPr>
          <w:rStyle w:val="Strong"/>
          <w:b w:val="0"/>
          <w:bCs w:val="0"/>
          <w:color w:val="FF0000"/>
          <w:sz w:val="20"/>
          <w:u w:val="single"/>
        </w:rPr>
      </w:pPr>
    </w:p>
    <w:p w14:paraId="482154FB" w14:textId="5C0DECD6" w:rsidR="005A0868" w:rsidRPr="00572EE8" w:rsidRDefault="005A0868" w:rsidP="005A0868">
      <w:pPr>
        <w:spacing w:line="276" w:lineRule="auto"/>
        <w:jc w:val="both"/>
        <w:rPr>
          <w:b/>
          <w:bCs/>
          <w:iCs/>
          <w:sz w:val="20"/>
          <w:u w:val="single"/>
          <w:lang w:eastAsia="ko-KR"/>
        </w:rPr>
      </w:pPr>
      <w:r w:rsidRPr="00572EE8">
        <w:rPr>
          <w:b/>
          <w:bCs/>
          <w:iCs/>
          <w:sz w:val="20"/>
          <w:u w:val="single"/>
          <w:lang w:eastAsia="ko-KR"/>
        </w:rPr>
        <w:t xml:space="preserve">Resolution for CID </w:t>
      </w:r>
      <w:r>
        <w:rPr>
          <w:b/>
          <w:bCs/>
          <w:iCs/>
          <w:sz w:val="20"/>
          <w:u w:val="single"/>
          <w:lang w:eastAsia="ko-KR"/>
        </w:rPr>
        <w:t>13987</w:t>
      </w:r>
    </w:p>
    <w:p w14:paraId="618CBA40" w14:textId="503DE711" w:rsidR="005A0868" w:rsidRDefault="005A0868" w:rsidP="005A0868">
      <w:pPr>
        <w:spacing w:after="160" w:line="276" w:lineRule="auto"/>
        <w:jc w:val="both"/>
        <w:rPr>
          <w:rStyle w:val="Strong"/>
          <w:sz w:val="20"/>
          <w:highlight w:val="yellow"/>
        </w:rPr>
      </w:pPr>
      <w:r w:rsidRPr="00572EE8">
        <w:rPr>
          <w:rStyle w:val="Strong"/>
          <w:sz w:val="20"/>
          <w:highlight w:val="yellow"/>
        </w:rPr>
        <w:t xml:space="preserve">TGax Editor: Please </w:t>
      </w:r>
      <w:r>
        <w:rPr>
          <w:rStyle w:val="Strong"/>
          <w:sz w:val="20"/>
          <w:highlight w:val="yellow"/>
        </w:rPr>
        <w:t>create new section 28.3.23 Regulatory requirements</w:t>
      </w:r>
    </w:p>
    <w:p w14:paraId="4A9A2D1B" w14:textId="6AA3F9DA" w:rsidR="005A0868" w:rsidRPr="005A0868" w:rsidRDefault="005A0868" w:rsidP="005A0868">
      <w:pPr>
        <w:spacing w:after="160" w:line="276" w:lineRule="auto"/>
        <w:jc w:val="both"/>
        <w:rPr>
          <w:rStyle w:val="Strong"/>
          <w:color w:val="FF0000"/>
          <w:sz w:val="20"/>
          <w:u w:val="single"/>
        </w:rPr>
      </w:pPr>
      <w:r w:rsidRPr="005A0868">
        <w:rPr>
          <w:rStyle w:val="Strong"/>
          <w:color w:val="FF0000"/>
          <w:sz w:val="20"/>
          <w:u w:val="single"/>
        </w:rPr>
        <w:t>28.3.23 Regulatory requirements</w:t>
      </w:r>
    </w:p>
    <w:p w14:paraId="2FB503DA" w14:textId="29ACFC7F" w:rsidR="005A0868" w:rsidRPr="005A0868" w:rsidRDefault="005A0868" w:rsidP="005A0868">
      <w:pPr>
        <w:autoSpaceDE w:val="0"/>
        <w:autoSpaceDN w:val="0"/>
        <w:adjustRightInd w:val="0"/>
        <w:jc w:val="both"/>
        <w:rPr>
          <w:rStyle w:val="Strong"/>
          <w:color w:val="FF0000"/>
          <w:sz w:val="20"/>
          <w:highlight w:val="yellow"/>
          <w:u w:val="single"/>
        </w:rPr>
      </w:pPr>
      <w:r w:rsidRPr="005A0868">
        <w:rPr>
          <w:rFonts w:ascii="TimesNewRomanPSMT" w:hAnsi="TimesNewRomanPSMT" w:cs="TimesNewRomanPSMT"/>
          <w:color w:val="FF0000"/>
          <w:sz w:val="20"/>
          <w:u w:val="single"/>
          <w:lang w:val="en-US" w:eastAsia="ko-KR"/>
        </w:rPr>
        <w:t>Wireless LANs (WLANs) implemented in accordance with this standard are subject to equipment certification and operating requirements established by regional and national regulatory administrations. The PHY specification establishes minimum technical requirements for interoperability, based upon established regulations at the time this standard was issued. These regulations are subject to revision or may be superseded. Requirements that are subject to local geographic regulations are annotated within the PHY specification. Regulatory requirements that do not affect interoperability are not addressed in this standard. Implementers are referred to the regulatory sources in Annex D for further information. Operation in countries within defined regulatory domains might be subject to additional or alternative national regulations.</w:t>
      </w:r>
    </w:p>
    <w:p w14:paraId="0FBBD139" w14:textId="77777777" w:rsidR="006E63BD" w:rsidRPr="00572EE8" w:rsidRDefault="006E63BD" w:rsidP="006E63BD">
      <w:pPr>
        <w:spacing w:after="160"/>
        <w:jc w:val="both"/>
        <w:rPr>
          <w:rStyle w:val="Strong"/>
          <w:b w:val="0"/>
          <w:bCs w:val="0"/>
          <w:sz w:val="20"/>
        </w:rPr>
      </w:pPr>
    </w:p>
    <w:p w14:paraId="05285BBD" w14:textId="091FB43E" w:rsidR="00E20BEE" w:rsidRPr="00572EE8" w:rsidRDefault="00E20BEE" w:rsidP="000C16DD">
      <w:pPr>
        <w:spacing w:line="360" w:lineRule="auto"/>
        <w:rPr>
          <w:b/>
          <w:color w:val="000000"/>
          <w:sz w:val="20"/>
          <w:lang w:val="en-US" w:eastAsia="ko-KR"/>
        </w:rPr>
      </w:pPr>
      <w:r w:rsidRPr="00572EE8">
        <w:rPr>
          <w:b/>
          <w:color w:val="000000"/>
          <w:sz w:val="20"/>
          <w:lang w:val="en-US" w:eastAsia="ko-KR"/>
        </w:rPr>
        <w:t>References:</w:t>
      </w:r>
    </w:p>
    <w:p w14:paraId="7854107D" w14:textId="2C0C4E2C" w:rsidR="00E20BEE" w:rsidRPr="00572EE8" w:rsidRDefault="00E20BEE" w:rsidP="00E20BEE">
      <w:pPr>
        <w:pStyle w:val="ListParagraph"/>
        <w:numPr>
          <w:ilvl w:val="0"/>
          <w:numId w:val="14"/>
        </w:numPr>
        <w:autoSpaceDE w:val="0"/>
        <w:autoSpaceDN w:val="0"/>
        <w:adjustRightInd w:val="0"/>
        <w:ind w:leftChars="0"/>
        <w:jc w:val="both"/>
        <w:rPr>
          <w:b/>
          <w:color w:val="000000"/>
          <w:sz w:val="20"/>
          <w:lang w:val="en-US" w:eastAsia="ko-KR"/>
        </w:rPr>
      </w:pPr>
      <w:r w:rsidRPr="00572EE8">
        <w:rPr>
          <w:b/>
          <w:color w:val="000000"/>
          <w:sz w:val="20"/>
          <w:lang w:val="en-US" w:eastAsia="ko-KR"/>
        </w:rPr>
        <w:t>IEEE P802.11ax</w:t>
      </w:r>
      <w:r w:rsidRPr="00572EE8">
        <w:rPr>
          <w:b/>
          <w:color w:val="000000"/>
          <w:sz w:val="20"/>
          <w:vertAlign w:val="superscript"/>
          <w:lang w:val="en-US" w:eastAsia="ko-KR"/>
        </w:rPr>
        <w:t>TM</w:t>
      </w:r>
      <w:r w:rsidRPr="00572EE8">
        <w:rPr>
          <w:b/>
          <w:color w:val="000000"/>
          <w:sz w:val="20"/>
          <w:lang w:val="en-US" w:eastAsia="ko-KR"/>
        </w:rPr>
        <w:t>/D</w:t>
      </w:r>
      <w:r w:rsidR="00FF076B" w:rsidRPr="00572EE8">
        <w:rPr>
          <w:b/>
          <w:color w:val="000000"/>
          <w:sz w:val="20"/>
          <w:lang w:val="en-US" w:eastAsia="ko-KR"/>
        </w:rPr>
        <w:t>2</w:t>
      </w:r>
      <w:r w:rsidRPr="00572EE8">
        <w:rPr>
          <w:b/>
          <w:color w:val="000000"/>
          <w:sz w:val="20"/>
          <w:lang w:val="en-US" w:eastAsia="ko-KR"/>
        </w:rPr>
        <w:t>.</w:t>
      </w:r>
      <w:r w:rsidR="003A3776" w:rsidRPr="00572EE8">
        <w:rPr>
          <w:b/>
          <w:color w:val="000000"/>
          <w:sz w:val="20"/>
          <w:lang w:val="en-US" w:eastAsia="ko-KR"/>
        </w:rPr>
        <w:t>3</w:t>
      </w:r>
      <w:r w:rsidRPr="00572EE8">
        <w:rPr>
          <w:b/>
          <w:color w:val="000000"/>
          <w:sz w:val="20"/>
          <w:lang w:val="en-US" w:eastAsia="ko-KR"/>
        </w:rPr>
        <w:t xml:space="preserve">, </w:t>
      </w:r>
      <w:r w:rsidR="00DC4F81" w:rsidRPr="00572EE8">
        <w:rPr>
          <w:b/>
          <w:color w:val="000000"/>
          <w:sz w:val="20"/>
          <w:lang w:val="en-US" w:eastAsia="ko-KR"/>
        </w:rPr>
        <w:t>Apr 2018</w:t>
      </w:r>
      <w:r w:rsidRPr="00572EE8">
        <w:rPr>
          <w:b/>
          <w:color w:val="000000"/>
          <w:sz w:val="20"/>
          <w:lang w:val="en-US" w:eastAsia="ko-KR"/>
        </w:rPr>
        <w:t>.</w:t>
      </w:r>
    </w:p>
    <w:sectPr w:rsidR="00E20BEE" w:rsidRPr="00572EE8"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E02ED" w14:textId="77777777" w:rsidR="00870A0D" w:rsidRDefault="00870A0D">
      <w:r>
        <w:separator/>
      </w:r>
    </w:p>
  </w:endnote>
  <w:endnote w:type="continuationSeparator" w:id="0">
    <w:p w14:paraId="6F120506" w14:textId="77777777" w:rsidR="00870A0D" w:rsidRDefault="00870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charset w:val="00"/>
    <w:family w:val="roman"/>
    <w:pitch w:val="variable"/>
    <w:sig w:usb0="00000001" w:usb1="C8087841" w:usb2="00000019" w:usb3="00000000" w:csb0="001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7B3A2" w14:textId="4369355A" w:rsidR="00B06EFE" w:rsidRDefault="00870A0D">
    <w:pPr>
      <w:pStyle w:val="Footer"/>
      <w:tabs>
        <w:tab w:val="clear" w:pos="6480"/>
        <w:tab w:val="center" w:pos="4680"/>
        <w:tab w:val="right" w:pos="9360"/>
      </w:tabs>
    </w:pPr>
    <w:r>
      <w:fldChar w:fldCharType="begin"/>
    </w:r>
    <w:r>
      <w:instrText xml:space="preserve"> SUBJECT  \* MERGEFORMAT </w:instrText>
    </w:r>
    <w:r>
      <w:fldChar w:fldCharType="separate"/>
    </w:r>
    <w:r w:rsidR="00B06EFE">
      <w:t>Submission</w:t>
    </w:r>
    <w:r>
      <w:fldChar w:fldCharType="end"/>
    </w:r>
    <w:r w:rsidR="00B06EFE">
      <w:tab/>
      <w:t xml:space="preserve">page </w:t>
    </w:r>
    <w:r w:rsidR="00B06EFE">
      <w:fldChar w:fldCharType="begin"/>
    </w:r>
    <w:r w:rsidR="00B06EFE">
      <w:instrText xml:space="preserve">page </w:instrText>
    </w:r>
    <w:r w:rsidR="00B06EFE">
      <w:fldChar w:fldCharType="separate"/>
    </w:r>
    <w:r w:rsidR="00B06EFE">
      <w:rPr>
        <w:noProof/>
      </w:rPr>
      <w:t>9</w:t>
    </w:r>
    <w:r w:rsidR="00B06EFE">
      <w:rPr>
        <w:noProof/>
      </w:rPr>
      <w:fldChar w:fldCharType="end"/>
    </w:r>
    <w:r w:rsidR="00B06EFE">
      <w:tab/>
    </w:r>
    <w:r w:rsidR="00B06EFE">
      <w:rPr>
        <w:lang w:eastAsia="ko-KR"/>
      </w:rPr>
      <w:t>Lochan Verma</w:t>
    </w:r>
    <w:r w:rsidR="00B06EFE">
      <w:t>, Qualcomm Inc.</w:t>
    </w:r>
  </w:p>
  <w:p w14:paraId="68131EC6" w14:textId="77777777" w:rsidR="00B06EFE" w:rsidRDefault="00B06E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433AA" w14:textId="77777777" w:rsidR="00870A0D" w:rsidRDefault="00870A0D">
      <w:r>
        <w:separator/>
      </w:r>
    </w:p>
  </w:footnote>
  <w:footnote w:type="continuationSeparator" w:id="0">
    <w:p w14:paraId="0A878AA9" w14:textId="77777777" w:rsidR="00870A0D" w:rsidRDefault="00870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C0E53" w14:textId="62D884BD" w:rsidR="00B06EFE" w:rsidRDefault="00B06EFE">
    <w:pPr>
      <w:pStyle w:val="Header"/>
      <w:tabs>
        <w:tab w:val="clear" w:pos="6480"/>
        <w:tab w:val="center" w:pos="4680"/>
        <w:tab w:val="right" w:pos="9360"/>
      </w:tabs>
    </w:pPr>
    <w:r>
      <w:rPr>
        <w:lang w:eastAsia="ko-KR"/>
      </w:rPr>
      <w:t>May 2018</w:t>
    </w:r>
    <w:r>
      <w:tab/>
    </w:r>
    <w:r>
      <w:tab/>
    </w:r>
    <w:r>
      <w:fldChar w:fldCharType="begin"/>
    </w:r>
    <w:r>
      <w:instrText xml:space="preserve"> TITLE  \* MERGEFORMAT </w:instrText>
    </w:r>
    <w:r>
      <w:fldChar w:fldCharType="end"/>
    </w:r>
    <w:r w:rsidR="00870A0D">
      <w:fldChar w:fldCharType="begin"/>
    </w:r>
    <w:r w:rsidR="00870A0D">
      <w:instrText xml:space="preserve"> TITLE  \* MERGEFORMAT </w:instrText>
    </w:r>
    <w:r w:rsidR="00870A0D">
      <w:fldChar w:fldCharType="separate"/>
    </w:r>
    <w:r>
      <w:t>doc.: IEEE 802.11-18/0</w:t>
    </w:r>
    <w:r w:rsidR="0035010D">
      <w:t>725</w:t>
    </w:r>
    <w:r>
      <w:rPr>
        <w:lang w:eastAsia="ko-KR"/>
      </w:rPr>
      <w:t>r</w:t>
    </w:r>
    <w:r w:rsidR="00870A0D">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12B06C0"/>
    <w:multiLevelType w:val="hybridMultilevel"/>
    <w:tmpl w:val="04323794"/>
    <w:lvl w:ilvl="0" w:tplc="5FC2FDB8">
      <w:start w:val="328"/>
      <w:numFmt w:val="bullet"/>
      <w:lvlText w:val=""/>
      <w:lvlJc w:val="left"/>
      <w:pPr>
        <w:ind w:left="720" w:hanging="360"/>
      </w:pPr>
      <w:rPr>
        <w:rFonts w:ascii="Wingdings" w:eastAsia="Malgun Gothic" w:hAnsi="Wingdings" w:cs="Times New Roman"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53C90"/>
    <w:multiLevelType w:val="hybridMultilevel"/>
    <w:tmpl w:val="2ECA806A"/>
    <w:lvl w:ilvl="0" w:tplc="7B6418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3F0661"/>
    <w:multiLevelType w:val="hybridMultilevel"/>
    <w:tmpl w:val="B6B0F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EA6CC8"/>
    <w:multiLevelType w:val="hybridMultilevel"/>
    <w:tmpl w:val="E5906B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6C1D74"/>
    <w:multiLevelType w:val="hybridMultilevel"/>
    <w:tmpl w:val="9E64E98E"/>
    <w:lvl w:ilvl="0" w:tplc="0D862592">
      <w:start w:val="1"/>
      <w:numFmt w:val="bullet"/>
      <w:lvlText w:val=""/>
      <w:lvlJc w:val="left"/>
      <w:pPr>
        <w:ind w:left="360" w:hanging="360"/>
      </w:pPr>
      <w:rPr>
        <w:rFonts w:ascii="Wingdings" w:eastAsia="Malgun Gothic"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A0B7D93"/>
    <w:multiLevelType w:val="hybridMultilevel"/>
    <w:tmpl w:val="3F58856A"/>
    <w:lvl w:ilvl="0" w:tplc="71728CC4">
      <w:start w:val="2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AB65E3"/>
    <w:multiLevelType w:val="hybridMultilevel"/>
    <w:tmpl w:val="3A90FA26"/>
    <w:lvl w:ilvl="0" w:tplc="A63E10DC">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2525EA"/>
    <w:multiLevelType w:val="hybridMultilevel"/>
    <w:tmpl w:val="55E24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294745EA"/>
    <w:multiLevelType w:val="hybridMultilevel"/>
    <w:tmpl w:val="A6A8FC5E"/>
    <w:lvl w:ilvl="0" w:tplc="F6AA7FCE">
      <w:start w:val="1"/>
      <w:numFmt w:val="bullet"/>
      <w:lvlText w:val="&gt;"/>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4E29FB"/>
    <w:multiLevelType w:val="hybridMultilevel"/>
    <w:tmpl w:val="73261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9" w15:restartNumberingAfterBreak="0">
    <w:nsid w:val="39C74BE7"/>
    <w:multiLevelType w:val="hybridMultilevel"/>
    <w:tmpl w:val="148E04D4"/>
    <w:lvl w:ilvl="0" w:tplc="9C840326">
      <w:start w:val="328"/>
      <w:numFmt w:val="bullet"/>
      <w:lvlText w:val=""/>
      <w:lvlJc w:val="left"/>
      <w:pPr>
        <w:ind w:left="720" w:hanging="360"/>
      </w:pPr>
      <w:rPr>
        <w:rFonts w:ascii="Wingdings" w:eastAsia="Malgun Gothic"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B4532C"/>
    <w:multiLevelType w:val="hybridMultilevel"/>
    <w:tmpl w:val="B6C65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5B471C"/>
    <w:multiLevelType w:val="hybridMultilevel"/>
    <w:tmpl w:val="60260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3D2017C"/>
    <w:multiLevelType w:val="hybridMultilevel"/>
    <w:tmpl w:val="94D8ACD2"/>
    <w:lvl w:ilvl="0" w:tplc="B994EDC8">
      <w:start w:val="1"/>
      <w:numFmt w:val="lowerRoman"/>
      <w:lvlText w:val="(%1)"/>
      <w:lvlJc w:val="left"/>
      <w:pPr>
        <w:ind w:left="1080" w:hanging="72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527F54"/>
    <w:multiLevelType w:val="hybridMultilevel"/>
    <w:tmpl w:val="221C0446"/>
    <w:lvl w:ilvl="0" w:tplc="BA04A9B6">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BE599F"/>
    <w:multiLevelType w:val="hybridMultilevel"/>
    <w:tmpl w:val="EE003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CF31D3"/>
    <w:multiLevelType w:val="hybridMultilevel"/>
    <w:tmpl w:val="7E0ADE94"/>
    <w:lvl w:ilvl="0" w:tplc="CA4410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B73F8F"/>
    <w:multiLevelType w:val="hybridMultilevel"/>
    <w:tmpl w:val="FF6EE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CD586F"/>
    <w:multiLevelType w:val="hybridMultilevel"/>
    <w:tmpl w:val="D7BCD1EE"/>
    <w:lvl w:ilvl="0" w:tplc="71728CC4">
      <w:start w:val="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8C1171"/>
    <w:multiLevelType w:val="hybridMultilevel"/>
    <w:tmpl w:val="28EC6F38"/>
    <w:lvl w:ilvl="0" w:tplc="04090001">
      <w:start w:val="1"/>
      <w:numFmt w:val="bullet"/>
      <w:lvlText w:val=""/>
      <w:lvlJc w:val="left"/>
      <w:pPr>
        <w:ind w:left="360" w:hanging="360"/>
      </w:pPr>
      <w:rPr>
        <w:rFonts w:ascii="Symbol" w:hAnsi="Symbol" w:hint="default"/>
        <w:b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36E515C"/>
    <w:multiLevelType w:val="hybridMultilevel"/>
    <w:tmpl w:val="100E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F02CAA"/>
    <w:multiLevelType w:val="hybridMultilevel"/>
    <w:tmpl w:val="A61400EE"/>
    <w:lvl w:ilvl="0" w:tplc="71728CC4">
      <w:start w:val="20"/>
      <w:numFmt w:val="bullet"/>
      <w:lvlText w:val="-"/>
      <w:lvlJc w:val="left"/>
      <w:pPr>
        <w:ind w:left="773" w:hanging="360"/>
      </w:pPr>
      <w:rPr>
        <w:rFonts w:ascii="Times New Roman" w:eastAsia="Malgun Gothic" w:hAnsi="Times New Roman" w:cs="Times New Roman"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8" w15:restartNumberingAfterBreak="0">
    <w:nsid w:val="68DE6B26"/>
    <w:multiLevelType w:val="hybridMultilevel"/>
    <w:tmpl w:val="02525FA6"/>
    <w:lvl w:ilvl="0" w:tplc="565A2D08">
      <w:start w:val="8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CD0F8D"/>
    <w:multiLevelType w:val="hybridMultilevel"/>
    <w:tmpl w:val="7F1487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22"/>
  </w:num>
  <w:num w:numId="4">
    <w:abstractNumId w:val="17"/>
  </w:num>
  <w:num w:numId="5">
    <w:abstractNumId w:val="1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33"/>
  </w:num>
  <w:num w:numId="10">
    <w:abstractNumId w:val="11"/>
  </w:num>
  <w:num w:numId="11">
    <w:abstractNumId w:val="20"/>
  </w:num>
  <w:num w:numId="12">
    <w:abstractNumId w:val="23"/>
  </w:num>
  <w:num w:numId="13">
    <w:abstractNumId w:val="10"/>
  </w:num>
  <w:num w:numId="14">
    <w:abstractNumId w:val="5"/>
  </w:num>
  <w:num w:numId="15">
    <w:abstractNumId w:val="26"/>
  </w:num>
  <w:num w:numId="16">
    <w:abstractNumId w:val="25"/>
  </w:num>
  <w:num w:numId="17">
    <w:abstractNumId w:val="40"/>
  </w:num>
  <w:num w:numId="18">
    <w:abstractNumId w:val="25"/>
  </w:num>
  <w:num w:numId="19">
    <w:abstractNumId w:val="40"/>
  </w:num>
  <w:num w:numId="20">
    <w:abstractNumId w:val="42"/>
  </w:num>
  <w:num w:numId="21">
    <w:abstractNumId w:val="15"/>
  </w:num>
  <w:num w:numId="22">
    <w:abstractNumId w:val="34"/>
  </w:num>
  <w:num w:numId="23">
    <w:abstractNumId w:val="41"/>
  </w:num>
  <w:num w:numId="24">
    <w:abstractNumId w:val="38"/>
  </w:num>
  <w:num w:numId="25">
    <w:abstractNumId w:val="39"/>
  </w:num>
  <w:num w:numId="26">
    <w:abstractNumId w:val="27"/>
  </w:num>
  <w:num w:numId="27">
    <w:abstractNumId w:val="21"/>
  </w:num>
  <w:num w:numId="28">
    <w:abstractNumId w:val="28"/>
  </w:num>
  <w:num w:numId="29">
    <w:abstractNumId w:val="9"/>
  </w:num>
  <w:num w:numId="30">
    <w:abstractNumId w:val="7"/>
  </w:num>
  <w:num w:numId="31">
    <w:abstractNumId w:val="14"/>
  </w:num>
  <w:num w:numId="32">
    <w:abstractNumId w:val="36"/>
  </w:num>
  <w:num w:numId="33">
    <w:abstractNumId w:val="31"/>
  </w:num>
  <w:num w:numId="34">
    <w:abstractNumId w:val="30"/>
  </w:num>
  <w:num w:numId="35">
    <w:abstractNumId w:val="2"/>
  </w:num>
  <w:num w:numId="36">
    <w:abstractNumId w:val="32"/>
  </w:num>
  <w:num w:numId="37">
    <w:abstractNumId w:val="1"/>
  </w:num>
  <w:num w:numId="38">
    <w:abstractNumId w:val="35"/>
  </w:num>
  <w:num w:numId="39">
    <w:abstractNumId w:val="24"/>
  </w:num>
  <w:num w:numId="40">
    <w:abstractNumId w:val="4"/>
  </w:num>
  <w:num w:numId="41">
    <w:abstractNumId w:val="6"/>
  </w:num>
  <w:num w:numId="42">
    <w:abstractNumId w:val="19"/>
  </w:num>
  <w:num w:numId="43">
    <w:abstractNumId w:val="12"/>
  </w:num>
  <w:num w:numId="44">
    <w:abstractNumId w:val="29"/>
  </w:num>
  <w:num w:numId="45">
    <w:abstractNumId w:val="37"/>
  </w:num>
  <w:num w:numId="46">
    <w:abstractNumId w:val="8"/>
  </w:num>
  <w:num w:numId="4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30D"/>
    <w:rsid w:val="000013EC"/>
    <w:rsid w:val="0000230D"/>
    <w:rsid w:val="000026B9"/>
    <w:rsid w:val="000027A5"/>
    <w:rsid w:val="00003800"/>
    <w:rsid w:val="00003E95"/>
    <w:rsid w:val="000045FA"/>
    <w:rsid w:val="00004971"/>
    <w:rsid w:val="00006454"/>
    <w:rsid w:val="000067AA"/>
    <w:rsid w:val="00006DBB"/>
    <w:rsid w:val="0000743C"/>
    <w:rsid w:val="0001027F"/>
    <w:rsid w:val="00013D75"/>
    <w:rsid w:val="00013F87"/>
    <w:rsid w:val="00014031"/>
    <w:rsid w:val="000142B6"/>
    <w:rsid w:val="000157CC"/>
    <w:rsid w:val="00016D9C"/>
    <w:rsid w:val="000178BA"/>
    <w:rsid w:val="00017D25"/>
    <w:rsid w:val="0002028F"/>
    <w:rsid w:val="00021A27"/>
    <w:rsid w:val="00022086"/>
    <w:rsid w:val="00023A67"/>
    <w:rsid w:val="00023CD8"/>
    <w:rsid w:val="00024344"/>
    <w:rsid w:val="00024487"/>
    <w:rsid w:val="00027D05"/>
    <w:rsid w:val="00031E68"/>
    <w:rsid w:val="00031F86"/>
    <w:rsid w:val="00033648"/>
    <w:rsid w:val="00033B0A"/>
    <w:rsid w:val="00034E6F"/>
    <w:rsid w:val="000353B5"/>
    <w:rsid w:val="000358B3"/>
    <w:rsid w:val="00037AD9"/>
    <w:rsid w:val="00037B1A"/>
    <w:rsid w:val="00040219"/>
    <w:rsid w:val="000405C4"/>
    <w:rsid w:val="00040F76"/>
    <w:rsid w:val="00042959"/>
    <w:rsid w:val="00044DC0"/>
    <w:rsid w:val="000450CB"/>
    <w:rsid w:val="00046854"/>
    <w:rsid w:val="000478EE"/>
    <w:rsid w:val="000479A5"/>
    <w:rsid w:val="00052123"/>
    <w:rsid w:val="00053519"/>
    <w:rsid w:val="00054694"/>
    <w:rsid w:val="00054BB9"/>
    <w:rsid w:val="000567DA"/>
    <w:rsid w:val="0005688B"/>
    <w:rsid w:val="00056A8E"/>
    <w:rsid w:val="00057C4D"/>
    <w:rsid w:val="00057F71"/>
    <w:rsid w:val="00060630"/>
    <w:rsid w:val="00063B9D"/>
    <w:rsid w:val="000642FC"/>
    <w:rsid w:val="0006469A"/>
    <w:rsid w:val="00066421"/>
    <w:rsid w:val="0006732A"/>
    <w:rsid w:val="00070ABB"/>
    <w:rsid w:val="00071971"/>
    <w:rsid w:val="00073BB4"/>
    <w:rsid w:val="000751BD"/>
    <w:rsid w:val="00075449"/>
    <w:rsid w:val="00075C3C"/>
    <w:rsid w:val="00075E1E"/>
    <w:rsid w:val="00076885"/>
    <w:rsid w:val="00077C25"/>
    <w:rsid w:val="00077FBD"/>
    <w:rsid w:val="00080ACC"/>
    <w:rsid w:val="00080E1A"/>
    <w:rsid w:val="00081596"/>
    <w:rsid w:val="000815C7"/>
    <w:rsid w:val="00081E62"/>
    <w:rsid w:val="00081FF2"/>
    <w:rsid w:val="00082101"/>
    <w:rsid w:val="0008222D"/>
    <w:rsid w:val="000823C8"/>
    <w:rsid w:val="000829FF"/>
    <w:rsid w:val="00082B8A"/>
    <w:rsid w:val="0008302D"/>
    <w:rsid w:val="00084297"/>
    <w:rsid w:val="00086506"/>
    <w:rsid w:val="000865AA"/>
    <w:rsid w:val="00086780"/>
    <w:rsid w:val="00090640"/>
    <w:rsid w:val="00091349"/>
    <w:rsid w:val="00092971"/>
    <w:rsid w:val="00092AC6"/>
    <w:rsid w:val="00092E13"/>
    <w:rsid w:val="00093AD2"/>
    <w:rsid w:val="0009464F"/>
    <w:rsid w:val="00094FFA"/>
    <w:rsid w:val="0009661D"/>
    <w:rsid w:val="00096697"/>
    <w:rsid w:val="0009713F"/>
    <w:rsid w:val="000A1C31"/>
    <w:rsid w:val="000A1F25"/>
    <w:rsid w:val="000A4D1E"/>
    <w:rsid w:val="000A671D"/>
    <w:rsid w:val="000A7680"/>
    <w:rsid w:val="000B041A"/>
    <w:rsid w:val="000B083E"/>
    <w:rsid w:val="000B0DAF"/>
    <w:rsid w:val="000B2240"/>
    <w:rsid w:val="000B3564"/>
    <w:rsid w:val="000B37F9"/>
    <w:rsid w:val="000B4228"/>
    <w:rsid w:val="000B50F5"/>
    <w:rsid w:val="000B58CF"/>
    <w:rsid w:val="000B59FE"/>
    <w:rsid w:val="000B7FBB"/>
    <w:rsid w:val="000C16DD"/>
    <w:rsid w:val="000C1B3F"/>
    <w:rsid w:val="000C3193"/>
    <w:rsid w:val="000C54F3"/>
    <w:rsid w:val="000C6A2F"/>
    <w:rsid w:val="000C6E4B"/>
    <w:rsid w:val="000D0CAF"/>
    <w:rsid w:val="000D174A"/>
    <w:rsid w:val="000D1AD4"/>
    <w:rsid w:val="000D2378"/>
    <w:rsid w:val="000D276A"/>
    <w:rsid w:val="000D2F1B"/>
    <w:rsid w:val="000D4A8F"/>
    <w:rsid w:val="000D4FBE"/>
    <w:rsid w:val="000D5EBD"/>
    <w:rsid w:val="000D674F"/>
    <w:rsid w:val="000D698B"/>
    <w:rsid w:val="000E0494"/>
    <w:rsid w:val="000E1C37"/>
    <w:rsid w:val="000E1CBB"/>
    <w:rsid w:val="000E1D7B"/>
    <w:rsid w:val="000E2F10"/>
    <w:rsid w:val="000E49D7"/>
    <w:rsid w:val="000E4B82"/>
    <w:rsid w:val="000E6539"/>
    <w:rsid w:val="000E6771"/>
    <w:rsid w:val="000E70CA"/>
    <w:rsid w:val="000E720C"/>
    <w:rsid w:val="000E752D"/>
    <w:rsid w:val="000F238C"/>
    <w:rsid w:val="000F2F7D"/>
    <w:rsid w:val="000F32B7"/>
    <w:rsid w:val="000F4937"/>
    <w:rsid w:val="000F4F79"/>
    <w:rsid w:val="000F5088"/>
    <w:rsid w:val="000F685B"/>
    <w:rsid w:val="000F6BB9"/>
    <w:rsid w:val="001005A8"/>
    <w:rsid w:val="00100937"/>
    <w:rsid w:val="00100E3B"/>
    <w:rsid w:val="001015F8"/>
    <w:rsid w:val="0010183A"/>
    <w:rsid w:val="00101B7B"/>
    <w:rsid w:val="0010469F"/>
    <w:rsid w:val="00105918"/>
    <w:rsid w:val="00105C76"/>
    <w:rsid w:val="00106C97"/>
    <w:rsid w:val="001101C2"/>
    <w:rsid w:val="001109AA"/>
    <w:rsid w:val="00111F01"/>
    <w:rsid w:val="001121ED"/>
    <w:rsid w:val="00112C6A"/>
    <w:rsid w:val="00113B5F"/>
    <w:rsid w:val="00114B35"/>
    <w:rsid w:val="00114FCA"/>
    <w:rsid w:val="00115A75"/>
    <w:rsid w:val="00115B7B"/>
    <w:rsid w:val="00117299"/>
    <w:rsid w:val="00117397"/>
    <w:rsid w:val="00120298"/>
    <w:rsid w:val="00120BD6"/>
    <w:rsid w:val="00121137"/>
    <w:rsid w:val="001215C0"/>
    <w:rsid w:val="00122191"/>
    <w:rsid w:val="001221CB"/>
    <w:rsid w:val="00122D51"/>
    <w:rsid w:val="00126052"/>
    <w:rsid w:val="001261F3"/>
    <w:rsid w:val="001274A8"/>
    <w:rsid w:val="001275D7"/>
    <w:rsid w:val="00127723"/>
    <w:rsid w:val="00130101"/>
    <w:rsid w:val="001323DB"/>
    <w:rsid w:val="00133B5C"/>
    <w:rsid w:val="00134114"/>
    <w:rsid w:val="00135032"/>
    <w:rsid w:val="0013535C"/>
    <w:rsid w:val="00135B4B"/>
    <w:rsid w:val="0013699E"/>
    <w:rsid w:val="001420E5"/>
    <w:rsid w:val="00142629"/>
    <w:rsid w:val="001426E7"/>
    <w:rsid w:val="00142B02"/>
    <w:rsid w:val="001448D8"/>
    <w:rsid w:val="001449D1"/>
    <w:rsid w:val="001450BB"/>
    <w:rsid w:val="001459E7"/>
    <w:rsid w:val="00145C98"/>
    <w:rsid w:val="00146D19"/>
    <w:rsid w:val="0014738A"/>
    <w:rsid w:val="001477C3"/>
    <w:rsid w:val="00150EF7"/>
    <w:rsid w:val="00150F68"/>
    <w:rsid w:val="00151729"/>
    <w:rsid w:val="00151BBE"/>
    <w:rsid w:val="001523EB"/>
    <w:rsid w:val="0015427C"/>
    <w:rsid w:val="00154791"/>
    <w:rsid w:val="00154B26"/>
    <w:rsid w:val="001557CB"/>
    <w:rsid w:val="001559BB"/>
    <w:rsid w:val="00156C4B"/>
    <w:rsid w:val="00161556"/>
    <w:rsid w:val="0016428D"/>
    <w:rsid w:val="001642EE"/>
    <w:rsid w:val="00165BE6"/>
    <w:rsid w:val="00170292"/>
    <w:rsid w:val="00170D6D"/>
    <w:rsid w:val="00172489"/>
    <w:rsid w:val="00172DD9"/>
    <w:rsid w:val="001738FD"/>
    <w:rsid w:val="001755EA"/>
    <w:rsid w:val="00175CDF"/>
    <w:rsid w:val="0017659B"/>
    <w:rsid w:val="00176BC6"/>
    <w:rsid w:val="00177BCE"/>
    <w:rsid w:val="001812B0"/>
    <w:rsid w:val="00181423"/>
    <w:rsid w:val="00181BDB"/>
    <w:rsid w:val="00181E8A"/>
    <w:rsid w:val="00183698"/>
    <w:rsid w:val="00183F4C"/>
    <w:rsid w:val="0018577E"/>
    <w:rsid w:val="001869E8"/>
    <w:rsid w:val="00187129"/>
    <w:rsid w:val="0019164F"/>
    <w:rsid w:val="0019263A"/>
    <w:rsid w:val="0019298A"/>
    <w:rsid w:val="00192C6E"/>
    <w:rsid w:val="00193B54"/>
    <w:rsid w:val="00193C39"/>
    <w:rsid w:val="00193F43"/>
    <w:rsid w:val="00193FCF"/>
    <w:rsid w:val="001943F7"/>
    <w:rsid w:val="00197B92"/>
    <w:rsid w:val="001A0CEC"/>
    <w:rsid w:val="001A0EDB"/>
    <w:rsid w:val="001A100B"/>
    <w:rsid w:val="001A1B7C"/>
    <w:rsid w:val="001A1F3C"/>
    <w:rsid w:val="001A2240"/>
    <w:rsid w:val="001A2271"/>
    <w:rsid w:val="001A2687"/>
    <w:rsid w:val="001A2CDE"/>
    <w:rsid w:val="001A5046"/>
    <w:rsid w:val="001A5C95"/>
    <w:rsid w:val="001A77FD"/>
    <w:rsid w:val="001B0001"/>
    <w:rsid w:val="001B05CC"/>
    <w:rsid w:val="001B1A32"/>
    <w:rsid w:val="001B243C"/>
    <w:rsid w:val="001B252D"/>
    <w:rsid w:val="001B2904"/>
    <w:rsid w:val="001B3D99"/>
    <w:rsid w:val="001B63BC"/>
    <w:rsid w:val="001B7137"/>
    <w:rsid w:val="001C05A1"/>
    <w:rsid w:val="001C0D4F"/>
    <w:rsid w:val="001C0D71"/>
    <w:rsid w:val="001C1DAA"/>
    <w:rsid w:val="001C501D"/>
    <w:rsid w:val="001C6CD8"/>
    <w:rsid w:val="001C78D9"/>
    <w:rsid w:val="001C7C2C"/>
    <w:rsid w:val="001C7CCE"/>
    <w:rsid w:val="001D15ED"/>
    <w:rsid w:val="001D22C2"/>
    <w:rsid w:val="001D2A6C"/>
    <w:rsid w:val="001D326B"/>
    <w:rsid w:val="001D328B"/>
    <w:rsid w:val="001D3CA6"/>
    <w:rsid w:val="001D4A93"/>
    <w:rsid w:val="001D5F28"/>
    <w:rsid w:val="001D7529"/>
    <w:rsid w:val="001D7948"/>
    <w:rsid w:val="001D7CB4"/>
    <w:rsid w:val="001D7EDC"/>
    <w:rsid w:val="001E0946"/>
    <w:rsid w:val="001E1001"/>
    <w:rsid w:val="001E15F8"/>
    <w:rsid w:val="001E1C8D"/>
    <w:rsid w:val="001E32FA"/>
    <w:rsid w:val="001E349E"/>
    <w:rsid w:val="001E380D"/>
    <w:rsid w:val="001E4DFC"/>
    <w:rsid w:val="001E6259"/>
    <w:rsid w:val="001E6267"/>
    <w:rsid w:val="001E7C32"/>
    <w:rsid w:val="001F0210"/>
    <w:rsid w:val="001F074F"/>
    <w:rsid w:val="001F0891"/>
    <w:rsid w:val="001F10F7"/>
    <w:rsid w:val="001F130D"/>
    <w:rsid w:val="001F13CA"/>
    <w:rsid w:val="001F1570"/>
    <w:rsid w:val="001F207A"/>
    <w:rsid w:val="001F21BE"/>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1EF1"/>
    <w:rsid w:val="002031C9"/>
    <w:rsid w:val="002035EE"/>
    <w:rsid w:val="0020462A"/>
    <w:rsid w:val="002046A1"/>
    <w:rsid w:val="0020501A"/>
    <w:rsid w:val="002063EC"/>
    <w:rsid w:val="00206C7A"/>
    <w:rsid w:val="00206D24"/>
    <w:rsid w:val="00210DDD"/>
    <w:rsid w:val="0021214F"/>
    <w:rsid w:val="002125D6"/>
    <w:rsid w:val="00212E2A"/>
    <w:rsid w:val="002141B2"/>
    <w:rsid w:val="00214B50"/>
    <w:rsid w:val="00215A56"/>
    <w:rsid w:val="00215A82"/>
    <w:rsid w:val="00215E32"/>
    <w:rsid w:val="00215F36"/>
    <w:rsid w:val="00216771"/>
    <w:rsid w:val="00220581"/>
    <w:rsid w:val="002208B9"/>
    <w:rsid w:val="00220987"/>
    <w:rsid w:val="0022139A"/>
    <w:rsid w:val="00221F13"/>
    <w:rsid w:val="00222261"/>
    <w:rsid w:val="00222778"/>
    <w:rsid w:val="002237F5"/>
    <w:rsid w:val="002239F2"/>
    <w:rsid w:val="00223B55"/>
    <w:rsid w:val="00224089"/>
    <w:rsid w:val="00224133"/>
    <w:rsid w:val="00224237"/>
    <w:rsid w:val="00224D82"/>
    <w:rsid w:val="002251A9"/>
    <w:rsid w:val="00225508"/>
    <w:rsid w:val="00225570"/>
    <w:rsid w:val="00227727"/>
    <w:rsid w:val="00231F3B"/>
    <w:rsid w:val="002323FE"/>
    <w:rsid w:val="00233C04"/>
    <w:rsid w:val="00234C13"/>
    <w:rsid w:val="002369FD"/>
    <w:rsid w:val="00236A74"/>
    <w:rsid w:val="00236A7E"/>
    <w:rsid w:val="0023760F"/>
    <w:rsid w:val="00237985"/>
    <w:rsid w:val="00240895"/>
    <w:rsid w:val="00241820"/>
    <w:rsid w:val="00241AD7"/>
    <w:rsid w:val="002470AC"/>
    <w:rsid w:val="0024720B"/>
    <w:rsid w:val="00250CA4"/>
    <w:rsid w:val="00252D47"/>
    <w:rsid w:val="0025375C"/>
    <w:rsid w:val="002539AB"/>
    <w:rsid w:val="00255A8B"/>
    <w:rsid w:val="002627D1"/>
    <w:rsid w:val="00262D56"/>
    <w:rsid w:val="00263092"/>
    <w:rsid w:val="00263248"/>
    <w:rsid w:val="0026342D"/>
    <w:rsid w:val="0026408E"/>
    <w:rsid w:val="00264425"/>
    <w:rsid w:val="002662A5"/>
    <w:rsid w:val="002674D1"/>
    <w:rsid w:val="00270171"/>
    <w:rsid w:val="00270720"/>
    <w:rsid w:val="00270F98"/>
    <w:rsid w:val="00271D1F"/>
    <w:rsid w:val="00271D77"/>
    <w:rsid w:val="00273257"/>
    <w:rsid w:val="00273F9F"/>
    <w:rsid w:val="00273FA9"/>
    <w:rsid w:val="00274844"/>
    <w:rsid w:val="00274A4A"/>
    <w:rsid w:val="002773F1"/>
    <w:rsid w:val="00281013"/>
    <w:rsid w:val="00281A5D"/>
    <w:rsid w:val="00282053"/>
    <w:rsid w:val="00282EFB"/>
    <w:rsid w:val="002833DD"/>
    <w:rsid w:val="00283DAF"/>
    <w:rsid w:val="00284C5E"/>
    <w:rsid w:val="00286285"/>
    <w:rsid w:val="00287B9F"/>
    <w:rsid w:val="00291097"/>
    <w:rsid w:val="00291614"/>
    <w:rsid w:val="002919E5"/>
    <w:rsid w:val="00291A10"/>
    <w:rsid w:val="0029309B"/>
    <w:rsid w:val="00294B37"/>
    <w:rsid w:val="00296722"/>
    <w:rsid w:val="00297F3F"/>
    <w:rsid w:val="002A195C"/>
    <w:rsid w:val="002A251F"/>
    <w:rsid w:val="002A304B"/>
    <w:rsid w:val="002A3463"/>
    <w:rsid w:val="002A3AAB"/>
    <w:rsid w:val="002A4A61"/>
    <w:rsid w:val="002A4C48"/>
    <w:rsid w:val="002A55B1"/>
    <w:rsid w:val="002B0983"/>
    <w:rsid w:val="002B4FE8"/>
    <w:rsid w:val="002B5901"/>
    <w:rsid w:val="002B5973"/>
    <w:rsid w:val="002B5ABF"/>
    <w:rsid w:val="002C0A11"/>
    <w:rsid w:val="002C1B49"/>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2151"/>
    <w:rsid w:val="002E340A"/>
    <w:rsid w:val="002E6FF6"/>
    <w:rsid w:val="002E7072"/>
    <w:rsid w:val="002F0915"/>
    <w:rsid w:val="002F0CA0"/>
    <w:rsid w:val="002F1269"/>
    <w:rsid w:val="002F1C40"/>
    <w:rsid w:val="002F25B2"/>
    <w:rsid w:val="002F26ED"/>
    <w:rsid w:val="002F2BC5"/>
    <w:rsid w:val="002F2BD4"/>
    <w:rsid w:val="002F376B"/>
    <w:rsid w:val="002F47F4"/>
    <w:rsid w:val="002F499D"/>
    <w:rsid w:val="002F50E3"/>
    <w:rsid w:val="002F516C"/>
    <w:rsid w:val="002F5C8C"/>
    <w:rsid w:val="002F6CAB"/>
    <w:rsid w:val="002F7199"/>
    <w:rsid w:val="002F7AE5"/>
    <w:rsid w:val="002F7D11"/>
    <w:rsid w:val="0030081B"/>
    <w:rsid w:val="00300978"/>
    <w:rsid w:val="003021B7"/>
    <w:rsid w:val="003024ED"/>
    <w:rsid w:val="0030268D"/>
    <w:rsid w:val="0030382C"/>
    <w:rsid w:val="00305D12"/>
    <w:rsid w:val="00305D6E"/>
    <w:rsid w:val="003069B5"/>
    <w:rsid w:val="0030782E"/>
    <w:rsid w:val="00307F5F"/>
    <w:rsid w:val="003104DB"/>
    <w:rsid w:val="0031091B"/>
    <w:rsid w:val="00310DB1"/>
    <w:rsid w:val="003143D6"/>
    <w:rsid w:val="003144D3"/>
    <w:rsid w:val="00315B52"/>
    <w:rsid w:val="00315DE7"/>
    <w:rsid w:val="00317A7D"/>
    <w:rsid w:val="00320AE6"/>
    <w:rsid w:val="00320ED2"/>
    <w:rsid w:val="003214E2"/>
    <w:rsid w:val="003222DD"/>
    <w:rsid w:val="003231DA"/>
    <w:rsid w:val="00324BB2"/>
    <w:rsid w:val="00325AB6"/>
    <w:rsid w:val="00326126"/>
    <w:rsid w:val="00326438"/>
    <w:rsid w:val="003264AA"/>
    <w:rsid w:val="003267C0"/>
    <w:rsid w:val="0033057A"/>
    <w:rsid w:val="003308A8"/>
    <w:rsid w:val="00331749"/>
    <w:rsid w:val="00332A81"/>
    <w:rsid w:val="00332D21"/>
    <w:rsid w:val="00333CE0"/>
    <w:rsid w:val="00334DEA"/>
    <w:rsid w:val="00336F5F"/>
    <w:rsid w:val="00343554"/>
    <w:rsid w:val="003449F9"/>
    <w:rsid w:val="00344DA5"/>
    <w:rsid w:val="00345650"/>
    <w:rsid w:val="0034581F"/>
    <w:rsid w:val="0034592B"/>
    <w:rsid w:val="003479E4"/>
    <w:rsid w:val="00347C43"/>
    <w:rsid w:val="0035010D"/>
    <w:rsid w:val="00350CA7"/>
    <w:rsid w:val="0035213C"/>
    <w:rsid w:val="00352DC1"/>
    <w:rsid w:val="00353DB8"/>
    <w:rsid w:val="00355254"/>
    <w:rsid w:val="0035591D"/>
    <w:rsid w:val="00355B79"/>
    <w:rsid w:val="00356265"/>
    <w:rsid w:val="00357F36"/>
    <w:rsid w:val="00360C87"/>
    <w:rsid w:val="003622ED"/>
    <w:rsid w:val="00362BFB"/>
    <w:rsid w:val="00362C5B"/>
    <w:rsid w:val="00366AF0"/>
    <w:rsid w:val="00370124"/>
    <w:rsid w:val="00370F2A"/>
    <w:rsid w:val="003713CA"/>
    <w:rsid w:val="0037201A"/>
    <w:rsid w:val="003724BD"/>
    <w:rsid w:val="003729FC"/>
    <w:rsid w:val="00372FCA"/>
    <w:rsid w:val="00373A51"/>
    <w:rsid w:val="00374C87"/>
    <w:rsid w:val="00374CBC"/>
    <w:rsid w:val="00374E5A"/>
    <w:rsid w:val="003766B9"/>
    <w:rsid w:val="00376E69"/>
    <w:rsid w:val="00377473"/>
    <w:rsid w:val="00380D38"/>
    <w:rsid w:val="00381B63"/>
    <w:rsid w:val="00381F98"/>
    <w:rsid w:val="00382522"/>
    <w:rsid w:val="00382C54"/>
    <w:rsid w:val="00383766"/>
    <w:rsid w:val="00383C03"/>
    <w:rsid w:val="00383D1B"/>
    <w:rsid w:val="0038516A"/>
    <w:rsid w:val="00385654"/>
    <w:rsid w:val="00385FD6"/>
    <w:rsid w:val="0038601E"/>
    <w:rsid w:val="00387A77"/>
    <w:rsid w:val="003906A1"/>
    <w:rsid w:val="00391845"/>
    <w:rsid w:val="003924F8"/>
    <w:rsid w:val="003945E3"/>
    <w:rsid w:val="0039490A"/>
    <w:rsid w:val="00395A50"/>
    <w:rsid w:val="0039679A"/>
    <w:rsid w:val="00396D08"/>
    <w:rsid w:val="0039787F"/>
    <w:rsid w:val="003A161F"/>
    <w:rsid w:val="003A1693"/>
    <w:rsid w:val="003A1CC7"/>
    <w:rsid w:val="003A1CFA"/>
    <w:rsid w:val="003A22E2"/>
    <w:rsid w:val="003A29E6"/>
    <w:rsid w:val="003A2CCD"/>
    <w:rsid w:val="003A3196"/>
    <w:rsid w:val="003A36DB"/>
    <w:rsid w:val="003A3776"/>
    <w:rsid w:val="003A3ABC"/>
    <w:rsid w:val="003A478D"/>
    <w:rsid w:val="003A56B2"/>
    <w:rsid w:val="003A5BFF"/>
    <w:rsid w:val="003A6244"/>
    <w:rsid w:val="003A6AC1"/>
    <w:rsid w:val="003A6B04"/>
    <w:rsid w:val="003A74EB"/>
    <w:rsid w:val="003A7B64"/>
    <w:rsid w:val="003B03CE"/>
    <w:rsid w:val="003B042A"/>
    <w:rsid w:val="003B0C59"/>
    <w:rsid w:val="003B3C5F"/>
    <w:rsid w:val="003B4640"/>
    <w:rsid w:val="003B4DAD"/>
    <w:rsid w:val="003B52F2"/>
    <w:rsid w:val="003B5537"/>
    <w:rsid w:val="003B6329"/>
    <w:rsid w:val="003B64A5"/>
    <w:rsid w:val="003B6F60"/>
    <w:rsid w:val="003B76BD"/>
    <w:rsid w:val="003B783A"/>
    <w:rsid w:val="003B7992"/>
    <w:rsid w:val="003C045C"/>
    <w:rsid w:val="003C2B82"/>
    <w:rsid w:val="003C304E"/>
    <w:rsid w:val="003C315D"/>
    <w:rsid w:val="003C47A5"/>
    <w:rsid w:val="003C47D1"/>
    <w:rsid w:val="003C56D8"/>
    <w:rsid w:val="003C58AE"/>
    <w:rsid w:val="003C74FF"/>
    <w:rsid w:val="003C7D11"/>
    <w:rsid w:val="003D0525"/>
    <w:rsid w:val="003D151A"/>
    <w:rsid w:val="003D1D90"/>
    <w:rsid w:val="003D26A5"/>
    <w:rsid w:val="003D3623"/>
    <w:rsid w:val="003D3F93"/>
    <w:rsid w:val="003D4734"/>
    <w:rsid w:val="003D5013"/>
    <w:rsid w:val="003D559C"/>
    <w:rsid w:val="003D5F14"/>
    <w:rsid w:val="003D664E"/>
    <w:rsid w:val="003D70A5"/>
    <w:rsid w:val="003D77A3"/>
    <w:rsid w:val="003D78F7"/>
    <w:rsid w:val="003E06ED"/>
    <w:rsid w:val="003E2EAF"/>
    <w:rsid w:val="003E32DF"/>
    <w:rsid w:val="003E3FAD"/>
    <w:rsid w:val="003E416D"/>
    <w:rsid w:val="003E4403"/>
    <w:rsid w:val="003E5916"/>
    <w:rsid w:val="003E5CD9"/>
    <w:rsid w:val="003E5D5A"/>
    <w:rsid w:val="003E5DE7"/>
    <w:rsid w:val="003E6208"/>
    <w:rsid w:val="003E65A8"/>
    <w:rsid w:val="003E667C"/>
    <w:rsid w:val="003E7414"/>
    <w:rsid w:val="003E74AB"/>
    <w:rsid w:val="003E7F99"/>
    <w:rsid w:val="003F1281"/>
    <w:rsid w:val="003F2B96"/>
    <w:rsid w:val="003F2D6C"/>
    <w:rsid w:val="003F6B76"/>
    <w:rsid w:val="003F793B"/>
    <w:rsid w:val="004010D0"/>
    <w:rsid w:val="004014AE"/>
    <w:rsid w:val="00403271"/>
    <w:rsid w:val="00403645"/>
    <w:rsid w:val="00403B13"/>
    <w:rsid w:val="00403F46"/>
    <w:rsid w:val="004051EE"/>
    <w:rsid w:val="004066AC"/>
    <w:rsid w:val="00407C5B"/>
    <w:rsid w:val="004110BE"/>
    <w:rsid w:val="0041147F"/>
    <w:rsid w:val="00411A99"/>
    <w:rsid w:val="00411C03"/>
    <w:rsid w:val="00411E59"/>
    <w:rsid w:val="0041387C"/>
    <w:rsid w:val="0041562C"/>
    <w:rsid w:val="00415C55"/>
    <w:rsid w:val="004209D5"/>
    <w:rsid w:val="00421159"/>
    <w:rsid w:val="00421A46"/>
    <w:rsid w:val="00422546"/>
    <w:rsid w:val="00422D5C"/>
    <w:rsid w:val="00423116"/>
    <w:rsid w:val="00423634"/>
    <w:rsid w:val="0042390D"/>
    <w:rsid w:val="00426281"/>
    <w:rsid w:val="004270C7"/>
    <w:rsid w:val="00430648"/>
    <w:rsid w:val="00430D0B"/>
    <w:rsid w:val="00430E74"/>
    <w:rsid w:val="00432069"/>
    <w:rsid w:val="004326C6"/>
    <w:rsid w:val="004339CB"/>
    <w:rsid w:val="0043498F"/>
    <w:rsid w:val="00435208"/>
    <w:rsid w:val="00435703"/>
    <w:rsid w:val="00435AC8"/>
    <w:rsid w:val="00437814"/>
    <w:rsid w:val="004402C9"/>
    <w:rsid w:val="00440FF1"/>
    <w:rsid w:val="004417F2"/>
    <w:rsid w:val="00442799"/>
    <w:rsid w:val="00443EE6"/>
    <w:rsid w:val="00443FBF"/>
    <w:rsid w:val="00444DEA"/>
    <w:rsid w:val="004452DF"/>
    <w:rsid w:val="00445FE2"/>
    <w:rsid w:val="0044782B"/>
    <w:rsid w:val="004507E7"/>
    <w:rsid w:val="0045084E"/>
    <w:rsid w:val="00450CC0"/>
    <w:rsid w:val="004523CE"/>
    <w:rsid w:val="0045273C"/>
    <w:rsid w:val="0045288D"/>
    <w:rsid w:val="004535CB"/>
    <w:rsid w:val="00453A44"/>
    <w:rsid w:val="00457028"/>
    <w:rsid w:val="00457247"/>
    <w:rsid w:val="00457E3B"/>
    <w:rsid w:val="00457FA3"/>
    <w:rsid w:val="004616D4"/>
    <w:rsid w:val="00461C2E"/>
    <w:rsid w:val="00462172"/>
    <w:rsid w:val="004625C3"/>
    <w:rsid w:val="004638F9"/>
    <w:rsid w:val="00466B33"/>
    <w:rsid w:val="00466EEB"/>
    <w:rsid w:val="004721EF"/>
    <w:rsid w:val="0047267B"/>
    <w:rsid w:val="00472EA0"/>
    <w:rsid w:val="00473358"/>
    <w:rsid w:val="00475A71"/>
    <w:rsid w:val="00475D9E"/>
    <w:rsid w:val="00476F40"/>
    <w:rsid w:val="004804A4"/>
    <w:rsid w:val="00481273"/>
    <w:rsid w:val="004821A5"/>
    <w:rsid w:val="004828D5"/>
    <w:rsid w:val="00482AD0"/>
    <w:rsid w:val="00482AF6"/>
    <w:rsid w:val="004841EB"/>
    <w:rsid w:val="00484651"/>
    <w:rsid w:val="00486EB3"/>
    <w:rsid w:val="00487778"/>
    <w:rsid w:val="00490E10"/>
    <w:rsid w:val="00491CAF"/>
    <w:rsid w:val="004921DA"/>
    <w:rsid w:val="00492A82"/>
    <w:rsid w:val="00493216"/>
    <w:rsid w:val="0049468A"/>
    <w:rsid w:val="004946E9"/>
    <w:rsid w:val="00495B8C"/>
    <w:rsid w:val="00495DAB"/>
    <w:rsid w:val="00497C1D"/>
    <w:rsid w:val="004A0866"/>
    <w:rsid w:val="004A0AF4"/>
    <w:rsid w:val="004A0FC9"/>
    <w:rsid w:val="004A1BB9"/>
    <w:rsid w:val="004A434E"/>
    <w:rsid w:val="004A443F"/>
    <w:rsid w:val="004A5537"/>
    <w:rsid w:val="004A7935"/>
    <w:rsid w:val="004A7B3B"/>
    <w:rsid w:val="004A7E06"/>
    <w:rsid w:val="004A7F12"/>
    <w:rsid w:val="004B18C2"/>
    <w:rsid w:val="004B1B57"/>
    <w:rsid w:val="004B2117"/>
    <w:rsid w:val="004B493F"/>
    <w:rsid w:val="004B50D6"/>
    <w:rsid w:val="004B7780"/>
    <w:rsid w:val="004C0BD8"/>
    <w:rsid w:val="004C0F0A"/>
    <w:rsid w:val="004C3C2A"/>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083A"/>
    <w:rsid w:val="004E19B8"/>
    <w:rsid w:val="004E2A0B"/>
    <w:rsid w:val="004E2A13"/>
    <w:rsid w:val="004E4493"/>
    <w:rsid w:val="004E4538"/>
    <w:rsid w:val="004E46DF"/>
    <w:rsid w:val="004E4B5B"/>
    <w:rsid w:val="004E66C3"/>
    <w:rsid w:val="004E7E34"/>
    <w:rsid w:val="004F0CB7"/>
    <w:rsid w:val="004F1733"/>
    <w:rsid w:val="004F22BE"/>
    <w:rsid w:val="004F2AA1"/>
    <w:rsid w:val="004F2CFD"/>
    <w:rsid w:val="004F38F8"/>
    <w:rsid w:val="004F4564"/>
    <w:rsid w:val="004F4BBB"/>
    <w:rsid w:val="004F5A90"/>
    <w:rsid w:val="004F5CF9"/>
    <w:rsid w:val="004F6FC6"/>
    <w:rsid w:val="004F74F8"/>
    <w:rsid w:val="005004EC"/>
    <w:rsid w:val="005008E3"/>
    <w:rsid w:val="0050128F"/>
    <w:rsid w:val="00501E52"/>
    <w:rsid w:val="005023E3"/>
    <w:rsid w:val="00503796"/>
    <w:rsid w:val="00503A64"/>
    <w:rsid w:val="00503BF1"/>
    <w:rsid w:val="00504958"/>
    <w:rsid w:val="00504AA2"/>
    <w:rsid w:val="00504BEE"/>
    <w:rsid w:val="00505535"/>
    <w:rsid w:val="00505934"/>
    <w:rsid w:val="005065EB"/>
    <w:rsid w:val="00506863"/>
    <w:rsid w:val="00506A45"/>
    <w:rsid w:val="005072B6"/>
    <w:rsid w:val="00507500"/>
    <w:rsid w:val="0050752C"/>
    <w:rsid w:val="00507B1D"/>
    <w:rsid w:val="0051035D"/>
    <w:rsid w:val="00510557"/>
    <w:rsid w:val="00512C68"/>
    <w:rsid w:val="00513528"/>
    <w:rsid w:val="00514C7F"/>
    <w:rsid w:val="0051588E"/>
    <w:rsid w:val="005167F8"/>
    <w:rsid w:val="0051693C"/>
    <w:rsid w:val="00517ED6"/>
    <w:rsid w:val="00520264"/>
    <w:rsid w:val="00520B8C"/>
    <w:rsid w:val="0052151C"/>
    <w:rsid w:val="00522A49"/>
    <w:rsid w:val="00522C53"/>
    <w:rsid w:val="005235B6"/>
    <w:rsid w:val="005243B4"/>
    <w:rsid w:val="005260D8"/>
    <w:rsid w:val="00526970"/>
    <w:rsid w:val="00527489"/>
    <w:rsid w:val="00527BB3"/>
    <w:rsid w:val="00531734"/>
    <w:rsid w:val="0053254A"/>
    <w:rsid w:val="00534255"/>
    <w:rsid w:val="0053566B"/>
    <w:rsid w:val="005356A9"/>
    <w:rsid w:val="005360B9"/>
    <w:rsid w:val="0053615F"/>
    <w:rsid w:val="00540657"/>
    <w:rsid w:val="00540A28"/>
    <w:rsid w:val="0054235E"/>
    <w:rsid w:val="00543CCF"/>
    <w:rsid w:val="0054425D"/>
    <w:rsid w:val="005442D3"/>
    <w:rsid w:val="00544B61"/>
    <w:rsid w:val="00552983"/>
    <w:rsid w:val="00553C7D"/>
    <w:rsid w:val="0055459B"/>
    <w:rsid w:val="005546A4"/>
    <w:rsid w:val="00554995"/>
    <w:rsid w:val="00554EEF"/>
    <w:rsid w:val="005555B2"/>
    <w:rsid w:val="00555EF7"/>
    <w:rsid w:val="00557A6D"/>
    <w:rsid w:val="0056133B"/>
    <w:rsid w:val="00562627"/>
    <w:rsid w:val="00563B85"/>
    <w:rsid w:val="00565751"/>
    <w:rsid w:val="005660CE"/>
    <w:rsid w:val="00567934"/>
    <w:rsid w:val="005702B6"/>
    <w:rsid w:val="005703A1"/>
    <w:rsid w:val="0057046A"/>
    <w:rsid w:val="005712BF"/>
    <w:rsid w:val="00571574"/>
    <w:rsid w:val="00571583"/>
    <w:rsid w:val="00572BF3"/>
    <w:rsid w:val="00572CFB"/>
    <w:rsid w:val="00572E7A"/>
    <w:rsid w:val="00572EE8"/>
    <w:rsid w:val="00572EFC"/>
    <w:rsid w:val="00574757"/>
    <w:rsid w:val="00574A26"/>
    <w:rsid w:val="00574F18"/>
    <w:rsid w:val="00575835"/>
    <w:rsid w:val="00575DE8"/>
    <w:rsid w:val="00576718"/>
    <w:rsid w:val="00583212"/>
    <w:rsid w:val="00584464"/>
    <w:rsid w:val="00584948"/>
    <w:rsid w:val="00585D8F"/>
    <w:rsid w:val="00585FC5"/>
    <w:rsid w:val="00586072"/>
    <w:rsid w:val="0058644C"/>
    <w:rsid w:val="005868F1"/>
    <w:rsid w:val="00587F10"/>
    <w:rsid w:val="00591351"/>
    <w:rsid w:val="00591AC3"/>
    <w:rsid w:val="005960DD"/>
    <w:rsid w:val="00596243"/>
    <w:rsid w:val="00596413"/>
    <w:rsid w:val="00596B6A"/>
    <w:rsid w:val="005A0868"/>
    <w:rsid w:val="005A16CF"/>
    <w:rsid w:val="005A1A3D"/>
    <w:rsid w:val="005A23DB"/>
    <w:rsid w:val="005A2ECA"/>
    <w:rsid w:val="005A33B1"/>
    <w:rsid w:val="005A4504"/>
    <w:rsid w:val="005A4BFF"/>
    <w:rsid w:val="005A5B1F"/>
    <w:rsid w:val="005A624A"/>
    <w:rsid w:val="005A6BC3"/>
    <w:rsid w:val="005A7433"/>
    <w:rsid w:val="005B151D"/>
    <w:rsid w:val="005B2B86"/>
    <w:rsid w:val="005B2BA0"/>
    <w:rsid w:val="005B2EB9"/>
    <w:rsid w:val="005B31EA"/>
    <w:rsid w:val="005B34A6"/>
    <w:rsid w:val="005B42FF"/>
    <w:rsid w:val="005B47C3"/>
    <w:rsid w:val="005B53A0"/>
    <w:rsid w:val="005B55BC"/>
    <w:rsid w:val="005B55FB"/>
    <w:rsid w:val="005B5728"/>
    <w:rsid w:val="005B68D2"/>
    <w:rsid w:val="005B697A"/>
    <w:rsid w:val="005B6C67"/>
    <w:rsid w:val="005B727A"/>
    <w:rsid w:val="005C04B3"/>
    <w:rsid w:val="005C0CBC"/>
    <w:rsid w:val="005C1D3E"/>
    <w:rsid w:val="005C3D2E"/>
    <w:rsid w:val="005C4204"/>
    <w:rsid w:val="005C45E7"/>
    <w:rsid w:val="005C5B58"/>
    <w:rsid w:val="005C6389"/>
    <w:rsid w:val="005C6823"/>
    <w:rsid w:val="005D0C43"/>
    <w:rsid w:val="005D1461"/>
    <w:rsid w:val="005D203C"/>
    <w:rsid w:val="005D33B5"/>
    <w:rsid w:val="005D397D"/>
    <w:rsid w:val="005D3D5E"/>
    <w:rsid w:val="005D3F28"/>
    <w:rsid w:val="005D5C6E"/>
    <w:rsid w:val="005D645B"/>
    <w:rsid w:val="005D74B0"/>
    <w:rsid w:val="005D7506"/>
    <w:rsid w:val="005D7951"/>
    <w:rsid w:val="005E2305"/>
    <w:rsid w:val="005E3E49"/>
    <w:rsid w:val="005E44ED"/>
    <w:rsid w:val="005E4E9C"/>
    <w:rsid w:val="005E58D3"/>
    <w:rsid w:val="005E5C05"/>
    <w:rsid w:val="005E768D"/>
    <w:rsid w:val="005E7B13"/>
    <w:rsid w:val="005F00B1"/>
    <w:rsid w:val="005F00E7"/>
    <w:rsid w:val="005F19DD"/>
    <w:rsid w:val="005F23B2"/>
    <w:rsid w:val="005F4562"/>
    <w:rsid w:val="005F4AD8"/>
    <w:rsid w:val="005F5ADA"/>
    <w:rsid w:val="005F695C"/>
    <w:rsid w:val="005F71B8"/>
    <w:rsid w:val="005F7C51"/>
    <w:rsid w:val="00600A10"/>
    <w:rsid w:val="00610293"/>
    <w:rsid w:val="006104BB"/>
    <w:rsid w:val="006111B6"/>
    <w:rsid w:val="006117D4"/>
    <w:rsid w:val="00612605"/>
    <w:rsid w:val="006127E0"/>
    <w:rsid w:val="00613F10"/>
    <w:rsid w:val="00613F53"/>
    <w:rsid w:val="00615E8C"/>
    <w:rsid w:val="00616288"/>
    <w:rsid w:val="006171FF"/>
    <w:rsid w:val="00620750"/>
    <w:rsid w:val="00620AE0"/>
    <w:rsid w:val="00620F63"/>
    <w:rsid w:val="00621286"/>
    <w:rsid w:val="0062254C"/>
    <w:rsid w:val="0062298E"/>
    <w:rsid w:val="00622E16"/>
    <w:rsid w:val="0062350A"/>
    <w:rsid w:val="0062440B"/>
    <w:rsid w:val="00624F1A"/>
    <w:rsid w:val="0062531E"/>
    <w:rsid w:val="006254B0"/>
    <w:rsid w:val="00625C33"/>
    <w:rsid w:val="00626D26"/>
    <w:rsid w:val="00627C25"/>
    <w:rsid w:val="006302F7"/>
    <w:rsid w:val="00631526"/>
    <w:rsid w:val="00631EB7"/>
    <w:rsid w:val="00633A8F"/>
    <w:rsid w:val="00633E2A"/>
    <w:rsid w:val="006346CB"/>
    <w:rsid w:val="00635200"/>
    <w:rsid w:val="006362D2"/>
    <w:rsid w:val="00636633"/>
    <w:rsid w:val="00637D47"/>
    <w:rsid w:val="006405E4"/>
    <w:rsid w:val="006416FF"/>
    <w:rsid w:val="00644E29"/>
    <w:rsid w:val="0064557D"/>
    <w:rsid w:val="0064582B"/>
    <w:rsid w:val="006458EA"/>
    <w:rsid w:val="0064617E"/>
    <w:rsid w:val="00646871"/>
    <w:rsid w:val="006469DB"/>
    <w:rsid w:val="006471FF"/>
    <w:rsid w:val="00651442"/>
    <w:rsid w:val="00651507"/>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D96"/>
    <w:rsid w:val="0067038A"/>
    <w:rsid w:val="0067069C"/>
    <w:rsid w:val="0067110E"/>
    <w:rsid w:val="00671F29"/>
    <w:rsid w:val="0067305F"/>
    <w:rsid w:val="00673E73"/>
    <w:rsid w:val="0067737F"/>
    <w:rsid w:val="0067758D"/>
    <w:rsid w:val="00680308"/>
    <w:rsid w:val="00680634"/>
    <w:rsid w:val="006813E4"/>
    <w:rsid w:val="0068276E"/>
    <w:rsid w:val="0068429C"/>
    <w:rsid w:val="0068438F"/>
    <w:rsid w:val="00685673"/>
    <w:rsid w:val="00685816"/>
    <w:rsid w:val="006861D2"/>
    <w:rsid w:val="00687476"/>
    <w:rsid w:val="00687A6F"/>
    <w:rsid w:val="0069038E"/>
    <w:rsid w:val="00690E91"/>
    <w:rsid w:val="00690EB5"/>
    <w:rsid w:val="006925B5"/>
    <w:rsid w:val="0069501E"/>
    <w:rsid w:val="00696DEC"/>
    <w:rsid w:val="006976B8"/>
    <w:rsid w:val="00697D9C"/>
    <w:rsid w:val="006A1A0A"/>
    <w:rsid w:val="006A1B2B"/>
    <w:rsid w:val="006A3117"/>
    <w:rsid w:val="006A3A0E"/>
    <w:rsid w:val="006A3EB3"/>
    <w:rsid w:val="006A46ED"/>
    <w:rsid w:val="006A4B06"/>
    <w:rsid w:val="006A4F60"/>
    <w:rsid w:val="006A503E"/>
    <w:rsid w:val="006A59BC"/>
    <w:rsid w:val="006A67EB"/>
    <w:rsid w:val="006A6A83"/>
    <w:rsid w:val="006A790E"/>
    <w:rsid w:val="006A7F86"/>
    <w:rsid w:val="006B58EB"/>
    <w:rsid w:val="006B7062"/>
    <w:rsid w:val="006C0110"/>
    <w:rsid w:val="006C0178"/>
    <w:rsid w:val="006C063A"/>
    <w:rsid w:val="006C1785"/>
    <w:rsid w:val="006C1FA8"/>
    <w:rsid w:val="006C2AC8"/>
    <w:rsid w:val="006C2C97"/>
    <w:rsid w:val="006C398A"/>
    <w:rsid w:val="006C3C41"/>
    <w:rsid w:val="006C5695"/>
    <w:rsid w:val="006D00D5"/>
    <w:rsid w:val="006D0534"/>
    <w:rsid w:val="006D0997"/>
    <w:rsid w:val="006D0E7B"/>
    <w:rsid w:val="006D3377"/>
    <w:rsid w:val="006D3E5E"/>
    <w:rsid w:val="006D4C00"/>
    <w:rsid w:val="006D5362"/>
    <w:rsid w:val="006D6DCA"/>
    <w:rsid w:val="006E1323"/>
    <w:rsid w:val="006E15B2"/>
    <w:rsid w:val="006E181A"/>
    <w:rsid w:val="006E21CA"/>
    <w:rsid w:val="006E2D44"/>
    <w:rsid w:val="006E5109"/>
    <w:rsid w:val="006E6267"/>
    <w:rsid w:val="006E63BD"/>
    <w:rsid w:val="006E6EBE"/>
    <w:rsid w:val="006E753D"/>
    <w:rsid w:val="006E75EE"/>
    <w:rsid w:val="006F1498"/>
    <w:rsid w:val="006F14CD"/>
    <w:rsid w:val="006F1B7E"/>
    <w:rsid w:val="006F241A"/>
    <w:rsid w:val="006F2F3F"/>
    <w:rsid w:val="006F36A8"/>
    <w:rsid w:val="006F3DD4"/>
    <w:rsid w:val="006F47DC"/>
    <w:rsid w:val="006F4E04"/>
    <w:rsid w:val="006F59EB"/>
    <w:rsid w:val="006F6E4C"/>
    <w:rsid w:val="00700354"/>
    <w:rsid w:val="007005D5"/>
    <w:rsid w:val="00700F82"/>
    <w:rsid w:val="00702CA2"/>
    <w:rsid w:val="00704376"/>
    <w:rsid w:val="007045BD"/>
    <w:rsid w:val="007046F5"/>
    <w:rsid w:val="007069D9"/>
    <w:rsid w:val="00711472"/>
    <w:rsid w:val="00711AD3"/>
    <w:rsid w:val="00711E05"/>
    <w:rsid w:val="007121E9"/>
    <w:rsid w:val="00714D9F"/>
    <w:rsid w:val="00714DE0"/>
    <w:rsid w:val="007164A7"/>
    <w:rsid w:val="00716DFF"/>
    <w:rsid w:val="00721A60"/>
    <w:rsid w:val="007220CF"/>
    <w:rsid w:val="00722163"/>
    <w:rsid w:val="007223A2"/>
    <w:rsid w:val="00723821"/>
    <w:rsid w:val="007245A6"/>
    <w:rsid w:val="00724942"/>
    <w:rsid w:val="00724D40"/>
    <w:rsid w:val="007257AC"/>
    <w:rsid w:val="0072612D"/>
    <w:rsid w:val="00727341"/>
    <w:rsid w:val="00727426"/>
    <w:rsid w:val="00727E1D"/>
    <w:rsid w:val="00730D9A"/>
    <w:rsid w:val="007327B4"/>
    <w:rsid w:val="00734AC1"/>
    <w:rsid w:val="00734C35"/>
    <w:rsid w:val="00734F1A"/>
    <w:rsid w:val="00736065"/>
    <w:rsid w:val="00736C8F"/>
    <w:rsid w:val="00737109"/>
    <w:rsid w:val="0074006F"/>
    <w:rsid w:val="00741D75"/>
    <w:rsid w:val="007421CA"/>
    <w:rsid w:val="00743325"/>
    <w:rsid w:val="00745008"/>
    <w:rsid w:val="0074621F"/>
    <w:rsid w:val="007463FB"/>
    <w:rsid w:val="007513CD"/>
    <w:rsid w:val="00751F14"/>
    <w:rsid w:val="00752D8F"/>
    <w:rsid w:val="007546E8"/>
    <w:rsid w:val="00754777"/>
    <w:rsid w:val="00755880"/>
    <w:rsid w:val="00755D22"/>
    <w:rsid w:val="0075696F"/>
    <w:rsid w:val="007571C4"/>
    <w:rsid w:val="007571F6"/>
    <w:rsid w:val="00757297"/>
    <w:rsid w:val="0075763B"/>
    <w:rsid w:val="00760099"/>
    <w:rsid w:val="007608C7"/>
    <w:rsid w:val="0076096A"/>
    <w:rsid w:val="00760E8D"/>
    <w:rsid w:val="00761406"/>
    <w:rsid w:val="0076196C"/>
    <w:rsid w:val="00763239"/>
    <w:rsid w:val="007652F7"/>
    <w:rsid w:val="00765451"/>
    <w:rsid w:val="00766B1A"/>
    <w:rsid w:val="00766DFE"/>
    <w:rsid w:val="00767192"/>
    <w:rsid w:val="00772027"/>
    <w:rsid w:val="0077584D"/>
    <w:rsid w:val="00775F8D"/>
    <w:rsid w:val="007764B8"/>
    <w:rsid w:val="00777246"/>
    <w:rsid w:val="0077773A"/>
    <w:rsid w:val="00777791"/>
    <w:rsid w:val="0077797F"/>
    <w:rsid w:val="00781248"/>
    <w:rsid w:val="00781458"/>
    <w:rsid w:val="00781E1F"/>
    <w:rsid w:val="00782415"/>
    <w:rsid w:val="00782B50"/>
    <w:rsid w:val="00783B46"/>
    <w:rsid w:val="00784095"/>
    <w:rsid w:val="00784800"/>
    <w:rsid w:val="00784825"/>
    <w:rsid w:val="00785054"/>
    <w:rsid w:val="00786A15"/>
    <w:rsid w:val="007914E4"/>
    <w:rsid w:val="007914F3"/>
    <w:rsid w:val="00791DF5"/>
    <w:rsid w:val="00791F2A"/>
    <w:rsid w:val="00792030"/>
    <w:rsid w:val="007926D8"/>
    <w:rsid w:val="00792720"/>
    <w:rsid w:val="0079373D"/>
    <w:rsid w:val="00794BC4"/>
    <w:rsid w:val="00794F1E"/>
    <w:rsid w:val="0079538C"/>
    <w:rsid w:val="00795C50"/>
    <w:rsid w:val="007A098E"/>
    <w:rsid w:val="007A141E"/>
    <w:rsid w:val="007A149D"/>
    <w:rsid w:val="007A1DFF"/>
    <w:rsid w:val="007A439D"/>
    <w:rsid w:val="007A5765"/>
    <w:rsid w:val="007A5B89"/>
    <w:rsid w:val="007A5F97"/>
    <w:rsid w:val="007A68DE"/>
    <w:rsid w:val="007A77FC"/>
    <w:rsid w:val="007B058E"/>
    <w:rsid w:val="007B0864"/>
    <w:rsid w:val="007B0E05"/>
    <w:rsid w:val="007B2BDF"/>
    <w:rsid w:val="007B3236"/>
    <w:rsid w:val="007B337B"/>
    <w:rsid w:val="007B5195"/>
    <w:rsid w:val="007B5DB4"/>
    <w:rsid w:val="007C0243"/>
    <w:rsid w:val="007C0795"/>
    <w:rsid w:val="007C0FA5"/>
    <w:rsid w:val="007C13AC"/>
    <w:rsid w:val="007C14AD"/>
    <w:rsid w:val="007C1601"/>
    <w:rsid w:val="007C64D7"/>
    <w:rsid w:val="007C6C61"/>
    <w:rsid w:val="007C790C"/>
    <w:rsid w:val="007D08BB"/>
    <w:rsid w:val="007D1085"/>
    <w:rsid w:val="007D16CB"/>
    <w:rsid w:val="007D1926"/>
    <w:rsid w:val="007D25CF"/>
    <w:rsid w:val="007D284D"/>
    <w:rsid w:val="007D2B09"/>
    <w:rsid w:val="007D34C6"/>
    <w:rsid w:val="007D3C15"/>
    <w:rsid w:val="007D42D2"/>
    <w:rsid w:val="007D495A"/>
    <w:rsid w:val="007D4D44"/>
    <w:rsid w:val="007D50FF"/>
    <w:rsid w:val="007D5668"/>
    <w:rsid w:val="007D58A9"/>
    <w:rsid w:val="007D6B5D"/>
    <w:rsid w:val="007D6FEA"/>
    <w:rsid w:val="007D73E8"/>
    <w:rsid w:val="007D7FFC"/>
    <w:rsid w:val="007E0DDE"/>
    <w:rsid w:val="007E21DF"/>
    <w:rsid w:val="007E362C"/>
    <w:rsid w:val="007E41CB"/>
    <w:rsid w:val="007E5479"/>
    <w:rsid w:val="007E5F8E"/>
    <w:rsid w:val="007E79A4"/>
    <w:rsid w:val="007F06D2"/>
    <w:rsid w:val="007F072E"/>
    <w:rsid w:val="007F1AED"/>
    <w:rsid w:val="007F2366"/>
    <w:rsid w:val="007F2539"/>
    <w:rsid w:val="007F541F"/>
    <w:rsid w:val="007F6EC7"/>
    <w:rsid w:val="007F7070"/>
    <w:rsid w:val="007F75A8"/>
    <w:rsid w:val="007F7E00"/>
    <w:rsid w:val="007F7EA7"/>
    <w:rsid w:val="00800B72"/>
    <w:rsid w:val="00800B7A"/>
    <w:rsid w:val="0080120E"/>
    <w:rsid w:val="00802445"/>
    <w:rsid w:val="00802583"/>
    <w:rsid w:val="00802A2E"/>
    <w:rsid w:val="00802FC5"/>
    <w:rsid w:val="00803319"/>
    <w:rsid w:val="00804590"/>
    <w:rsid w:val="0080529F"/>
    <w:rsid w:val="00805F98"/>
    <w:rsid w:val="008077DC"/>
    <w:rsid w:val="0081078F"/>
    <w:rsid w:val="008107C8"/>
    <w:rsid w:val="008117FD"/>
    <w:rsid w:val="008121A6"/>
    <w:rsid w:val="00812782"/>
    <w:rsid w:val="008138C1"/>
    <w:rsid w:val="008143CA"/>
    <w:rsid w:val="008156C9"/>
    <w:rsid w:val="00815DA5"/>
    <w:rsid w:val="00816255"/>
    <w:rsid w:val="00816A54"/>
    <w:rsid w:val="00816B48"/>
    <w:rsid w:val="00817D6B"/>
    <w:rsid w:val="008201E8"/>
    <w:rsid w:val="008204A2"/>
    <w:rsid w:val="008208CB"/>
    <w:rsid w:val="00820B60"/>
    <w:rsid w:val="00821363"/>
    <w:rsid w:val="00822070"/>
    <w:rsid w:val="00822142"/>
    <w:rsid w:val="00822EA3"/>
    <w:rsid w:val="0082437A"/>
    <w:rsid w:val="00824BFC"/>
    <w:rsid w:val="00830ACB"/>
    <w:rsid w:val="0083127F"/>
    <w:rsid w:val="008312B9"/>
    <w:rsid w:val="00831EDC"/>
    <w:rsid w:val="00832700"/>
    <w:rsid w:val="00832898"/>
    <w:rsid w:val="00832B46"/>
    <w:rsid w:val="00835499"/>
    <w:rsid w:val="00835A0A"/>
    <w:rsid w:val="00835BE3"/>
    <w:rsid w:val="00835ECD"/>
    <w:rsid w:val="008369E5"/>
    <w:rsid w:val="00837745"/>
    <w:rsid w:val="008377E3"/>
    <w:rsid w:val="008378E7"/>
    <w:rsid w:val="00840667"/>
    <w:rsid w:val="00842C5E"/>
    <w:rsid w:val="00844800"/>
    <w:rsid w:val="00845FC2"/>
    <w:rsid w:val="00850365"/>
    <w:rsid w:val="00850566"/>
    <w:rsid w:val="008523A2"/>
    <w:rsid w:val="00852B3C"/>
    <w:rsid w:val="008532E6"/>
    <w:rsid w:val="00853FF2"/>
    <w:rsid w:val="00855910"/>
    <w:rsid w:val="0085795D"/>
    <w:rsid w:val="00862846"/>
    <w:rsid w:val="00862936"/>
    <w:rsid w:val="00862FBB"/>
    <w:rsid w:val="00863622"/>
    <w:rsid w:val="00864659"/>
    <w:rsid w:val="00866C0E"/>
    <w:rsid w:val="0086745D"/>
    <w:rsid w:val="00867847"/>
    <w:rsid w:val="00867C9F"/>
    <w:rsid w:val="00870A0D"/>
    <w:rsid w:val="00870BF0"/>
    <w:rsid w:val="008716D8"/>
    <w:rsid w:val="0087408A"/>
    <w:rsid w:val="00875ABA"/>
    <w:rsid w:val="00875B8A"/>
    <w:rsid w:val="008771D6"/>
    <w:rsid w:val="00877226"/>
    <w:rsid w:val="008776B0"/>
    <w:rsid w:val="0088012D"/>
    <w:rsid w:val="00881C47"/>
    <w:rsid w:val="008831D9"/>
    <w:rsid w:val="00883627"/>
    <w:rsid w:val="008840EE"/>
    <w:rsid w:val="00884237"/>
    <w:rsid w:val="008846E8"/>
    <w:rsid w:val="008862D7"/>
    <w:rsid w:val="00887583"/>
    <w:rsid w:val="008906C2"/>
    <w:rsid w:val="00891445"/>
    <w:rsid w:val="00891C55"/>
    <w:rsid w:val="00892639"/>
    <w:rsid w:val="00892781"/>
    <w:rsid w:val="008927FD"/>
    <w:rsid w:val="008939BF"/>
    <w:rsid w:val="00894C0B"/>
    <w:rsid w:val="00895A28"/>
    <w:rsid w:val="008967EF"/>
    <w:rsid w:val="00897183"/>
    <w:rsid w:val="008A2992"/>
    <w:rsid w:val="008A4593"/>
    <w:rsid w:val="008A46D9"/>
    <w:rsid w:val="008A5063"/>
    <w:rsid w:val="008A52EE"/>
    <w:rsid w:val="008A5AFD"/>
    <w:rsid w:val="008A6CD4"/>
    <w:rsid w:val="008A6E4D"/>
    <w:rsid w:val="008A788A"/>
    <w:rsid w:val="008A7C8C"/>
    <w:rsid w:val="008B3EFA"/>
    <w:rsid w:val="008B47B4"/>
    <w:rsid w:val="008B5396"/>
    <w:rsid w:val="008B581F"/>
    <w:rsid w:val="008C03FA"/>
    <w:rsid w:val="008C054A"/>
    <w:rsid w:val="008C0FD0"/>
    <w:rsid w:val="008C172B"/>
    <w:rsid w:val="008C2D9C"/>
    <w:rsid w:val="008C3418"/>
    <w:rsid w:val="008C418F"/>
    <w:rsid w:val="008C4913"/>
    <w:rsid w:val="008C4989"/>
    <w:rsid w:val="008C4AB5"/>
    <w:rsid w:val="008C4B46"/>
    <w:rsid w:val="008C5478"/>
    <w:rsid w:val="008C54F6"/>
    <w:rsid w:val="008C57E5"/>
    <w:rsid w:val="008C5AD6"/>
    <w:rsid w:val="008C5D4E"/>
    <w:rsid w:val="008C607E"/>
    <w:rsid w:val="008C6D0D"/>
    <w:rsid w:val="008C6F09"/>
    <w:rsid w:val="008C7A4B"/>
    <w:rsid w:val="008D0C05"/>
    <w:rsid w:val="008D49C9"/>
    <w:rsid w:val="008D668D"/>
    <w:rsid w:val="008D6B97"/>
    <w:rsid w:val="008D71CE"/>
    <w:rsid w:val="008D743A"/>
    <w:rsid w:val="008D7CA7"/>
    <w:rsid w:val="008E0651"/>
    <w:rsid w:val="008E0E94"/>
    <w:rsid w:val="008E1234"/>
    <w:rsid w:val="008E197A"/>
    <w:rsid w:val="008E444B"/>
    <w:rsid w:val="008E5787"/>
    <w:rsid w:val="008E5BF1"/>
    <w:rsid w:val="008E7647"/>
    <w:rsid w:val="008F0001"/>
    <w:rsid w:val="008F039B"/>
    <w:rsid w:val="008F1C67"/>
    <w:rsid w:val="008F238D"/>
    <w:rsid w:val="008F2611"/>
    <w:rsid w:val="008F4312"/>
    <w:rsid w:val="008F5E06"/>
    <w:rsid w:val="0090328C"/>
    <w:rsid w:val="009040B5"/>
    <w:rsid w:val="009057D2"/>
    <w:rsid w:val="00905A7F"/>
    <w:rsid w:val="00905CA4"/>
    <w:rsid w:val="00905EB6"/>
    <w:rsid w:val="00906247"/>
    <w:rsid w:val="009064A2"/>
    <w:rsid w:val="0090694C"/>
    <w:rsid w:val="009076E6"/>
    <w:rsid w:val="00910F8F"/>
    <w:rsid w:val="0091118D"/>
    <w:rsid w:val="0091261A"/>
    <w:rsid w:val="00912E12"/>
    <w:rsid w:val="009130B5"/>
    <w:rsid w:val="00913A3A"/>
    <w:rsid w:val="00914B92"/>
    <w:rsid w:val="0091500C"/>
    <w:rsid w:val="00915758"/>
    <w:rsid w:val="00920771"/>
    <w:rsid w:val="00920BF0"/>
    <w:rsid w:val="00920C8A"/>
    <w:rsid w:val="00921383"/>
    <w:rsid w:val="009225A7"/>
    <w:rsid w:val="009256A7"/>
    <w:rsid w:val="009278D5"/>
    <w:rsid w:val="00927FEB"/>
    <w:rsid w:val="00932F94"/>
    <w:rsid w:val="00934BB2"/>
    <w:rsid w:val="00934D23"/>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B3B"/>
    <w:rsid w:val="00947FF8"/>
    <w:rsid w:val="0095002B"/>
    <w:rsid w:val="0095165A"/>
    <w:rsid w:val="00951CE8"/>
    <w:rsid w:val="00952D70"/>
    <w:rsid w:val="00953331"/>
    <w:rsid w:val="00953565"/>
    <w:rsid w:val="00953D56"/>
    <w:rsid w:val="00954C90"/>
    <w:rsid w:val="00955A8E"/>
    <w:rsid w:val="0095758E"/>
    <w:rsid w:val="00960FA3"/>
    <w:rsid w:val="00961347"/>
    <w:rsid w:val="00962377"/>
    <w:rsid w:val="00962886"/>
    <w:rsid w:val="00963624"/>
    <w:rsid w:val="00964681"/>
    <w:rsid w:val="00966270"/>
    <w:rsid w:val="00967FC7"/>
    <w:rsid w:val="00970BC9"/>
    <w:rsid w:val="00971D88"/>
    <w:rsid w:val="009723A1"/>
    <w:rsid w:val="00972E97"/>
    <w:rsid w:val="00973554"/>
    <w:rsid w:val="00973614"/>
    <w:rsid w:val="00973CC2"/>
    <w:rsid w:val="009742AB"/>
    <w:rsid w:val="00974841"/>
    <w:rsid w:val="009749B1"/>
    <w:rsid w:val="00974EFF"/>
    <w:rsid w:val="00974F66"/>
    <w:rsid w:val="0097724C"/>
    <w:rsid w:val="0098048C"/>
    <w:rsid w:val="00980866"/>
    <w:rsid w:val="00980D24"/>
    <w:rsid w:val="00982037"/>
    <w:rsid w:val="009824DF"/>
    <w:rsid w:val="00982BC8"/>
    <w:rsid w:val="00983085"/>
    <w:rsid w:val="0098358E"/>
    <w:rsid w:val="0098405A"/>
    <w:rsid w:val="0098426F"/>
    <w:rsid w:val="009877D2"/>
    <w:rsid w:val="00987845"/>
    <w:rsid w:val="00991A93"/>
    <w:rsid w:val="00993DD5"/>
    <w:rsid w:val="009948C1"/>
    <w:rsid w:val="00995894"/>
    <w:rsid w:val="00996772"/>
    <w:rsid w:val="00997A7D"/>
    <w:rsid w:val="009A0156"/>
    <w:rsid w:val="009A0E5E"/>
    <w:rsid w:val="009A0F09"/>
    <w:rsid w:val="009A12F2"/>
    <w:rsid w:val="009A14D0"/>
    <w:rsid w:val="009A261C"/>
    <w:rsid w:val="009A2C78"/>
    <w:rsid w:val="009A44FA"/>
    <w:rsid w:val="009A4689"/>
    <w:rsid w:val="009A4CBF"/>
    <w:rsid w:val="009A5757"/>
    <w:rsid w:val="009A57C2"/>
    <w:rsid w:val="009A69C6"/>
    <w:rsid w:val="009A750D"/>
    <w:rsid w:val="009A7DBA"/>
    <w:rsid w:val="009B09CD"/>
    <w:rsid w:val="009B2148"/>
    <w:rsid w:val="009B2383"/>
    <w:rsid w:val="009B39C4"/>
    <w:rsid w:val="009B4356"/>
    <w:rsid w:val="009C0566"/>
    <w:rsid w:val="009C23A8"/>
    <w:rsid w:val="009C2AC9"/>
    <w:rsid w:val="009C30AA"/>
    <w:rsid w:val="009C31BF"/>
    <w:rsid w:val="009C43D1"/>
    <w:rsid w:val="009C5608"/>
    <w:rsid w:val="009C59A6"/>
    <w:rsid w:val="009C6A52"/>
    <w:rsid w:val="009D0A30"/>
    <w:rsid w:val="009D0AB2"/>
    <w:rsid w:val="009D0CAF"/>
    <w:rsid w:val="009D1A52"/>
    <w:rsid w:val="009D24A1"/>
    <w:rsid w:val="009D3276"/>
    <w:rsid w:val="009D36B0"/>
    <w:rsid w:val="009D444C"/>
    <w:rsid w:val="009D4525"/>
    <w:rsid w:val="009D473A"/>
    <w:rsid w:val="009D4B14"/>
    <w:rsid w:val="009D6423"/>
    <w:rsid w:val="009D7500"/>
    <w:rsid w:val="009D7F1B"/>
    <w:rsid w:val="009E049A"/>
    <w:rsid w:val="009E1533"/>
    <w:rsid w:val="009E2715"/>
    <w:rsid w:val="009E2785"/>
    <w:rsid w:val="009E28E0"/>
    <w:rsid w:val="009E34C4"/>
    <w:rsid w:val="009E5870"/>
    <w:rsid w:val="009F00CB"/>
    <w:rsid w:val="009F08F6"/>
    <w:rsid w:val="009F0CDB"/>
    <w:rsid w:val="009F317B"/>
    <w:rsid w:val="009F39CB"/>
    <w:rsid w:val="009F3F07"/>
    <w:rsid w:val="009F48D6"/>
    <w:rsid w:val="009F5B26"/>
    <w:rsid w:val="009F6BE0"/>
    <w:rsid w:val="009F7B60"/>
    <w:rsid w:val="00A00EE5"/>
    <w:rsid w:val="00A049E2"/>
    <w:rsid w:val="00A06202"/>
    <w:rsid w:val="00A06AE1"/>
    <w:rsid w:val="00A070C0"/>
    <w:rsid w:val="00A077D4"/>
    <w:rsid w:val="00A1344B"/>
    <w:rsid w:val="00A13908"/>
    <w:rsid w:val="00A15132"/>
    <w:rsid w:val="00A154E5"/>
    <w:rsid w:val="00A175D9"/>
    <w:rsid w:val="00A17B98"/>
    <w:rsid w:val="00A20076"/>
    <w:rsid w:val="00A209B0"/>
    <w:rsid w:val="00A20E13"/>
    <w:rsid w:val="00A219E7"/>
    <w:rsid w:val="00A2290B"/>
    <w:rsid w:val="00A229E4"/>
    <w:rsid w:val="00A2417A"/>
    <w:rsid w:val="00A246C2"/>
    <w:rsid w:val="00A248AC"/>
    <w:rsid w:val="00A26D8D"/>
    <w:rsid w:val="00A27692"/>
    <w:rsid w:val="00A32A9C"/>
    <w:rsid w:val="00A34F02"/>
    <w:rsid w:val="00A3560F"/>
    <w:rsid w:val="00A358FF"/>
    <w:rsid w:val="00A35CC0"/>
    <w:rsid w:val="00A35D4E"/>
    <w:rsid w:val="00A35DD1"/>
    <w:rsid w:val="00A36DC1"/>
    <w:rsid w:val="00A4016C"/>
    <w:rsid w:val="00A40884"/>
    <w:rsid w:val="00A42C28"/>
    <w:rsid w:val="00A43611"/>
    <w:rsid w:val="00A438C0"/>
    <w:rsid w:val="00A43B6B"/>
    <w:rsid w:val="00A43C60"/>
    <w:rsid w:val="00A45C7E"/>
    <w:rsid w:val="00A46AF0"/>
    <w:rsid w:val="00A477E6"/>
    <w:rsid w:val="00A4790E"/>
    <w:rsid w:val="00A47C1B"/>
    <w:rsid w:val="00A504E6"/>
    <w:rsid w:val="00A51BD6"/>
    <w:rsid w:val="00A52545"/>
    <w:rsid w:val="00A52632"/>
    <w:rsid w:val="00A5337D"/>
    <w:rsid w:val="00A55079"/>
    <w:rsid w:val="00A5564B"/>
    <w:rsid w:val="00A57C2D"/>
    <w:rsid w:val="00A57CE8"/>
    <w:rsid w:val="00A57E40"/>
    <w:rsid w:val="00A61F48"/>
    <w:rsid w:val="00A62DE2"/>
    <w:rsid w:val="00A62E78"/>
    <w:rsid w:val="00A630E9"/>
    <w:rsid w:val="00A6389A"/>
    <w:rsid w:val="00A63DC8"/>
    <w:rsid w:val="00A66CBC"/>
    <w:rsid w:val="00A67754"/>
    <w:rsid w:val="00A70990"/>
    <w:rsid w:val="00A75B8C"/>
    <w:rsid w:val="00A76C1F"/>
    <w:rsid w:val="00A809AC"/>
    <w:rsid w:val="00A80E2F"/>
    <w:rsid w:val="00A81018"/>
    <w:rsid w:val="00A841CC"/>
    <w:rsid w:val="00A844CE"/>
    <w:rsid w:val="00A84FE2"/>
    <w:rsid w:val="00A85B60"/>
    <w:rsid w:val="00A869D2"/>
    <w:rsid w:val="00A86E6A"/>
    <w:rsid w:val="00A877F3"/>
    <w:rsid w:val="00A878E8"/>
    <w:rsid w:val="00A90385"/>
    <w:rsid w:val="00A91EAA"/>
    <w:rsid w:val="00A920FA"/>
    <w:rsid w:val="00A9264B"/>
    <w:rsid w:val="00A94C95"/>
    <w:rsid w:val="00A95E21"/>
    <w:rsid w:val="00A963A4"/>
    <w:rsid w:val="00A96569"/>
    <w:rsid w:val="00A96DCC"/>
    <w:rsid w:val="00AA188F"/>
    <w:rsid w:val="00AA2B9C"/>
    <w:rsid w:val="00AA33AA"/>
    <w:rsid w:val="00AA3C3D"/>
    <w:rsid w:val="00AA4B61"/>
    <w:rsid w:val="00AA53B0"/>
    <w:rsid w:val="00AA63A9"/>
    <w:rsid w:val="00AA6D22"/>
    <w:rsid w:val="00AA6F19"/>
    <w:rsid w:val="00AA76CB"/>
    <w:rsid w:val="00AA7E07"/>
    <w:rsid w:val="00AB0B3D"/>
    <w:rsid w:val="00AB1112"/>
    <w:rsid w:val="00AB1607"/>
    <w:rsid w:val="00AB177C"/>
    <w:rsid w:val="00AB17F6"/>
    <w:rsid w:val="00AB31BE"/>
    <w:rsid w:val="00AB4292"/>
    <w:rsid w:val="00AB4A70"/>
    <w:rsid w:val="00AB4E03"/>
    <w:rsid w:val="00AB7EF4"/>
    <w:rsid w:val="00AC1B7C"/>
    <w:rsid w:val="00AC31EB"/>
    <w:rsid w:val="00AC526D"/>
    <w:rsid w:val="00AC60C2"/>
    <w:rsid w:val="00AC76C6"/>
    <w:rsid w:val="00AD1850"/>
    <w:rsid w:val="00AD268D"/>
    <w:rsid w:val="00AD3749"/>
    <w:rsid w:val="00AD3F85"/>
    <w:rsid w:val="00AD6723"/>
    <w:rsid w:val="00AD6AE6"/>
    <w:rsid w:val="00AD7B8B"/>
    <w:rsid w:val="00AE37D7"/>
    <w:rsid w:val="00AE63C3"/>
    <w:rsid w:val="00AE7BCF"/>
    <w:rsid w:val="00AE7D6D"/>
    <w:rsid w:val="00AF0A5C"/>
    <w:rsid w:val="00AF1B15"/>
    <w:rsid w:val="00AF1C91"/>
    <w:rsid w:val="00AF1D18"/>
    <w:rsid w:val="00AF394D"/>
    <w:rsid w:val="00AF406C"/>
    <w:rsid w:val="00AF476B"/>
    <w:rsid w:val="00AF6479"/>
    <w:rsid w:val="00AF794B"/>
    <w:rsid w:val="00B0051A"/>
    <w:rsid w:val="00B01D3C"/>
    <w:rsid w:val="00B02952"/>
    <w:rsid w:val="00B03DB7"/>
    <w:rsid w:val="00B04957"/>
    <w:rsid w:val="00B04CB8"/>
    <w:rsid w:val="00B05215"/>
    <w:rsid w:val="00B05435"/>
    <w:rsid w:val="00B06101"/>
    <w:rsid w:val="00B06EFE"/>
    <w:rsid w:val="00B07B7E"/>
    <w:rsid w:val="00B07F24"/>
    <w:rsid w:val="00B10B09"/>
    <w:rsid w:val="00B116A0"/>
    <w:rsid w:val="00B11981"/>
    <w:rsid w:val="00B15372"/>
    <w:rsid w:val="00B15BC7"/>
    <w:rsid w:val="00B16515"/>
    <w:rsid w:val="00B17F46"/>
    <w:rsid w:val="00B20519"/>
    <w:rsid w:val="00B21293"/>
    <w:rsid w:val="00B22C00"/>
    <w:rsid w:val="00B2361F"/>
    <w:rsid w:val="00B2692B"/>
    <w:rsid w:val="00B2718B"/>
    <w:rsid w:val="00B274D6"/>
    <w:rsid w:val="00B302FA"/>
    <w:rsid w:val="00B3040A"/>
    <w:rsid w:val="00B319FD"/>
    <w:rsid w:val="00B348D8"/>
    <w:rsid w:val="00B350FD"/>
    <w:rsid w:val="00B35200"/>
    <w:rsid w:val="00B35ECD"/>
    <w:rsid w:val="00B40221"/>
    <w:rsid w:val="00B41FC5"/>
    <w:rsid w:val="00B422A1"/>
    <w:rsid w:val="00B42488"/>
    <w:rsid w:val="00B447D8"/>
    <w:rsid w:val="00B45A5E"/>
    <w:rsid w:val="00B475D2"/>
    <w:rsid w:val="00B51003"/>
    <w:rsid w:val="00B51194"/>
    <w:rsid w:val="00B52374"/>
    <w:rsid w:val="00B5292B"/>
    <w:rsid w:val="00B5499F"/>
    <w:rsid w:val="00B54BCB"/>
    <w:rsid w:val="00B54F83"/>
    <w:rsid w:val="00B56B13"/>
    <w:rsid w:val="00B5776D"/>
    <w:rsid w:val="00B60DD2"/>
    <w:rsid w:val="00B6166F"/>
    <w:rsid w:val="00B62211"/>
    <w:rsid w:val="00B626F0"/>
    <w:rsid w:val="00B636A7"/>
    <w:rsid w:val="00B63974"/>
    <w:rsid w:val="00B63977"/>
    <w:rsid w:val="00B63F1C"/>
    <w:rsid w:val="00B64ECD"/>
    <w:rsid w:val="00B65F8D"/>
    <w:rsid w:val="00B661D7"/>
    <w:rsid w:val="00B7006B"/>
    <w:rsid w:val="00B70113"/>
    <w:rsid w:val="00B714BA"/>
    <w:rsid w:val="00B71596"/>
    <w:rsid w:val="00B73C63"/>
    <w:rsid w:val="00B74E3D"/>
    <w:rsid w:val="00B75128"/>
    <w:rsid w:val="00B753D1"/>
    <w:rsid w:val="00B776D2"/>
    <w:rsid w:val="00B77BB8"/>
    <w:rsid w:val="00B819D3"/>
    <w:rsid w:val="00B8242B"/>
    <w:rsid w:val="00B83455"/>
    <w:rsid w:val="00B844E8"/>
    <w:rsid w:val="00B8484E"/>
    <w:rsid w:val="00B850E9"/>
    <w:rsid w:val="00B8577C"/>
    <w:rsid w:val="00B85D3E"/>
    <w:rsid w:val="00B92315"/>
    <w:rsid w:val="00B9272C"/>
    <w:rsid w:val="00B936F0"/>
    <w:rsid w:val="00B9487D"/>
    <w:rsid w:val="00B94B98"/>
    <w:rsid w:val="00B94CAC"/>
    <w:rsid w:val="00B96C04"/>
    <w:rsid w:val="00B96E29"/>
    <w:rsid w:val="00B975F9"/>
    <w:rsid w:val="00BA06B3"/>
    <w:rsid w:val="00BA32BA"/>
    <w:rsid w:val="00BA32CA"/>
    <w:rsid w:val="00BA477A"/>
    <w:rsid w:val="00BA4ACD"/>
    <w:rsid w:val="00BA6C7C"/>
    <w:rsid w:val="00BA7016"/>
    <w:rsid w:val="00BA787B"/>
    <w:rsid w:val="00BB0CDB"/>
    <w:rsid w:val="00BB20F2"/>
    <w:rsid w:val="00BB5178"/>
    <w:rsid w:val="00BB67AE"/>
    <w:rsid w:val="00BB728B"/>
    <w:rsid w:val="00BB7702"/>
    <w:rsid w:val="00BB7718"/>
    <w:rsid w:val="00BC008E"/>
    <w:rsid w:val="00BC049F"/>
    <w:rsid w:val="00BC3609"/>
    <w:rsid w:val="00BC465F"/>
    <w:rsid w:val="00BC5629"/>
    <w:rsid w:val="00BC5869"/>
    <w:rsid w:val="00BC5FCD"/>
    <w:rsid w:val="00BC62F7"/>
    <w:rsid w:val="00BC6B01"/>
    <w:rsid w:val="00BC757F"/>
    <w:rsid w:val="00BD003A"/>
    <w:rsid w:val="00BD0FAD"/>
    <w:rsid w:val="00BD1D45"/>
    <w:rsid w:val="00BD2547"/>
    <w:rsid w:val="00BD300D"/>
    <w:rsid w:val="00BD3099"/>
    <w:rsid w:val="00BD3A9F"/>
    <w:rsid w:val="00BD3E62"/>
    <w:rsid w:val="00BD5B6C"/>
    <w:rsid w:val="00BD686B"/>
    <w:rsid w:val="00BD73E6"/>
    <w:rsid w:val="00BE015C"/>
    <w:rsid w:val="00BE21A9"/>
    <w:rsid w:val="00BE263E"/>
    <w:rsid w:val="00BE2F84"/>
    <w:rsid w:val="00BE3F11"/>
    <w:rsid w:val="00BE438D"/>
    <w:rsid w:val="00BE4932"/>
    <w:rsid w:val="00BE603A"/>
    <w:rsid w:val="00BE6CB3"/>
    <w:rsid w:val="00BF032E"/>
    <w:rsid w:val="00BF2436"/>
    <w:rsid w:val="00BF24A9"/>
    <w:rsid w:val="00BF321B"/>
    <w:rsid w:val="00BF36A4"/>
    <w:rsid w:val="00BF3773"/>
    <w:rsid w:val="00BF3E14"/>
    <w:rsid w:val="00BF4644"/>
    <w:rsid w:val="00BF5689"/>
    <w:rsid w:val="00BF6269"/>
    <w:rsid w:val="00BF63AA"/>
    <w:rsid w:val="00BF6C40"/>
    <w:rsid w:val="00C000A7"/>
    <w:rsid w:val="00C00D18"/>
    <w:rsid w:val="00C01F79"/>
    <w:rsid w:val="00C03192"/>
    <w:rsid w:val="00C03B8D"/>
    <w:rsid w:val="00C0428C"/>
    <w:rsid w:val="00C04532"/>
    <w:rsid w:val="00C06D1A"/>
    <w:rsid w:val="00C078F3"/>
    <w:rsid w:val="00C10A71"/>
    <w:rsid w:val="00C11262"/>
    <w:rsid w:val="00C11CDA"/>
    <w:rsid w:val="00C12A01"/>
    <w:rsid w:val="00C12AEB"/>
    <w:rsid w:val="00C1356B"/>
    <w:rsid w:val="00C14E80"/>
    <w:rsid w:val="00C151D0"/>
    <w:rsid w:val="00C15E0C"/>
    <w:rsid w:val="00C16395"/>
    <w:rsid w:val="00C17C1B"/>
    <w:rsid w:val="00C202AE"/>
    <w:rsid w:val="00C20366"/>
    <w:rsid w:val="00C237F5"/>
    <w:rsid w:val="00C24241"/>
    <w:rsid w:val="00C247D2"/>
    <w:rsid w:val="00C24968"/>
    <w:rsid w:val="00C24A70"/>
    <w:rsid w:val="00C257F0"/>
    <w:rsid w:val="00C31514"/>
    <w:rsid w:val="00C317AA"/>
    <w:rsid w:val="00C31D95"/>
    <w:rsid w:val="00C31FFA"/>
    <w:rsid w:val="00C325C5"/>
    <w:rsid w:val="00C328F2"/>
    <w:rsid w:val="00C34A7D"/>
    <w:rsid w:val="00C34B1A"/>
    <w:rsid w:val="00C3503D"/>
    <w:rsid w:val="00C3596F"/>
    <w:rsid w:val="00C36247"/>
    <w:rsid w:val="00C3671A"/>
    <w:rsid w:val="00C371FC"/>
    <w:rsid w:val="00C372F6"/>
    <w:rsid w:val="00C373F2"/>
    <w:rsid w:val="00C40424"/>
    <w:rsid w:val="00C4213D"/>
    <w:rsid w:val="00C4276C"/>
    <w:rsid w:val="00C4329D"/>
    <w:rsid w:val="00C43374"/>
    <w:rsid w:val="00C4431D"/>
    <w:rsid w:val="00C45A69"/>
    <w:rsid w:val="00C46AA2"/>
    <w:rsid w:val="00C46C48"/>
    <w:rsid w:val="00C475AA"/>
    <w:rsid w:val="00C50BCF"/>
    <w:rsid w:val="00C5217A"/>
    <w:rsid w:val="00C542F0"/>
    <w:rsid w:val="00C55F0E"/>
    <w:rsid w:val="00C5709A"/>
    <w:rsid w:val="00C57688"/>
    <w:rsid w:val="00C57CDB"/>
    <w:rsid w:val="00C60A9B"/>
    <w:rsid w:val="00C60EE4"/>
    <w:rsid w:val="00C60F8E"/>
    <w:rsid w:val="00C6108B"/>
    <w:rsid w:val="00C615A2"/>
    <w:rsid w:val="00C62A1D"/>
    <w:rsid w:val="00C66B2F"/>
    <w:rsid w:val="00C671C5"/>
    <w:rsid w:val="00C71630"/>
    <w:rsid w:val="00C7233D"/>
    <w:rsid w:val="00C723BC"/>
    <w:rsid w:val="00C73810"/>
    <w:rsid w:val="00C73F85"/>
    <w:rsid w:val="00C7480A"/>
    <w:rsid w:val="00C76888"/>
    <w:rsid w:val="00C80482"/>
    <w:rsid w:val="00C80C9F"/>
    <w:rsid w:val="00C80D03"/>
    <w:rsid w:val="00C80D37"/>
    <w:rsid w:val="00C8151A"/>
    <w:rsid w:val="00C81770"/>
    <w:rsid w:val="00C81C99"/>
    <w:rsid w:val="00C81DA7"/>
    <w:rsid w:val="00C821D2"/>
    <w:rsid w:val="00C82355"/>
    <w:rsid w:val="00C824CE"/>
    <w:rsid w:val="00C82609"/>
    <w:rsid w:val="00C82804"/>
    <w:rsid w:val="00C85C0F"/>
    <w:rsid w:val="00C87821"/>
    <w:rsid w:val="00C8795F"/>
    <w:rsid w:val="00C925C3"/>
    <w:rsid w:val="00C92726"/>
    <w:rsid w:val="00C9365B"/>
    <w:rsid w:val="00C94642"/>
    <w:rsid w:val="00C94AEE"/>
    <w:rsid w:val="00C957DA"/>
    <w:rsid w:val="00C95FF7"/>
    <w:rsid w:val="00C96AF0"/>
    <w:rsid w:val="00C975ED"/>
    <w:rsid w:val="00CA1130"/>
    <w:rsid w:val="00CA1F8F"/>
    <w:rsid w:val="00CA2591"/>
    <w:rsid w:val="00CA51BB"/>
    <w:rsid w:val="00CA6689"/>
    <w:rsid w:val="00CB0092"/>
    <w:rsid w:val="00CB00AD"/>
    <w:rsid w:val="00CB147A"/>
    <w:rsid w:val="00CB1CBD"/>
    <w:rsid w:val="00CB285C"/>
    <w:rsid w:val="00CB4BD0"/>
    <w:rsid w:val="00CB6234"/>
    <w:rsid w:val="00CB62CB"/>
    <w:rsid w:val="00CB7A46"/>
    <w:rsid w:val="00CB7DD6"/>
    <w:rsid w:val="00CC0366"/>
    <w:rsid w:val="00CC0B46"/>
    <w:rsid w:val="00CC0F15"/>
    <w:rsid w:val="00CC3806"/>
    <w:rsid w:val="00CC392D"/>
    <w:rsid w:val="00CC4DFF"/>
    <w:rsid w:val="00CC648A"/>
    <w:rsid w:val="00CC759A"/>
    <w:rsid w:val="00CC76CE"/>
    <w:rsid w:val="00CC7E76"/>
    <w:rsid w:val="00CD0ABD"/>
    <w:rsid w:val="00CD1B0C"/>
    <w:rsid w:val="00CD259C"/>
    <w:rsid w:val="00CD6674"/>
    <w:rsid w:val="00CE01E4"/>
    <w:rsid w:val="00CE09AE"/>
    <w:rsid w:val="00CE0B23"/>
    <w:rsid w:val="00CE17A2"/>
    <w:rsid w:val="00CE217F"/>
    <w:rsid w:val="00CE3B09"/>
    <w:rsid w:val="00CE3BEF"/>
    <w:rsid w:val="00CE3DDC"/>
    <w:rsid w:val="00CE3F65"/>
    <w:rsid w:val="00CE3FFA"/>
    <w:rsid w:val="00CE4BAA"/>
    <w:rsid w:val="00CE63EE"/>
    <w:rsid w:val="00CE7EE1"/>
    <w:rsid w:val="00CF09EF"/>
    <w:rsid w:val="00CF16FB"/>
    <w:rsid w:val="00CF2295"/>
    <w:rsid w:val="00CF3BB2"/>
    <w:rsid w:val="00CF3BDE"/>
    <w:rsid w:val="00CF6654"/>
    <w:rsid w:val="00CF6F66"/>
    <w:rsid w:val="00CF7E12"/>
    <w:rsid w:val="00D0011C"/>
    <w:rsid w:val="00D020F4"/>
    <w:rsid w:val="00D02A3A"/>
    <w:rsid w:val="00D02D58"/>
    <w:rsid w:val="00D04391"/>
    <w:rsid w:val="00D05769"/>
    <w:rsid w:val="00D05F32"/>
    <w:rsid w:val="00D06DE1"/>
    <w:rsid w:val="00D0726D"/>
    <w:rsid w:val="00D07ABE"/>
    <w:rsid w:val="00D07DB3"/>
    <w:rsid w:val="00D10338"/>
    <w:rsid w:val="00D10F21"/>
    <w:rsid w:val="00D12CEC"/>
    <w:rsid w:val="00D1369E"/>
    <w:rsid w:val="00D13972"/>
    <w:rsid w:val="00D152E1"/>
    <w:rsid w:val="00D15DEC"/>
    <w:rsid w:val="00D17833"/>
    <w:rsid w:val="00D202C0"/>
    <w:rsid w:val="00D22352"/>
    <w:rsid w:val="00D2694A"/>
    <w:rsid w:val="00D277CF"/>
    <w:rsid w:val="00D30761"/>
    <w:rsid w:val="00D307A6"/>
    <w:rsid w:val="00D312F2"/>
    <w:rsid w:val="00D33C85"/>
    <w:rsid w:val="00D344D7"/>
    <w:rsid w:val="00D34A50"/>
    <w:rsid w:val="00D3502A"/>
    <w:rsid w:val="00D36C35"/>
    <w:rsid w:val="00D371FB"/>
    <w:rsid w:val="00D37C76"/>
    <w:rsid w:val="00D37F72"/>
    <w:rsid w:val="00D41C47"/>
    <w:rsid w:val="00D42073"/>
    <w:rsid w:val="00D423A4"/>
    <w:rsid w:val="00D45B95"/>
    <w:rsid w:val="00D46843"/>
    <w:rsid w:val="00D472B8"/>
    <w:rsid w:val="00D50050"/>
    <w:rsid w:val="00D502FF"/>
    <w:rsid w:val="00D52AAA"/>
    <w:rsid w:val="00D53033"/>
    <w:rsid w:val="00D53161"/>
    <w:rsid w:val="00D532F3"/>
    <w:rsid w:val="00D5432B"/>
    <w:rsid w:val="00D5494D"/>
    <w:rsid w:val="00D574CA"/>
    <w:rsid w:val="00D57819"/>
    <w:rsid w:val="00D6072C"/>
    <w:rsid w:val="00D60767"/>
    <w:rsid w:val="00D618A3"/>
    <w:rsid w:val="00D62195"/>
    <w:rsid w:val="00D62544"/>
    <w:rsid w:val="00D645F4"/>
    <w:rsid w:val="00D65117"/>
    <w:rsid w:val="00D654DB"/>
    <w:rsid w:val="00D65620"/>
    <w:rsid w:val="00D65FF8"/>
    <w:rsid w:val="00D6710D"/>
    <w:rsid w:val="00D671B4"/>
    <w:rsid w:val="00D72906"/>
    <w:rsid w:val="00D72BC8"/>
    <w:rsid w:val="00D72BCE"/>
    <w:rsid w:val="00D73CD7"/>
    <w:rsid w:val="00D73E07"/>
    <w:rsid w:val="00D74654"/>
    <w:rsid w:val="00D74A52"/>
    <w:rsid w:val="00D74DE9"/>
    <w:rsid w:val="00D764A5"/>
    <w:rsid w:val="00D7707D"/>
    <w:rsid w:val="00D77E65"/>
    <w:rsid w:val="00D80A4F"/>
    <w:rsid w:val="00D8211B"/>
    <w:rsid w:val="00D826B4"/>
    <w:rsid w:val="00D82A84"/>
    <w:rsid w:val="00D83EEA"/>
    <w:rsid w:val="00D84566"/>
    <w:rsid w:val="00D8531D"/>
    <w:rsid w:val="00D92951"/>
    <w:rsid w:val="00D9485C"/>
    <w:rsid w:val="00D9489C"/>
    <w:rsid w:val="00D94B05"/>
    <w:rsid w:val="00D9667F"/>
    <w:rsid w:val="00D97F5F"/>
    <w:rsid w:val="00DA0A93"/>
    <w:rsid w:val="00DA122F"/>
    <w:rsid w:val="00DA3576"/>
    <w:rsid w:val="00DA3D06"/>
    <w:rsid w:val="00DA3D0C"/>
    <w:rsid w:val="00DA3EDB"/>
    <w:rsid w:val="00DA6202"/>
    <w:rsid w:val="00DA63CC"/>
    <w:rsid w:val="00DA6E6B"/>
    <w:rsid w:val="00DA7631"/>
    <w:rsid w:val="00DA7F0D"/>
    <w:rsid w:val="00DB1690"/>
    <w:rsid w:val="00DB222D"/>
    <w:rsid w:val="00DB3652"/>
    <w:rsid w:val="00DB4DB4"/>
    <w:rsid w:val="00DB5239"/>
    <w:rsid w:val="00DB5542"/>
    <w:rsid w:val="00DB5AD9"/>
    <w:rsid w:val="00DB5DF0"/>
    <w:rsid w:val="00DB6B0C"/>
    <w:rsid w:val="00DB7D1B"/>
    <w:rsid w:val="00DC0CA2"/>
    <w:rsid w:val="00DC176F"/>
    <w:rsid w:val="00DC1C04"/>
    <w:rsid w:val="00DC2149"/>
    <w:rsid w:val="00DC2B1D"/>
    <w:rsid w:val="00DC2E7A"/>
    <w:rsid w:val="00DC40E8"/>
    <w:rsid w:val="00DC4F81"/>
    <w:rsid w:val="00DC77AA"/>
    <w:rsid w:val="00DD0981"/>
    <w:rsid w:val="00DD369B"/>
    <w:rsid w:val="00DD3BD5"/>
    <w:rsid w:val="00DD4535"/>
    <w:rsid w:val="00DD64D2"/>
    <w:rsid w:val="00DD6EB7"/>
    <w:rsid w:val="00DD70FA"/>
    <w:rsid w:val="00DE29D6"/>
    <w:rsid w:val="00DE2A07"/>
    <w:rsid w:val="00DE2E19"/>
    <w:rsid w:val="00DE3143"/>
    <w:rsid w:val="00DE35F8"/>
    <w:rsid w:val="00DE385C"/>
    <w:rsid w:val="00DE3DF1"/>
    <w:rsid w:val="00DE6B23"/>
    <w:rsid w:val="00DE6B30"/>
    <w:rsid w:val="00DE710B"/>
    <w:rsid w:val="00DE780F"/>
    <w:rsid w:val="00DE7B7B"/>
    <w:rsid w:val="00DF0B07"/>
    <w:rsid w:val="00DF15D7"/>
    <w:rsid w:val="00DF3527"/>
    <w:rsid w:val="00DF3E12"/>
    <w:rsid w:val="00DF564D"/>
    <w:rsid w:val="00DF69A3"/>
    <w:rsid w:val="00DF6CC2"/>
    <w:rsid w:val="00DF721A"/>
    <w:rsid w:val="00DF7C52"/>
    <w:rsid w:val="00E006E4"/>
    <w:rsid w:val="00E01AA0"/>
    <w:rsid w:val="00E01B93"/>
    <w:rsid w:val="00E02800"/>
    <w:rsid w:val="00E02AAD"/>
    <w:rsid w:val="00E02D4E"/>
    <w:rsid w:val="00E03603"/>
    <w:rsid w:val="00E03A21"/>
    <w:rsid w:val="00E03A4B"/>
    <w:rsid w:val="00E03C85"/>
    <w:rsid w:val="00E04621"/>
    <w:rsid w:val="00E051FD"/>
    <w:rsid w:val="00E0769B"/>
    <w:rsid w:val="00E07E4A"/>
    <w:rsid w:val="00E11083"/>
    <w:rsid w:val="00E11C34"/>
    <w:rsid w:val="00E12E9D"/>
    <w:rsid w:val="00E144A6"/>
    <w:rsid w:val="00E14AFB"/>
    <w:rsid w:val="00E15ECC"/>
    <w:rsid w:val="00E163E8"/>
    <w:rsid w:val="00E16539"/>
    <w:rsid w:val="00E16650"/>
    <w:rsid w:val="00E16982"/>
    <w:rsid w:val="00E1793D"/>
    <w:rsid w:val="00E20BEE"/>
    <w:rsid w:val="00E23A9D"/>
    <w:rsid w:val="00E245D5"/>
    <w:rsid w:val="00E2487B"/>
    <w:rsid w:val="00E251DB"/>
    <w:rsid w:val="00E315A9"/>
    <w:rsid w:val="00E31C35"/>
    <w:rsid w:val="00E32E38"/>
    <w:rsid w:val="00E332E8"/>
    <w:rsid w:val="00E33B8F"/>
    <w:rsid w:val="00E40624"/>
    <w:rsid w:val="00E408BF"/>
    <w:rsid w:val="00E412B6"/>
    <w:rsid w:val="00E41D30"/>
    <w:rsid w:val="00E4329F"/>
    <w:rsid w:val="00E45568"/>
    <w:rsid w:val="00E46262"/>
    <w:rsid w:val="00E46D15"/>
    <w:rsid w:val="00E47DA6"/>
    <w:rsid w:val="00E53C1B"/>
    <w:rsid w:val="00E53EDE"/>
    <w:rsid w:val="00E544C1"/>
    <w:rsid w:val="00E54D26"/>
    <w:rsid w:val="00E55DFC"/>
    <w:rsid w:val="00E56930"/>
    <w:rsid w:val="00E57001"/>
    <w:rsid w:val="00E5708C"/>
    <w:rsid w:val="00E57DB2"/>
    <w:rsid w:val="00E57F35"/>
    <w:rsid w:val="00E610D6"/>
    <w:rsid w:val="00E62A4F"/>
    <w:rsid w:val="00E6491F"/>
    <w:rsid w:val="00E65013"/>
    <w:rsid w:val="00E651DE"/>
    <w:rsid w:val="00E65202"/>
    <w:rsid w:val="00E654B6"/>
    <w:rsid w:val="00E663E4"/>
    <w:rsid w:val="00E6670E"/>
    <w:rsid w:val="00E7081C"/>
    <w:rsid w:val="00E70A60"/>
    <w:rsid w:val="00E71C91"/>
    <w:rsid w:val="00E727F0"/>
    <w:rsid w:val="00E72D22"/>
    <w:rsid w:val="00E74E87"/>
    <w:rsid w:val="00E75AA7"/>
    <w:rsid w:val="00E75CBD"/>
    <w:rsid w:val="00E75E7B"/>
    <w:rsid w:val="00E80182"/>
    <w:rsid w:val="00E8027B"/>
    <w:rsid w:val="00E806D2"/>
    <w:rsid w:val="00E80D29"/>
    <w:rsid w:val="00E8132C"/>
    <w:rsid w:val="00E81437"/>
    <w:rsid w:val="00E81726"/>
    <w:rsid w:val="00E81ECC"/>
    <w:rsid w:val="00E827FE"/>
    <w:rsid w:val="00E83067"/>
    <w:rsid w:val="00E840E7"/>
    <w:rsid w:val="00E85BDE"/>
    <w:rsid w:val="00E85FD7"/>
    <w:rsid w:val="00E86A5A"/>
    <w:rsid w:val="00E873C2"/>
    <w:rsid w:val="00E93EC5"/>
    <w:rsid w:val="00E94720"/>
    <w:rsid w:val="00E94A6B"/>
    <w:rsid w:val="00E9535F"/>
    <w:rsid w:val="00E95B0F"/>
    <w:rsid w:val="00E95CC4"/>
    <w:rsid w:val="00E95D4F"/>
    <w:rsid w:val="00E96E8E"/>
    <w:rsid w:val="00E9732D"/>
    <w:rsid w:val="00EA0BB5"/>
    <w:rsid w:val="00EA2CE4"/>
    <w:rsid w:val="00EA48D0"/>
    <w:rsid w:val="00EA4986"/>
    <w:rsid w:val="00EA5F8E"/>
    <w:rsid w:val="00EA6459"/>
    <w:rsid w:val="00EA6534"/>
    <w:rsid w:val="00EA6A6E"/>
    <w:rsid w:val="00EA6DCB"/>
    <w:rsid w:val="00EB5AA5"/>
    <w:rsid w:val="00EB5ADB"/>
    <w:rsid w:val="00EB5D4B"/>
    <w:rsid w:val="00EB6218"/>
    <w:rsid w:val="00EB69EF"/>
    <w:rsid w:val="00EB7706"/>
    <w:rsid w:val="00EC1794"/>
    <w:rsid w:val="00EC4F2E"/>
    <w:rsid w:val="00EC4F39"/>
    <w:rsid w:val="00EC5A49"/>
    <w:rsid w:val="00EC6022"/>
    <w:rsid w:val="00EC693C"/>
    <w:rsid w:val="00EC70E0"/>
    <w:rsid w:val="00EC7747"/>
    <w:rsid w:val="00EC7772"/>
    <w:rsid w:val="00EC79C5"/>
    <w:rsid w:val="00ED3E1B"/>
    <w:rsid w:val="00ED4C68"/>
    <w:rsid w:val="00ED5F52"/>
    <w:rsid w:val="00ED6892"/>
    <w:rsid w:val="00ED6FC5"/>
    <w:rsid w:val="00ED7FC9"/>
    <w:rsid w:val="00EE12BF"/>
    <w:rsid w:val="00EE13AE"/>
    <w:rsid w:val="00EE25EA"/>
    <w:rsid w:val="00EE276D"/>
    <w:rsid w:val="00EE2AF3"/>
    <w:rsid w:val="00EE34B6"/>
    <w:rsid w:val="00EE4C1C"/>
    <w:rsid w:val="00EE553E"/>
    <w:rsid w:val="00EE55B2"/>
    <w:rsid w:val="00EE682B"/>
    <w:rsid w:val="00EE7CAE"/>
    <w:rsid w:val="00EE7DA9"/>
    <w:rsid w:val="00EF111A"/>
    <w:rsid w:val="00EF113D"/>
    <w:rsid w:val="00EF214A"/>
    <w:rsid w:val="00EF3461"/>
    <w:rsid w:val="00EF34D3"/>
    <w:rsid w:val="00EF34F1"/>
    <w:rsid w:val="00EF38CF"/>
    <w:rsid w:val="00EF3C89"/>
    <w:rsid w:val="00EF6B9E"/>
    <w:rsid w:val="00F02F18"/>
    <w:rsid w:val="00F047A1"/>
    <w:rsid w:val="00F04926"/>
    <w:rsid w:val="00F04FF6"/>
    <w:rsid w:val="00F0504C"/>
    <w:rsid w:val="00F07219"/>
    <w:rsid w:val="00F07E04"/>
    <w:rsid w:val="00F100D0"/>
    <w:rsid w:val="00F109FC"/>
    <w:rsid w:val="00F13D95"/>
    <w:rsid w:val="00F16057"/>
    <w:rsid w:val="00F16324"/>
    <w:rsid w:val="00F16CCE"/>
    <w:rsid w:val="00F17A35"/>
    <w:rsid w:val="00F2022C"/>
    <w:rsid w:val="00F2096D"/>
    <w:rsid w:val="00F20FE5"/>
    <w:rsid w:val="00F228D0"/>
    <w:rsid w:val="00F233C0"/>
    <w:rsid w:val="00F2371A"/>
    <w:rsid w:val="00F2375B"/>
    <w:rsid w:val="00F24F93"/>
    <w:rsid w:val="00F2540A"/>
    <w:rsid w:val="00F2561F"/>
    <w:rsid w:val="00F2637D"/>
    <w:rsid w:val="00F27E8E"/>
    <w:rsid w:val="00F31334"/>
    <w:rsid w:val="00F32076"/>
    <w:rsid w:val="00F3294C"/>
    <w:rsid w:val="00F33207"/>
    <w:rsid w:val="00F338FD"/>
    <w:rsid w:val="00F33998"/>
    <w:rsid w:val="00F342FD"/>
    <w:rsid w:val="00F34E9E"/>
    <w:rsid w:val="00F35EBB"/>
    <w:rsid w:val="00F36DC0"/>
    <w:rsid w:val="00F400A1"/>
    <w:rsid w:val="00F41684"/>
    <w:rsid w:val="00F418ED"/>
    <w:rsid w:val="00F42EFD"/>
    <w:rsid w:val="00F44755"/>
    <w:rsid w:val="00F451CD"/>
    <w:rsid w:val="00F455E0"/>
    <w:rsid w:val="00F45E7C"/>
    <w:rsid w:val="00F525A9"/>
    <w:rsid w:val="00F52DC8"/>
    <w:rsid w:val="00F539A4"/>
    <w:rsid w:val="00F540D7"/>
    <w:rsid w:val="00F5458D"/>
    <w:rsid w:val="00F54F3A"/>
    <w:rsid w:val="00F55028"/>
    <w:rsid w:val="00F56526"/>
    <w:rsid w:val="00F5670E"/>
    <w:rsid w:val="00F57CDB"/>
    <w:rsid w:val="00F60892"/>
    <w:rsid w:val="00F61E6F"/>
    <w:rsid w:val="00F62F51"/>
    <w:rsid w:val="00F63CE9"/>
    <w:rsid w:val="00F653A1"/>
    <w:rsid w:val="00F659E1"/>
    <w:rsid w:val="00F668FF"/>
    <w:rsid w:val="00F670F7"/>
    <w:rsid w:val="00F71FAA"/>
    <w:rsid w:val="00F72DA6"/>
    <w:rsid w:val="00F73385"/>
    <w:rsid w:val="00F7677E"/>
    <w:rsid w:val="00F76F3C"/>
    <w:rsid w:val="00F77323"/>
    <w:rsid w:val="00F808C5"/>
    <w:rsid w:val="00F81D0E"/>
    <w:rsid w:val="00F82EAE"/>
    <w:rsid w:val="00F832E1"/>
    <w:rsid w:val="00F85369"/>
    <w:rsid w:val="00F858DD"/>
    <w:rsid w:val="00F873BC"/>
    <w:rsid w:val="00F93870"/>
    <w:rsid w:val="00F93DC9"/>
    <w:rsid w:val="00F93F91"/>
    <w:rsid w:val="00F94872"/>
    <w:rsid w:val="00F9547F"/>
    <w:rsid w:val="00F95BD2"/>
    <w:rsid w:val="00F967E0"/>
    <w:rsid w:val="00F96A6A"/>
    <w:rsid w:val="00F96F78"/>
    <w:rsid w:val="00F97C20"/>
    <w:rsid w:val="00FA08AC"/>
    <w:rsid w:val="00FA156D"/>
    <w:rsid w:val="00FA43B6"/>
    <w:rsid w:val="00FA4C14"/>
    <w:rsid w:val="00FA5B3E"/>
    <w:rsid w:val="00FA5D88"/>
    <w:rsid w:val="00FA68BD"/>
    <w:rsid w:val="00FA6C45"/>
    <w:rsid w:val="00FA6D0A"/>
    <w:rsid w:val="00FA751A"/>
    <w:rsid w:val="00FA7AEE"/>
    <w:rsid w:val="00FB0152"/>
    <w:rsid w:val="00FB1482"/>
    <w:rsid w:val="00FB1A63"/>
    <w:rsid w:val="00FB2188"/>
    <w:rsid w:val="00FB29A4"/>
    <w:rsid w:val="00FB33E4"/>
    <w:rsid w:val="00FB3676"/>
    <w:rsid w:val="00FB3858"/>
    <w:rsid w:val="00FB552D"/>
    <w:rsid w:val="00FB5641"/>
    <w:rsid w:val="00FB6C2B"/>
    <w:rsid w:val="00FB7B3A"/>
    <w:rsid w:val="00FC0BD3"/>
    <w:rsid w:val="00FC11FE"/>
    <w:rsid w:val="00FC18E0"/>
    <w:rsid w:val="00FC19AE"/>
    <w:rsid w:val="00FC20C3"/>
    <w:rsid w:val="00FC2546"/>
    <w:rsid w:val="00FC29BA"/>
    <w:rsid w:val="00FC391A"/>
    <w:rsid w:val="00FC3B63"/>
    <w:rsid w:val="00FC3E02"/>
    <w:rsid w:val="00FC43CD"/>
    <w:rsid w:val="00FC4DFB"/>
    <w:rsid w:val="00FC5CFA"/>
    <w:rsid w:val="00FC64E4"/>
    <w:rsid w:val="00FD13DD"/>
    <w:rsid w:val="00FD147A"/>
    <w:rsid w:val="00FD24F1"/>
    <w:rsid w:val="00FD33DE"/>
    <w:rsid w:val="00FD554D"/>
    <w:rsid w:val="00FD5B24"/>
    <w:rsid w:val="00FD5ED8"/>
    <w:rsid w:val="00FE1231"/>
    <w:rsid w:val="00FE1734"/>
    <w:rsid w:val="00FE1938"/>
    <w:rsid w:val="00FE30C5"/>
    <w:rsid w:val="00FE31E9"/>
    <w:rsid w:val="00FE362B"/>
    <w:rsid w:val="00FE37EF"/>
    <w:rsid w:val="00FE3807"/>
    <w:rsid w:val="00FE5833"/>
    <w:rsid w:val="00FE5C16"/>
    <w:rsid w:val="00FE6E6E"/>
    <w:rsid w:val="00FF076B"/>
    <w:rsid w:val="00FF0D93"/>
    <w:rsid w:val="00FF291B"/>
    <w:rsid w:val="00FF322C"/>
    <w:rsid w:val="00FF32B1"/>
    <w:rsid w:val="00FF373C"/>
    <w:rsid w:val="00FF42CB"/>
    <w:rsid w:val="00FF5005"/>
    <w:rsid w:val="00FF5499"/>
    <w:rsid w:val="00FF5920"/>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3104DB"/>
    <w:rPr>
      <w:b/>
      <w:bCs/>
    </w:rPr>
  </w:style>
  <w:style w:type="character" w:styleId="UnresolvedMention">
    <w:name w:val="Unresolved Mention"/>
    <w:basedOn w:val="DefaultParagraphFont"/>
    <w:uiPriority w:val="99"/>
    <w:semiHidden/>
    <w:unhideWhenUsed/>
    <w:rsid w:val="005758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675">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6103015">
      <w:bodyDiv w:val="1"/>
      <w:marLeft w:val="0"/>
      <w:marRight w:val="0"/>
      <w:marTop w:val="0"/>
      <w:marBottom w:val="0"/>
      <w:divBdr>
        <w:top w:val="none" w:sz="0" w:space="0" w:color="auto"/>
        <w:left w:val="none" w:sz="0" w:space="0" w:color="auto"/>
        <w:bottom w:val="none" w:sz="0" w:space="0" w:color="auto"/>
        <w:right w:val="none" w:sz="0" w:space="0" w:color="auto"/>
      </w:divBdr>
    </w:div>
    <w:div w:id="9915204">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693488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2193695">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4911653">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2316145">
      <w:bodyDiv w:val="1"/>
      <w:marLeft w:val="0"/>
      <w:marRight w:val="0"/>
      <w:marTop w:val="0"/>
      <w:marBottom w:val="0"/>
      <w:divBdr>
        <w:top w:val="none" w:sz="0" w:space="0" w:color="auto"/>
        <w:left w:val="none" w:sz="0" w:space="0" w:color="auto"/>
        <w:bottom w:val="none" w:sz="0" w:space="0" w:color="auto"/>
        <w:right w:val="none" w:sz="0" w:space="0" w:color="auto"/>
      </w:divBdr>
    </w:div>
    <w:div w:id="52437435">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3819087">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105908">
      <w:bodyDiv w:val="1"/>
      <w:marLeft w:val="0"/>
      <w:marRight w:val="0"/>
      <w:marTop w:val="0"/>
      <w:marBottom w:val="0"/>
      <w:divBdr>
        <w:top w:val="none" w:sz="0" w:space="0" w:color="auto"/>
        <w:left w:val="none" w:sz="0" w:space="0" w:color="auto"/>
        <w:bottom w:val="none" w:sz="0" w:space="0" w:color="auto"/>
        <w:right w:val="none" w:sz="0" w:space="0" w:color="auto"/>
      </w:divBdr>
    </w:div>
    <w:div w:id="61829596">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8503377">
      <w:bodyDiv w:val="1"/>
      <w:marLeft w:val="0"/>
      <w:marRight w:val="0"/>
      <w:marTop w:val="0"/>
      <w:marBottom w:val="0"/>
      <w:divBdr>
        <w:top w:val="none" w:sz="0" w:space="0" w:color="auto"/>
        <w:left w:val="none" w:sz="0" w:space="0" w:color="auto"/>
        <w:bottom w:val="none" w:sz="0" w:space="0" w:color="auto"/>
        <w:right w:val="none" w:sz="0" w:space="0" w:color="auto"/>
      </w:divBdr>
    </w:div>
    <w:div w:id="7432204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592922">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8455256">
      <w:bodyDiv w:val="1"/>
      <w:marLeft w:val="0"/>
      <w:marRight w:val="0"/>
      <w:marTop w:val="0"/>
      <w:marBottom w:val="0"/>
      <w:divBdr>
        <w:top w:val="none" w:sz="0" w:space="0" w:color="auto"/>
        <w:left w:val="none" w:sz="0" w:space="0" w:color="auto"/>
        <w:bottom w:val="none" w:sz="0" w:space="0" w:color="auto"/>
        <w:right w:val="none" w:sz="0" w:space="0" w:color="auto"/>
      </w:divBdr>
    </w:div>
    <w:div w:id="81804142">
      <w:bodyDiv w:val="1"/>
      <w:marLeft w:val="0"/>
      <w:marRight w:val="0"/>
      <w:marTop w:val="0"/>
      <w:marBottom w:val="0"/>
      <w:divBdr>
        <w:top w:val="none" w:sz="0" w:space="0" w:color="auto"/>
        <w:left w:val="none" w:sz="0" w:space="0" w:color="auto"/>
        <w:bottom w:val="none" w:sz="0" w:space="0" w:color="auto"/>
        <w:right w:val="none" w:sz="0" w:space="0" w:color="auto"/>
      </w:divBdr>
    </w:div>
    <w:div w:id="86005338">
      <w:bodyDiv w:val="1"/>
      <w:marLeft w:val="0"/>
      <w:marRight w:val="0"/>
      <w:marTop w:val="0"/>
      <w:marBottom w:val="0"/>
      <w:divBdr>
        <w:top w:val="none" w:sz="0" w:space="0" w:color="auto"/>
        <w:left w:val="none" w:sz="0" w:space="0" w:color="auto"/>
        <w:bottom w:val="none" w:sz="0" w:space="0" w:color="auto"/>
        <w:right w:val="none" w:sz="0" w:space="0" w:color="auto"/>
      </w:divBdr>
    </w:div>
    <w:div w:id="8954772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735952">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554365">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711521">
      <w:bodyDiv w:val="1"/>
      <w:marLeft w:val="0"/>
      <w:marRight w:val="0"/>
      <w:marTop w:val="0"/>
      <w:marBottom w:val="0"/>
      <w:divBdr>
        <w:top w:val="none" w:sz="0" w:space="0" w:color="auto"/>
        <w:left w:val="none" w:sz="0" w:space="0" w:color="auto"/>
        <w:bottom w:val="none" w:sz="0" w:space="0" w:color="auto"/>
        <w:right w:val="none" w:sz="0" w:space="0" w:color="auto"/>
      </w:divBdr>
    </w:div>
    <w:div w:id="110977878">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2138901">
      <w:bodyDiv w:val="1"/>
      <w:marLeft w:val="0"/>
      <w:marRight w:val="0"/>
      <w:marTop w:val="0"/>
      <w:marBottom w:val="0"/>
      <w:divBdr>
        <w:top w:val="none" w:sz="0" w:space="0" w:color="auto"/>
        <w:left w:val="none" w:sz="0" w:space="0" w:color="auto"/>
        <w:bottom w:val="none" w:sz="0" w:space="0" w:color="auto"/>
        <w:right w:val="none" w:sz="0" w:space="0" w:color="auto"/>
      </w:divBdr>
    </w:div>
    <w:div w:id="114951108">
      <w:bodyDiv w:val="1"/>
      <w:marLeft w:val="0"/>
      <w:marRight w:val="0"/>
      <w:marTop w:val="0"/>
      <w:marBottom w:val="0"/>
      <w:divBdr>
        <w:top w:val="none" w:sz="0" w:space="0" w:color="auto"/>
        <w:left w:val="none" w:sz="0" w:space="0" w:color="auto"/>
        <w:bottom w:val="none" w:sz="0" w:space="0" w:color="auto"/>
        <w:right w:val="none" w:sz="0" w:space="0" w:color="auto"/>
      </w:divBdr>
    </w:div>
    <w:div w:id="11888654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7481809">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2110202">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043870">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3597569">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645884">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2839591">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861631">
      <w:bodyDiv w:val="1"/>
      <w:marLeft w:val="0"/>
      <w:marRight w:val="0"/>
      <w:marTop w:val="0"/>
      <w:marBottom w:val="0"/>
      <w:divBdr>
        <w:top w:val="none" w:sz="0" w:space="0" w:color="auto"/>
        <w:left w:val="none" w:sz="0" w:space="0" w:color="auto"/>
        <w:bottom w:val="none" w:sz="0" w:space="0" w:color="auto"/>
        <w:right w:val="none" w:sz="0" w:space="0" w:color="auto"/>
      </w:divBdr>
    </w:div>
    <w:div w:id="18148313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02163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361601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4411728">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556003">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149771">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6890417">
      <w:bodyDiv w:val="1"/>
      <w:marLeft w:val="0"/>
      <w:marRight w:val="0"/>
      <w:marTop w:val="0"/>
      <w:marBottom w:val="0"/>
      <w:divBdr>
        <w:top w:val="none" w:sz="0" w:space="0" w:color="auto"/>
        <w:left w:val="none" w:sz="0" w:space="0" w:color="auto"/>
        <w:bottom w:val="none" w:sz="0" w:space="0" w:color="auto"/>
        <w:right w:val="none" w:sz="0" w:space="0" w:color="auto"/>
      </w:divBdr>
    </w:div>
    <w:div w:id="227888440">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1890187">
      <w:bodyDiv w:val="1"/>
      <w:marLeft w:val="0"/>
      <w:marRight w:val="0"/>
      <w:marTop w:val="0"/>
      <w:marBottom w:val="0"/>
      <w:divBdr>
        <w:top w:val="none" w:sz="0" w:space="0" w:color="auto"/>
        <w:left w:val="none" w:sz="0" w:space="0" w:color="auto"/>
        <w:bottom w:val="none" w:sz="0" w:space="0" w:color="auto"/>
        <w:right w:val="none" w:sz="0" w:space="0" w:color="auto"/>
      </w:divBdr>
    </w:div>
    <w:div w:id="23451076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241744">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880472">
      <w:bodyDiv w:val="1"/>
      <w:marLeft w:val="0"/>
      <w:marRight w:val="0"/>
      <w:marTop w:val="0"/>
      <w:marBottom w:val="0"/>
      <w:divBdr>
        <w:top w:val="none" w:sz="0" w:space="0" w:color="auto"/>
        <w:left w:val="none" w:sz="0" w:space="0" w:color="auto"/>
        <w:bottom w:val="none" w:sz="0" w:space="0" w:color="auto"/>
        <w:right w:val="none" w:sz="0" w:space="0" w:color="auto"/>
      </w:divBdr>
    </w:div>
    <w:div w:id="263390777">
      <w:bodyDiv w:val="1"/>
      <w:marLeft w:val="0"/>
      <w:marRight w:val="0"/>
      <w:marTop w:val="0"/>
      <w:marBottom w:val="0"/>
      <w:divBdr>
        <w:top w:val="none" w:sz="0" w:space="0" w:color="auto"/>
        <w:left w:val="none" w:sz="0" w:space="0" w:color="auto"/>
        <w:bottom w:val="none" w:sz="0" w:space="0" w:color="auto"/>
        <w:right w:val="none" w:sz="0" w:space="0" w:color="auto"/>
      </w:divBdr>
    </w:div>
    <w:div w:id="267541965">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69896908">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88801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510668">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9866328">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25734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739400">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3533681">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0084498">
      <w:bodyDiv w:val="1"/>
      <w:marLeft w:val="0"/>
      <w:marRight w:val="0"/>
      <w:marTop w:val="0"/>
      <w:marBottom w:val="0"/>
      <w:divBdr>
        <w:top w:val="none" w:sz="0" w:space="0" w:color="auto"/>
        <w:left w:val="none" w:sz="0" w:space="0" w:color="auto"/>
        <w:bottom w:val="none" w:sz="0" w:space="0" w:color="auto"/>
        <w:right w:val="none" w:sz="0" w:space="0" w:color="auto"/>
      </w:divBdr>
    </w:div>
    <w:div w:id="322050180">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91236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40027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1785475">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227132">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683220">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9159678">
      <w:bodyDiv w:val="1"/>
      <w:marLeft w:val="0"/>
      <w:marRight w:val="0"/>
      <w:marTop w:val="0"/>
      <w:marBottom w:val="0"/>
      <w:divBdr>
        <w:top w:val="none" w:sz="0" w:space="0" w:color="auto"/>
        <w:left w:val="none" w:sz="0" w:space="0" w:color="auto"/>
        <w:bottom w:val="none" w:sz="0" w:space="0" w:color="auto"/>
        <w:right w:val="none" w:sz="0" w:space="0" w:color="auto"/>
      </w:divBdr>
    </w:div>
    <w:div w:id="390154612">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857430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0374418">
      <w:bodyDiv w:val="1"/>
      <w:marLeft w:val="0"/>
      <w:marRight w:val="0"/>
      <w:marTop w:val="0"/>
      <w:marBottom w:val="0"/>
      <w:divBdr>
        <w:top w:val="none" w:sz="0" w:space="0" w:color="auto"/>
        <w:left w:val="none" w:sz="0" w:space="0" w:color="auto"/>
        <w:bottom w:val="none" w:sz="0" w:space="0" w:color="auto"/>
        <w:right w:val="none" w:sz="0" w:space="0" w:color="auto"/>
      </w:divBdr>
    </w:div>
    <w:div w:id="42481339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2001635">
      <w:bodyDiv w:val="1"/>
      <w:marLeft w:val="0"/>
      <w:marRight w:val="0"/>
      <w:marTop w:val="0"/>
      <w:marBottom w:val="0"/>
      <w:divBdr>
        <w:top w:val="none" w:sz="0" w:space="0" w:color="auto"/>
        <w:left w:val="none" w:sz="0" w:space="0" w:color="auto"/>
        <w:bottom w:val="none" w:sz="0" w:space="0" w:color="auto"/>
        <w:right w:val="none" w:sz="0" w:space="0" w:color="auto"/>
      </w:divBdr>
    </w:div>
    <w:div w:id="442962855">
      <w:bodyDiv w:val="1"/>
      <w:marLeft w:val="0"/>
      <w:marRight w:val="0"/>
      <w:marTop w:val="0"/>
      <w:marBottom w:val="0"/>
      <w:divBdr>
        <w:top w:val="none" w:sz="0" w:space="0" w:color="auto"/>
        <w:left w:val="none" w:sz="0" w:space="0" w:color="auto"/>
        <w:bottom w:val="none" w:sz="0" w:space="0" w:color="auto"/>
        <w:right w:val="none" w:sz="0" w:space="0" w:color="auto"/>
      </w:divBdr>
    </w:div>
    <w:div w:id="444882430">
      <w:bodyDiv w:val="1"/>
      <w:marLeft w:val="0"/>
      <w:marRight w:val="0"/>
      <w:marTop w:val="0"/>
      <w:marBottom w:val="0"/>
      <w:divBdr>
        <w:top w:val="none" w:sz="0" w:space="0" w:color="auto"/>
        <w:left w:val="none" w:sz="0" w:space="0" w:color="auto"/>
        <w:bottom w:val="none" w:sz="0" w:space="0" w:color="auto"/>
        <w:right w:val="none" w:sz="0" w:space="0" w:color="auto"/>
      </w:divBdr>
    </w:div>
    <w:div w:id="44612073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6796527">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30647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8135303">
      <w:bodyDiv w:val="1"/>
      <w:marLeft w:val="0"/>
      <w:marRight w:val="0"/>
      <w:marTop w:val="0"/>
      <w:marBottom w:val="0"/>
      <w:divBdr>
        <w:top w:val="none" w:sz="0" w:space="0" w:color="auto"/>
        <w:left w:val="none" w:sz="0" w:space="0" w:color="auto"/>
        <w:bottom w:val="none" w:sz="0" w:space="0" w:color="auto"/>
        <w:right w:val="none" w:sz="0" w:space="0" w:color="auto"/>
      </w:divBdr>
    </w:div>
    <w:div w:id="469984037">
      <w:bodyDiv w:val="1"/>
      <w:marLeft w:val="0"/>
      <w:marRight w:val="0"/>
      <w:marTop w:val="0"/>
      <w:marBottom w:val="0"/>
      <w:divBdr>
        <w:top w:val="none" w:sz="0" w:space="0" w:color="auto"/>
        <w:left w:val="none" w:sz="0" w:space="0" w:color="auto"/>
        <w:bottom w:val="none" w:sz="0" w:space="0" w:color="auto"/>
        <w:right w:val="none" w:sz="0" w:space="0" w:color="auto"/>
      </w:divBdr>
    </w:div>
    <w:div w:id="47121849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835069">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0181">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443142">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8444639">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232046">
      <w:bodyDiv w:val="1"/>
      <w:marLeft w:val="0"/>
      <w:marRight w:val="0"/>
      <w:marTop w:val="0"/>
      <w:marBottom w:val="0"/>
      <w:divBdr>
        <w:top w:val="none" w:sz="0" w:space="0" w:color="auto"/>
        <w:left w:val="none" w:sz="0" w:space="0" w:color="auto"/>
        <w:bottom w:val="none" w:sz="0" w:space="0" w:color="auto"/>
        <w:right w:val="none" w:sz="0" w:space="0" w:color="auto"/>
      </w:divBdr>
    </w:div>
    <w:div w:id="498544286">
      <w:bodyDiv w:val="1"/>
      <w:marLeft w:val="0"/>
      <w:marRight w:val="0"/>
      <w:marTop w:val="0"/>
      <w:marBottom w:val="0"/>
      <w:divBdr>
        <w:top w:val="none" w:sz="0" w:space="0" w:color="auto"/>
        <w:left w:val="none" w:sz="0" w:space="0" w:color="auto"/>
        <w:bottom w:val="none" w:sz="0" w:space="0" w:color="auto"/>
        <w:right w:val="none" w:sz="0" w:space="0" w:color="auto"/>
      </w:divBdr>
    </w:div>
    <w:div w:id="499390550">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4422228">
      <w:bodyDiv w:val="1"/>
      <w:marLeft w:val="0"/>
      <w:marRight w:val="0"/>
      <w:marTop w:val="0"/>
      <w:marBottom w:val="0"/>
      <w:divBdr>
        <w:top w:val="none" w:sz="0" w:space="0" w:color="auto"/>
        <w:left w:val="none" w:sz="0" w:space="0" w:color="auto"/>
        <w:bottom w:val="none" w:sz="0" w:space="0" w:color="auto"/>
        <w:right w:val="none" w:sz="0" w:space="0" w:color="auto"/>
      </w:divBdr>
    </w:div>
    <w:div w:id="515972181">
      <w:bodyDiv w:val="1"/>
      <w:marLeft w:val="0"/>
      <w:marRight w:val="0"/>
      <w:marTop w:val="0"/>
      <w:marBottom w:val="0"/>
      <w:divBdr>
        <w:top w:val="none" w:sz="0" w:space="0" w:color="auto"/>
        <w:left w:val="none" w:sz="0" w:space="0" w:color="auto"/>
        <w:bottom w:val="none" w:sz="0" w:space="0" w:color="auto"/>
        <w:right w:val="none" w:sz="0" w:space="0" w:color="auto"/>
      </w:divBdr>
    </w:div>
    <w:div w:id="516387446">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7425032">
      <w:bodyDiv w:val="1"/>
      <w:marLeft w:val="0"/>
      <w:marRight w:val="0"/>
      <w:marTop w:val="0"/>
      <w:marBottom w:val="0"/>
      <w:divBdr>
        <w:top w:val="none" w:sz="0" w:space="0" w:color="auto"/>
        <w:left w:val="none" w:sz="0" w:space="0" w:color="auto"/>
        <w:bottom w:val="none" w:sz="0" w:space="0" w:color="auto"/>
        <w:right w:val="none" w:sz="0" w:space="0" w:color="auto"/>
      </w:divBdr>
    </w:div>
    <w:div w:id="521166715">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286260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3908206">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8227524">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5680648">
      <w:bodyDiv w:val="1"/>
      <w:marLeft w:val="0"/>
      <w:marRight w:val="0"/>
      <w:marTop w:val="0"/>
      <w:marBottom w:val="0"/>
      <w:divBdr>
        <w:top w:val="none" w:sz="0" w:space="0" w:color="auto"/>
        <w:left w:val="none" w:sz="0" w:space="0" w:color="auto"/>
        <w:bottom w:val="none" w:sz="0" w:space="0" w:color="auto"/>
        <w:right w:val="none" w:sz="0" w:space="0" w:color="auto"/>
      </w:divBdr>
    </w:div>
    <w:div w:id="549925680">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439655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596126">
      <w:bodyDiv w:val="1"/>
      <w:marLeft w:val="0"/>
      <w:marRight w:val="0"/>
      <w:marTop w:val="0"/>
      <w:marBottom w:val="0"/>
      <w:divBdr>
        <w:top w:val="none" w:sz="0" w:space="0" w:color="auto"/>
        <w:left w:val="none" w:sz="0" w:space="0" w:color="auto"/>
        <w:bottom w:val="none" w:sz="0" w:space="0" w:color="auto"/>
        <w:right w:val="none" w:sz="0" w:space="0" w:color="auto"/>
      </w:divBdr>
    </w:div>
    <w:div w:id="561840849">
      <w:bodyDiv w:val="1"/>
      <w:marLeft w:val="0"/>
      <w:marRight w:val="0"/>
      <w:marTop w:val="0"/>
      <w:marBottom w:val="0"/>
      <w:divBdr>
        <w:top w:val="none" w:sz="0" w:space="0" w:color="auto"/>
        <w:left w:val="none" w:sz="0" w:space="0" w:color="auto"/>
        <w:bottom w:val="none" w:sz="0" w:space="0" w:color="auto"/>
        <w:right w:val="none" w:sz="0" w:space="0" w:color="auto"/>
      </w:divBdr>
    </w:div>
    <w:div w:id="563445687">
      <w:bodyDiv w:val="1"/>
      <w:marLeft w:val="0"/>
      <w:marRight w:val="0"/>
      <w:marTop w:val="0"/>
      <w:marBottom w:val="0"/>
      <w:divBdr>
        <w:top w:val="none" w:sz="0" w:space="0" w:color="auto"/>
        <w:left w:val="none" w:sz="0" w:space="0" w:color="auto"/>
        <w:bottom w:val="none" w:sz="0" w:space="0" w:color="auto"/>
        <w:right w:val="none" w:sz="0" w:space="0" w:color="auto"/>
      </w:divBdr>
    </w:div>
    <w:div w:id="566038770">
      <w:bodyDiv w:val="1"/>
      <w:marLeft w:val="0"/>
      <w:marRight w:val="0"/>
      <w:marTop w:val="0"/>
      <w:marBottom w:val="0"/>
      <w:divBdr>
        <w:top w:val="none" w:sz="0" w:space="0" w:color="auto"/>
        <w:left w:val="none" w:sz="0" w:space="0" w:color="auto"/>
        <w:bottom w:val="none" w:sz="0" w:space="0" w:color="auto"/>
        <w:right w:val="none" w:sz="0" w:space="0" w:color="auto"/>
      </w:divBdr>
    </w:div>
    <w:div w:id="56900308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88113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8975785">
      <w:bodyDiv w:val="1"/>
      <w:marLeft w:val="0"/>
      <w:marRight w:val="0"/>
      <w:marTop w:val="0"/>
      <w:marBottom w:val="0"/>
      <w:divBdr>
        <w:top w:val="none" w:sz="0" w:space="0" w:color="auto"/>
        <w:left w:val="none" w:sz="0" w:space="0" w:color="auto"/>
        <w:bottom w:val="none" w:sz="0" w:space="0" w:color="auto"/>
        <w:right w:val="none" w:sz="0" w:space="0" w:color="auto"/>
      </w:divBdr>
    </w:div>
    <w:div w:id="590283327">
      <w:bodyDiv w:val="1"/>
      <w:marLeft w:val="0"/>
      <w:marRight w:val="0"/>
      <w:marTop w:val="0"/>
      <w:marBottom w:val="0"/>
      <w:divBdr>
        <w:top w:val="none" w:sz="0" w:space="0" w:color="auto"/>
        <w:left w:val="none" w:sz="0" w:space="0" w:color="auto"/>
        <w:bottom w:val="none" w:sz="0" w:space="0" w:color="auto"/>
        <w:right w:val="none" w:sz="0" w:space="0" w:color="auto"/>
      </w:divBdr>
    </w:div>
    <w:div w:id="59220243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59567449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926928">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8217875">
      <w:bodyDiv w:val="1"/>
      <w:marLeft w:val="0"/>
      <w:marRight w:val="0"/>
      <w:marTop w:val="0"/>
      <w:marBottom w:val="0"/>
      <w:divBdr>
        <w:top w:val="none" w:sz="0" w:space="0" w:color="auto"/>
        <w:left w:val="none" w:sz="0" w:space="0" w:color="auto"/>
        <w:bottom w:val="none" w:sz="0" w:space="0" w:color="auto"/>
        <w:right w:val="none" w:sz="0" w:space="0" w:color="auto"/>
      </w:divBdr>
    </w:div>
    <w:div w:id="621150998">
      <w:bodyDiv w:val="1"/>
      <w:marLeft w:val="0"/>
      <w:marRight w:val="0"/>
      <w:marTop w:val="0"/>
      <w:marBottom w:val="0"/>
      <w:divBdr>
        <w:top w:val="none" w:sz="0" w:space="0" w:color="auto"/>
        <w:left w:val="none" w:sz="0" w:space="0" w:color="auto"/>
        <w:bottom w:val="none" w:sz="0" w:space="0" w:color="auto"/>
        <w:right w:val="none" w:sz="0" w:space="0" w:color="auto"/>
      </w:divBdr>
    </w:div>
    <w:div w:id="62555026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049525">
      <w:bodyDiv w:val="1"/>
      <w:marLeft w:val="0"/>
      <w:marRight w:val="0"/>
      <w:marTop w:val="0"/>
      <w:marBottom w:val="0"/>
      <w:divBdr>
        <w:top w:val="none" w:sz="0" w:space="0" w:color="auto"/>
        <w:left w:val="none" w:sz="0" w:space="0" w:color="auto"/>
        <w:bottom w:val="none" w:sz="0" w:space="0" w:color="auto"/>
        <w:right w:val="none" w:sz="0" w:space="0" w:color="auto"/>
      </w:divBdr>
    </w:div>
    <w:div w:id="627199766">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500310">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347226">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630711">
      <w:bodyDiv w:val="1"/>
      <w:marLeft w:val="0"/>
      <w:marRight w:val="0"/>
      <w:marTop w:val="0"/>
      <w:marBottom w:val="0"/>
      <w:divBdr>
        <w:top w:val="none" w:sz="0" w:space="0" w:color="auto"/>
        <w:left w:val="none" w:sz="0" w:space="0" w:color="auto"/>
        <w:bottom w:val="none" w:sz="0" w:space="0" w:color="auto"/>
        <w:right w:val="none" w:sz="0" w:space="0" w:color="auto"/>
      </w:divBdr>
    </w:div>
    <w:div w:id="65472835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0353789">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64728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366327">
      <w:bodyDiv w:val="1"/>
      <w:marLeft w:val="0"/>
      <w:marRight w:val="0"/>
      <w:marTop w:val="0"/>
      <w:marBottom w:val="0"/>
      <w:divBdr>
        <w:top w:val="none" w:sz="0" w:space="0" w:color="auto"/>
        <w:left w:val="none" w:sz="0" w:space="0" w:color="auto"/>
        <w:bottom w:val="none" w:sz="0" w:space="0" w:color="auto"/>
        <w:right w:val="none" w:sz="0" w:space="0" w:color="auto"/>
      </w:divBdr>
    </w:div>
    <w:div w:id="686101818">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692732">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388642">
      <w:bodyDiv w:val="1"/>
      <w:marLeft w:val="0"/>
      <w:marRight w:val="0"/>
      <w:marTop w:val="0"/>
      <w:marBottom w:val="0"/>
      <w:divBdr>
        <w:top w:val="none" w:sz="0" w:space="0" w:color="auto"/>
        <w:left w:val="none" w:sz="0" w:space="0" w:color="auto"/>
        <w:bottom w:val="none" w:sz="0" w:space="0" w:color="auto"/>
        <w:right w:val="none" w:sz="0" w:space="0" w:color="auto"/>
      </w:divBdr>
    </w:div>
    <w:div w:id="701326826">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36213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9762933">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4693705">
      <w:bodyDiv w:val="1"/>
      <w:marLeft w:val="0"/>
      <w:marRight w:val="0"/>
      <w:marTop w:val="0"/>
      <w:marBottom w:val="0"/>
      <w:divBdr>
        <w:top w:val="none" w:sz="0" w:space="0" w:color="auto"/>
        <w:left w:val="none" w:sz="0" w:space="0" w:color="auto"/>
        <w:bottom w:val="none" w:sz="0" w:space="0" w:color="auto"/>
        <w:right w:val="none" w:sz="0" w:space="0" w:color="auto"/>
      </w:divBdr>
    </w:div>
    <w:div w:id="72063436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185359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5470517">
      <w:bodyDiv w:val="1"/>
      <w:marLeft w:val="0"/>
      <w:marRight w:val="0"/>
      <w:marTop w:val="0"/>
      <w:marBottom w:val="0"/>
      <w:divBdr>
        <w:top w:val="none" w:sz="0" w:space="0" w:color="auto"/>
        <w:left w:val="none" w:sz="0" w:space="0" w:color="auto"/>
        <w:bottom w:val="none" w:sz="0" w:space="0" w:color="auto"/>
        <w:right w:val="none" w:sz="0" w:space="0" w:color="auto"/>
      </w:divBdr>
    </w:div>
    <w:div w:id="73624637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170291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11381">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1216436">
      <w:bodyDiv w:val="1"/>
      <w:marLeft w:val="0"/>
      <w:marRight w:val="0"/>
      <w:marTop w:val="0"/>
      <w:marBottom w:val="0"/>
      <w:divBdr>
        <w:top w:val="none" w:sz="0" w:space="0" w:color="auto"/>
        <w:left w:val="none" w:sz="0" w:space="0" w:color="auto"/>
        <w:bottom w:val="none" w:sz="0" w:space="0" w:color="auto"/>
        <w:right w:val="none" w:sz="0" w:space="0" w:color="auto"/>
      </w:divBdr>
    </w:div>
    <w:div w:id="791896967">
      <w:bodyDiv w:val="1"/>
      <w:marLeft w:val="0"/>
      <w:marRight w:val="0"/>
      <w:marTop w:val="0"/>
      <w:marBottom w:val="0"/>
      <w:divBdr>
        <w:top w:val="none" w:sz="0" w:space="0" w:color="auto"/>
        <w:left w:val="none" w:sz="0" w:space="0" w:color="auto"/>
        <w:bottom w:val="none" w:sz="0" w:space="0" w:color="auto"/>
        <w:right w:val="none" w:sz="0" w:space="0" w:color="auto"/>
      </w:divBdr>
    </w:div>
    <w:div w:id="795294243">
      <w:bodyDiv w:val="1"/>
      <w:marLeft w:val="0"/>
      <w:marRight w:val="0"/>
      <w:marTop w:val="0"/>
      <w:marBottom w:val="0"/>
      <w:divBdr>
        <w:top w:val="none" w:sz="0" w:space="0" w:color="auto"/>
        <w:left w:val="none" w:sz="0" w:space="0" w:color="auto"/>
        <w:bottom w:val="none" w:sz="0" w:space="0" w:color="auto"/>
        <w:right w:val="none" w:sz="0" w:space="0" w:color="auto"/>
      </w:divBdr>
    </w:div>
    <w:div w:id="80242492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771418">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592644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3525200">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16519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611093">
      <w:bodyDiv w:val="1"/>
      <w:marLeft w:val="0"/>
      <w:marRight w:val="0"/>
      <w:marTop w:val="0"/>
      <w:marBottom w:val="0"/>
      <w:divBdr>
        <w:top w:val="none" w:sz="0" w:space="0" w:color="auto"/>
        <w:left w:val="none" w:sz="0" w:space="0" w:color="auto"/>
        <w:bottom w:val="none" w:sz="0" w:space="0" w:color="auto"/>
        <w:right w:val="none" w:sz="0" w:space="0" w:color="auto"/>
      </w:divBdr>
    </w:div>
    <w:div w:id="835996887">
      <w:bodyDiv w:val="1"/>
      <w:marLeft w:val="0"/>
      <w:marRight w:val="0"/>
      <w:marTop w:val="0"/>
      <w:marBottom w:val="0"/>
      <w:divBdr>
        <w:top w:val="none" w:sz="0" w:space="0" w:color="auto"/>
        <w:left w:val="none" w:sz="0" w:space="0" w:color="auto"/>
        <w:bottom w:val="none" w:sz="0" w:space="0" w:color="auto"/>
        <w:right w:val="none" w:sz="0" w:space="0" w:color="auto"/>
      </w:divBdr>
    </w:div>
    <w:div w:id="844445402">
      <w:bodyDiv w:val="1"/>
      <w:marLeft w:val="0"/>
      <w:marRight w:val="0"/>
      <w:marTop w:val="0"/>
      <w:marBottom w:val="0"/>
      <w:divBdr>
        <w:top w:val="none" w:sz="0" w:space="0" w:color="auto"/>
        <w:left w:val="none" w:sz="0" w:space="0" w:color="auto"/>
        <w:bottom w:val="none" w:sz="0" w:space="0" w:color="auto"/>
        <w:right w:val="none" w:sz="0" w:space="0" w:color="auto"/>
      </w:divBdr>
    </w:div>
    <w:div w:id="84648059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596650">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693233">
      <w:bodyDiv w:val="1"/>
      <w:marLeft w:val="0"/>
      <w:marRight w:val="0"/>
      <w:marTop w:val="0"/>
      <w:marBottom w:val="0"/>
      <w:divBdr>
        <w:top w:val="none" w:sz="0" w:space="0" w:color="auto"/>
        <w:left w:val="none" w:sz="0" w:space="0" w:color="auto"/>
        <w:bottom w:val="none" w:sz="0" w:space="0" w:color="auto"/>
        <w:right w:val="none" w:sz="0" w:space="0" w:color="auto"/>
      </w:divBdr>
    </w:div>
    <w:div w:id="854924339">
      <w:bodyDiv w:val="1"/>
      <w:marLeft w:val="0"/>
      <w:marRight w:val="0"/>
      <w:marTop w:val="0"/>
      <w:marBottom w:val="0"/>
      <w:divBdr>
        <w:top w:val="none" w:sz="0" w:space="0" w:color="auto"/>
        <w:left w:val="none" w:sz="0" w:space="0" w:color="auto"/>
        <w:bottom w:val="none" w:sz="0" w:space="0" w:color="auto"/>
        <w:right w:val="none" w:sz="0" w:space="0" w:color="auto"/>
      </w:divBdr>
    </w:div>
    <w:div w:id="861556127">
      <w:bodyDiv w:val="1"/>
      <w:marLeft w:val="0"/>
      <w:marRight w:val="0"/>
      <w:marTop w:val="0"/>
      <w:marBottom w:val="0"/>
      <w:divBdr>
        <w:top w:val="none" w:sz="0" w:space="0" w:color="auto"/>
        <w:left w:val="none" w:sz="0" w:space="0" w:color="auto"/>
        <w:bottom w:val="none" w:sz="0" w:space="0" w:color="auto"/>
        <w:right w:val="none" w:sz="0" w:space="0" w:color="auto"/>
      </w:divBdr>
    </w:div>
    <w:div w:id="863665470">
      <w:bodyDiv w:val="1"/>
      <w:marLeft w:val="0"/>
      <w:marRight w:val="0"/>
      <w:marTop w:val="0"/>
      <w:marBottom w:val="0"/>
      <w:divBdr>
        <w:top w:val="none" w:sz="0" w:space="0" w:color="auto"/>
        <w:left w:val="none" w:sz="0" w:space="0" w:color="auto"/>
        <w:bottom w:val="none" w:sz="0" w:space="0" w:color="auto"/>
        <w:right w:val="none" w:sz="0" w:space="0" w:color="auto"/>
      </w:divBdr>
    </w:div>
    <w:div w:id="868030910">
      <w:bodyDiv w:val="1"/>
      <w:marLeft w:val="0"/>
      <w:marRight w:val="0"/>
      <w:marTop w:val="0"/>
      <w:marBottom w:val="0"/>
      <w:divBdr>
        <w:top w:val="none" w:sz="0" w:space="0" w:color="auto"/>
        <w:left w:val="none" w:sz="0" w:space="0" w:color="auto"/>
        <w:bottom w:val="none" w:sz="0" w:space="0" w:color="auto"/>
        <w:right w:val="none" w:sz="0" w:space="0" w:color="auto"/>
      </w:divBdr>
    </w:div>
    <w:div w:id="870653488">
      <w:bodyDiv w:val="1"/>
      <w:marLeft w:val="0"/>
      <w:marRight w:val="0"/>
      <w:marTop w:val="0"/>
      <w:marBottom w:val="0"/>
      <w:divBdr>
        <w:top w:val="none" w:sz="0" w:space="0" w:color="auto"/>
        <w:left w:val="none" w:sz="0" w:space="0" w:color="auto"/>
        <w:bottom w:val="none" w:sz="0" w:space="0" w:color="auto"/>
        <w:right w:val="none" w:sz="0" w:space="0" w:color="auto"/>
      </w:divBdr>
    </w:div>
    <w:div w:id="871113032">
      <w:bodyDiv w:val="1"/>
      <w:marLeft w:val="0"/>
      <w:marRight w:val="0"/>
      <w:marTop w:val="0"/>
      <w:marBottom w:val="0"/>
      <w:divBdr>
        <w:top w:val="none" w:sz="0" w:space="0" w:color="auto"/>
        <w:left w:val="none" w:sz="0" w:space="0" w:color="auto"/>
        <w:bottom w:val="none" w:sz="0" w:space="0" w:color="auto"/>
        <w:right w:val="none" w:sz="0" w:space="0" w:color="auto"/>
      </w:divBdr>
    </w:div>
    <w:div w:id="871844523">
      <w:bodyDiv w:val="1"/>
      <w:marLeft w:val="0"/>
      <w:marRight w:val="0"/>
      <w:marTop w:val="0"/>
      <w:marBottom w:val="0"/>
      <w:divBdr>
        <w:top w:val="none" w:sz="0" w:space="0" w:color="auto"/>
        <w:left w:val="none" w:sz="0" w:space="0" w:color="auto"/>
        <w:bottom w:val="none" w:sz="0" w:space="0" w:color="auto"/>
        <w:right w:val="none" w:sz="0" w:space="0" w:color="auto"/>
      </w:divBdr>
    </w:div>
    <w:div w:id="877358865">
      <w:bodyDiv w:val="1"/>
      <w:marLeft w:val="0"/>
      <w:marRight w:val="0"/>
      <w:marTop w:val="0"/>
      <w:marBottom w:val="0"/>
      <w:divBdr>
        <w:top w:val="none" w:sz="0" w:space="0" w:color="auto"/>
        <w:left w:val="none" w:sz="0" w:space="0" w:color="auto"/>
        <w:bottom w:val="none" w:sz="0" w:space="0" w:color="auto"/>
        <w:right w:val="none" w:sz="0" w:space="0" w:color="auto"/>
      </w:divBdr>
    </w:div>
    <w:div w:id="88332617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0868750">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6036944">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871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99195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6252538">
      <w:bodyDiv w:val="1"/>
      <w:marLeft w:val="0"/>
      <w:marRight w:val="0"/>
      <w:marTop w:val="0"/>
      <w:marBottom w:val="0"/>
      <w:divBdr>
        <w:top w:val="none" w:sz="0" w:space="0" w:color="auto"/>
        <w:left w:val="none" w:sz="0" w:space="0" w:color="auto"/>
        <w:bottom w:val="none" w:sz="0" w:space="0" w:color="auto"/>
        <w:right w:val="none" w:sz="0" w:space="0" w:color="auto"/>
      </w:divBdr>
    </w:div>
    <w:div w:id="96077021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940073">
      <w:bodyDiv w:val="1"/>
      <w:marLeft w:val="0"/>
      <w:marRight w:val="0"/>
      <w:marTop w:val="0"/>
      <w:marBottom w:val="0"/>
      <w:divBdr>
        <w:top w:val="none" w:sz="0" w:space="0" w:color="auto"/>
        <w:left w:val="none" w:sz="0" w:space="0" w:color="auto"/>
        <w:bottom w:val="none" w:sz="0" w:space="0" w:color="auto"/>
        <w:right w:val="none" w:sz="0" w:space="0" w:color="auto"/>
      </w:divBdr>
    </w:div>
    <w:div w:id="970212164">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29235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489440">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03706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4480252">
      <w:bodyDiv w:val="1"/>
      <w:marLeft w:val="0"/>
      <w:marRight w:val="0"/>
      <w:marTop w:val="0"/>
      <w:marBottom w:val="0"/>
      <w:divBdr>
        <w:top w:val="none" w:sz="0" w:space="0" w:color="auto"/>
        <w:left w:val="none" w:sz="0" w:space="0" w:color="auto"/>
        <w:bottom w:val="none" w:sz="0" w:space="0" w:color="auto"/>
        <w:right w:val="none" w:sz="0" w:space="0" w:color="auto"/>
      </w:divBdr>
    </w:div>
    <w:div w:id="1007944884">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214790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261397">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8312309">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0856565">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868874">
      <w:bodyDiv w:val="1"/>
      <w:marLeft w:val="0"/>
      <w:marRight w:val="0"/>
      <w:marTop w:val="0"/>
      <w:marBottom w:val="0"/>
      <w:divBdr>
        <w:top w:val="none" w:sz="0" w:space="0" w:color="auto"/>
        <w:left w:val="none" w:sz="0" w:space="0" w:color="auto"/>
        <w:bottom w:val="none" w:sz="0" w:space="0" w:color="auto"/>
        <w:right w:val="none" w:sz="0" w:space="0" w:color="auto"/>
      </w:divBdr>
    </w:div>
    <w:div w:id="104530035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0809771">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350863">
      <w:bodyDiv w:val="1"/>
      <w:marLeft w:val="0"/>
      <w:marRight w:val="0"/>
      <w:marTop w:val="0"/>
      <w:marBottom w:val="0"/>
      <w:divBdr>
        <w:top w:val="none" w:sz="0" w:space="0" w:color="auto"/>
        <w:left w:val="none" w:sz="0" w:space="0" w:color="auto"/>
        <w:bottom w:val="none" w:sz="0" w:space="0" w:color="auto"/>
        <w:right w:val="none" w:sz="0" w:space="0" w:color="auto"/>
      </w:divBdr>
    </w:div>
    <w:div w:id="1056901332">
      <w:bodyDiv w:val="1"/>
      <w:marLeft w:val="0"/>
      <w:marRight w:val="0"/>
      <w:marTop w:val="0"/>
      <w:marBottom w:val="0"/>
      <w:divBdr>
        <w:top w:val="none" w:sz="0" w:space="0" w:color="auto"/>
        <w:left w:val="none" w:sz="0" w:space="0" w:color="auto"/>
        <w:bottom w:val="none" w:sz="0" w:space="0" w:color="auto"/>
        <w:right w:val="none" w:sz="0" w:space="0" w:color="auto"/>
      </w:divBdr>
    </w:div>
    <w:div w:id="105932810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514200">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994640">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27518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301204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329747">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279263">
      <w:bodyDiv w:val="1"/>
      <w:marLeft w:val="0"/>
      <w:marRight w:val="0"/>
      <w:marTop w:val="0"/>
      <w:marBottom w:val="0"/>
      <w:divBdr>
        <w:top w:val="none" w:sz="0" w:space="0" w:color="auto"/>
        <w:left w:val="none" w:sz="0" w:space="0" w:color="auto"/>
        <w:bottom w:val="none" w:sz="0" w:space="0" w:color="auto"/>
        <w:right w:val="none" w:sz="0" w:space="0" w:color="auto"/>
      </w:divBdr>
    </w:div>
    <w:div w:id="1110318686">
      <w:bodyDiv w:val="1"/>
      <w:marLeft w:val="0"/>
      <w:marRight w:val="0"/>
      <w:marTop w:val="0"/>
      <w:marBottom w:val="0"/>
      <w:divBdr>
        <w:top w:val="none" w:sz="0" w:space="0" w:color="auto"/>
        <w:left w:val="none" w:sz="0" w:space="0" w:color="auto"/>
        <w:bottom w:val="none" w:sz="0" w:space="0" w:color="auto"/>
        <w:right w:val="none" w:sz="0" w:space="0" w:color="auto"/>
      </w:divBdr>
    </w:div>
    <w:div w:id="1116371009">
      <w:bodyDiv w:val="1"/>
      <w:marLeft w:val="0"/>
      <w:marRight w:val="0"/>
      <w:marTop w:val="0"/>
      <w:marBottom w:val="0"/>
      <w:divBdr>
        <w:top w:val="none" w:sz="0" w:space="0" w:color="auto"/>
        <w:left w:val="none" w:sz="0" w:space="0" w:color="auto"/>
        <w:bottom w:val="none" w:sz="0" w:space="0" w:color="auto"/>
        <w:right w:val="none" w:sz="0" w:space="0" w:color="auto"/>
      </w:divBdr>
    </w:div>
    <w:div w:id="1129205251">
      <w:bodyDiv w:val="1"/>
      <w:marLeft w:val="0"/>
      <w:marRight w:val="0"/>
      <w:marTop w:val="0"/>
      <w:marBottom w:val="0"/>
      <w:divBdr>
        <w:top w:val="none" w:sz="0" w:space="0" w:color="auto"/>
        <w:left w:val="none" w:sz="0" w:space="0" w:color="auto"/>
        <w:bottom w:val="none" w:sz="0" w:space="0" w:color="auto"/>
        <w:right w:val="none" w:sz="0" w:space="0" w:color="auto"/>
      </w:divBdr>
    </w:div>
    <w:div w:id="113090205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695473">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4124603">
      <w:bodyDiv w:val="1"/>
      <w:marLeft w:val="0"/>
      <w:marRight w:val="0"/>
      <w:marTop w:val="0"/>
      <w:marBottom w:val="0"/>
      <w:divBdr>
        <w:top w:val="none" w:sz="0" w:space="0" w:color="auto"/>
        <w:left w:val="none" w:sz="0" w:space="0" w:color="auto"/>
        <w:bottom w:val="none" w:sz="0" w:space="0" w:color="auto"/>
        <w:right w:val="none" w:sz="0" w:space="0" w:color="auto"/>
      </w:divBdr>
    </w:div>
    <w:div w:id="1165777400">
      <w:bodyDiv w:val="1"/>
      <w:marLeft w:val="0"/>
      <w:marRight w:val="0"/>
      <w:marTop w:val="0"/>
      <w:marBottom w:val="0"/>
      <w:divBdr>
        <w:top w:val="none" w:sz="0" w:space="0" w:color="auto"/>
        <w:left w:val="none" w:sz="0" w:space="0" w:color="auto"/>
        <w:bottom w:val="none" w:sz="0" w:space="0" w:color="auto"/>
        <w:right w:val="none" w:sz="0" w:space="0" w:color="auto"/>
      </w:divBdr>
    </w:div>
    <w:div w:id="1172725141">
      <w:bodyDiv w:val="1"/>
      <w:marLeft w:val="0"/>
      <w:marRight w:val="0"/>
      <w:marTop w:val="0"/>
      <w:marBottom w:val="0"/>
      <w:divBdr>
        <w:top w:val="none" w:sz="0" w:space="0" w:color="auto"/>
        <w:left w:val="none" w:sz="0" w:space="0" w:color="auto"/>
        <w:bottom w:val="none" w:sz="0" w:space="0" w:color="auto"/>
        <w:right w:val="none" w:sz="0" w:space="0" w:color="auto"/>
      </w:divBdr>
    </w:div>
    <w:div w:id="1179927405">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2782960">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138165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54643">
      <w:bodyDiv w:val="1"/>
      <w:marLeft w:val="0"/>
      <w:marRight w:val="0"/>
      <w:marTop w:val="0"/>
      <w:marBottom w:val="0"/>
      <w:divBdr>
        <w:top w:val="none" w:sz="0" w:space="0" w:color="auto"/>
        <w:left w:val="none" w:sz="0" w:space="0" w:color="auto"/>
        <w:bottom w:val="none" w:sz="0" w:space="0" w:color="auto"/>
        <w:right w:val="none" w:sz="0" w:space="0" w:color="auto"/>
      </w:divBdr>
    </w:div>
    <w:div w:id="1221284186">
      <w:bodyDiv w:val="1"/>
      <w:marLeft w:val="0"/>
      <w:marRight w:val="0"/>
      <w:marTop w:val="0"/>
      <w:marBottom w:val="0"/>
      <w:divBdr>
        <w:top w:val="none" w:sz="0" w:space="0" w:color="auto"/>
        <w:left w:val="none" w:sz="0" w:space="0" w:color="auto"/>
        <w:bottom w:val="none" w:sz="0" w:space="0" w:color="auto"/>
        <w:right w:val="none" w:sz="0" w:space="0" w:color="auto"/>
      </w:divBdr>
    </w:div>
    <w:div w:id="1223175667">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69994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2788541">
      <w:bodyDiv w:val="1"/>
      <w:marLeft w:val="0"/>
      <w:marRight w:val="0"/>
      <w:marTop w:val="0"/>
      <w:marBottom w:val="0"/>
      <w:divBdr>
        <w:top w:val="none" w:sz="0" w:space="0" w:color="auto"/>
        <w:left w:val="none" w:sz="0" w:space="0" w:color="auto"/>
        <w:bottom w:val="none" w:sz="0" w:space="0" w:color="auto"/>
        <w:right w:val="none" w:sz="0" w:space="0" w:color="auto"/>
      </w:divBdr>
    </w:div>
    <w:div w:id="1244946580">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0389778">
      <w:bodyDiv w:val="1"/>
      <w:marLeft w:val="0"/>
      <w:marRight w:val="0"/>
      <w:marTop w:val="0"/>
      <w:marBottom w:val="0"/>
      <w:divBdr>
        <w:top w:val="none" w:sz="0" w:space="0" w:color="auto"/>
        <w:left w:val="none" w:sz="0" w:space="0" w:color="auto"/>
        <w:bottom w:val="none" w:sz="0" w:space="0" w:color="auto"/>
        <w:right w:val="none" w:sz="0" w:space="0" w:color="auto"/>
      </w:divBdr>
    </w:div>
    <w:div w:id="1252006732">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5165089">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0065548">
      <w:bodyDiv w:val="1"/>
      <w:marLeft w:val="0"/>
      <w:marRight w:val="0"/>
      <w:marTop w:val="0"/>
      <w:marBottom w:val="0"/>
      <w:divBdr>
        <w:top w:val="none" w:sz="0" w:space="0" w:color="auto"/>
        <w:left w:val="none" w:sz="0" w:space="0" w:color="auto"/>
        <w:bottom w:val="none" w:sz="0" w:space="0" w:color="auto"/>
        <w:right w:val="none" w:sz="0" w:space="0" w:color="auto"/>
      </w:divBdr>
    </w:div>
    <w:div w:id="1273053849">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40766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180543">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095951">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276147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093915">
      <w:bodyDiv w:val="1"/>
      <w:marLeft w:val="0"/>
      <w:marRight w:val="0"/>
      <w:marTop w:val="0"/>
      <w:marBottom w:val="0"/>
      <w:divBdr>
        <w:top w:val="none" w:sz="0" w:space="0" w:color="auto"/>
        <w:left w:val="none" w:sz="0" w:space="0" w:color="auto"/>
        <w:bottom w:val="none" w:sz="0" w:space="0" w:color="auto"/>
        <w:right w:val="none" w:sz="0" w:space="0" w:color="auto"/>
      </w:divBdr>
    </w:div>
    <w:div w:id="1298148281">
      <w:bodyDiv w:val="1"/>
      <w:marLeft w:val="0"/>
      <w:marRight w:val="0"/>
      <w:marTop w:val="0"/>
      <w:marBottom w:val="0"/>
      <w:divBdr>
        <w:top w:val="none" w:sz="0" w:space="0" w:color="auto"/>
        <w:left w:val="none" w:sz="0" w:space="0" w:color="auto"/>
        <w:bottom w:val="none" w:sz="0" w:space="0" w:color="auto"/>
        <w:right w:val="none" w:sz="0" w:space="0" w:color="auto"/>
      </w:divBdr>
    </w:div>
    <w:div w:id="130092169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8243330">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548558">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16452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99893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2394729">
      <w:bodyDiv w:val="1"/>
      <w:marLeft w:val="0"/>
      <w:marRight w:val="0"/>
      <w:marTop w:val="0"/>
      <w:marBottom w:val="0"/>
      <w:divBdr>
        <w:top w:val="none" w:sz="0" w:space="0" w:color="auto"/>
        <w:left w:val="none" w:sz="0" w:space="0" w:color="auto"/>
        <w:bottom w:val="none" w:sz="0" w:space="0" w:color="auto"/>
        <w:right w:val="none" w:sz="0" w:space="0" w:color="auto"/>
      </w:divBdr>
    </w:div>
    <w:div w:id="13696493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007413">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650950">
      <w:bodyDiv w:val="1"/>
      <w:marLeft w:val="0"/>
      <w:marRight w:val="0"/>
      <w:marTop w:val="0"/>
      <w:marBottom w:val="0"/>
      <w:divBdr>
        <w:top w:val="none" w:sz="0" w:space="0" w:color="auto"/>
        <w:left w:val="none" w:sz="0" w:space="0" w:color="auto"/>
        <w:bottom w:val="none" w:sz="0" w:space="0" w:color="auto"/>
        <w:right w:val="none" w:sz="0" w:space="0" w:color="auto"/>
      </w:divBdr>
    </w:div>
    <w:div w:id="139461635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050735">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259203">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8578260">
      <w:bodyDiv w:val="1"/>
      <w:marLeft w:val="0"/>
      <w:marRight w:val="0"/>
      <w:marTop w:val="0"/>
      <w:marBottom w:val="0"/>
      <w:divBdr>
        <w:top w:val="none" w:sz="0" w:space="0" w:color="auto"/>
        <w:left w:val="none" w:sz="0" w:space="0" w:color="auto"/>
        <w:bottom w:val="none" w:sz="0" w:space="0" w:color="auto"/>
        <w:right w:val="none" w:sz="0" w:space="0" w:color="auto"/>
      </w:divBdr>
    </w:div>
    <w:div w:id="1408843704">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2897026">
      <w:bodyDiv w:val="1"/>
      <w:marLeft w:val="0"/>
      <w:marRight w:val="0"/>
      <w:marTop w:val="0"/>
      <w:marBottom w:val="0"/>
      <w:divBdr>
        <w:top w:val="none" w:sz="0" w:space="0" w:color="auto"/>
        <w:left w:val="none" w:sz="0" w:space="0" w:color="auto"/>
        <w:bottom w:val="none" w:sz="0" w:space="0" w:color="auto"/>
        <w:right w:val="none" w:sz="0" w:space="0" w:color="auto"/>
      </w:divBdr>
    </w:div>
    <w:div w:id="1415322084">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723629">
      <w:bodyDiv w:val="1"/>
      <w:marLeft w:val="0"/>
      <w:marRight w:val="0"/>
      <w:marTop w:val="0"/>
      <w:marBottom w:val="0"/>
      <w:divBdr>
        <w:top w:val="none" w:sz="0" w:space="0" w:color="auto"/>
        <w:left w:val="none" w:sz="0" w:space="0" w:color="auto"/>
        <w:bottom w:val="none" w:sz="0" w:space="0" w:color="auto"/>
        <w:right w:val="none" w:sz="0" w:space="0" w:color="auto"/>
      </w:divBdr>
    </w:div>
    <w:div w:id="1438132519">
      <w:bodyDiv w:val="1"/>
      <w:marLeft w:val="0"/>
      <w:marRight w:val="0"/>
      <w:marTop w:val="0"/>
      <w:marBottom w:val="0"/>
      <w:divBdr>
        <w:top w:val="none" w:sz="0" w:space="0" w:color="auto"/>
        <w:left w:val="none" w:sz="0" w:space="0" w:color="auto"/>
        <w:bottom w:val="none" w:sz="0" w:space="0" w:color="auto"/>
        <w:right w:val="none" w:sz="0" w:space="0" w:color="auto"/>
      </w:divBdr>
    </w:div>
    <w:div w:id="14387125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3692701">
      <w:bodyDiv w:val="1"/>
      <w:marLeft w:val="0"/>
      <w:marRight w:val="0"/>
      <w:marTop w:val="0"/>
      <w:marBottom w:val="0"/>
      <w:divBdr>
        <w:top w:val="none" w:sz="0" w:space="0" w:color="auto"/>
        <w:left w:val="none" w:sz="0" w:space="0" w:color="auto"/>
        <w:bottom w:val="none" w:sz="0" w:space="0" w:color="auto"/>
        <w:right w:val="none" w:sz="0" w:space="0" w:color="auto"/>
      </w:divBdr>
    </w:div>
    <w:div w:id="1444690954">
      <w:bodyDiv w:val="1"/>
      <w:marLeft w:val="0"/>
      <w:marRight w:val="0"/>
      <w:marTop w:val="0"/>
      <w:marBottom w:val="0"/>
      <w:divBdr>
        <w:top w:val="none" w:sz="0" w:space="0" w:color="auto"/>
        <w:left w:val="none" w:sz="0" w:space="0" w:color="auto"/>
        <w:bottom w:val="none" w:sz="0" w:space="0" w:color="auto"/>
        <w:right w:val="none" w:sz="0" w:space="0" w:color="auto"/>
      </w:divBdr>
    </w:div>
    <w:div w:id="1448083589">
      <w:bodyDiv w:val="1"/>
      <w:marLeft w:val="0"/>
      <w:marRight w:val="0"/>
      <w:marTop w:val="0"/>
      <w:marBottom w:val="0"/>
      <w:divBdr>
        <w:top w:val="none" w:sz="0" w:space="0" w:color="auto"/>
        <w:left w:val="none" w:sz="0" w:space="0" w:color="auto"/>
        <w:bottom w:val="none" w:sz="0" w:space="0" w:color="auto"/>
        <w:right w:val="none" w:sz="0" w:space="0" w:color="auto"/>
      </w:divBdr>
    </w:div>
    <w:div w:id="1449004982">
      <w:bodyDiv w:val="1"/>
      <w:marLeft w:val="0"/>
      <w:marRight w:val="0"/>
      <w:marTop w:val="0"/>
      <w:marBottom w:val="0"/>
      <w:divBdr>
        <w:top w:val="none" w:sz="0" w:space="0" w:color="auto"/>
        <w:left w:val="none" w:sz="0" w:space="0" w:color="auto"/>
        <w:bottom w:val="none" w:sz="0" w:space="0" w:color="auto"/>
        <w:right w:val="none" w:sz="0" w:space="0" w:color="auto"/>
      </w:divBdr>
    </w:div>
    <w:div w:id="144954352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825004">
      <w:bodyDiv w:val="1"/>
      <w:marLeft w:val="0"/>
      <w:marRight w:val="0"/>
      <w:marTop w:val="0"/>
      <w:marBottom w:val="0"/>
      <w:divBdr>
        <w:top w:val="none" w:sz="0" w:space="0" w:color="auto"/>
        <w:left w:val="none" w:sz="0" w:space="0" w:color="auto"/>
        <w:bottom w:val="none" w:sz="0" w:space="0" w:color="auto"/>
        <w:right w:val="none" w:sz="0" w:space="0" w:color="auto"/>
      </w:divBdr>
    </w:div>
    <w:div w:id="1452430938">
      <w:bodyDiv w:val="1"/>
      <w:marLeft w:val="0"/>
      <w:marRight w:val="0"/>
      <w:marTop w:val="0"/>
      <w:marBottom w:val="0"/>
      <w:divBdr>
        <w:top w:val="none" w:sz="0" w:space="0" w:color="auto"/>
        <w:left w:val="none" w:sz="0" w:space="0" w:color="auto"/>
        <w:bottom w:val="none" w:sz="0" w:space="0" w:color="auto"/>
        <w:right w:val="none" w:sz="0" w:space="0" w:color="auto"/>
      </w:divBdr>
    </w:div>
    <w:div w:id="145274247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31938">
      <w:bodyDiv w:val="1"/>
      <w:marLeft w:val="0"/>
      <w:marRight w:val="0"/>
      <w:marTop w:val="0"/>
      <w:marBottom w:val="0"/>
      <w:divBdr>
        <w:top w:val="none" w:sz="0" w:space="0" w:color="auto"/>
        <w:left w:val="none" w:sz="0" w:space="0" w:color="auto"/>
        <w:bottom w:val="none" w:sz="0" w:space="0" w:color="auto"/>
        <w:right w:val="none" w:sz="0" w:space="0" w:color="auto"/>
      </w:divBdr>
    </w:div>
    <w:div w:id="1459296722">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953350">
      <w:bodyDiv w:val="1"/>
      <w:marLeft w:val="0"/>
      <w:marRight w:val="0"/>
      <w:marTop w:val="0"/>
      <w:marBottom w:val="0"/>
      <w:divBdr>
        <w:top w:val="none" w:sz="0" w:space="0" w:color="auto"/>
        <w:left w:val="none" w:sz="0" w:space="0" w:color="auto"/>
        <w:bottom w:val="none" w:sz="0" w:space="0" w:color="auto"/>
        <w:right w:val="none" w:sz="0" w:space="0" w:color="auto"/>
      </w:divBdr>
    </w:div>
    <w:div w:id="148026339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8672325">
      <w:bodyDiv w:val="1"/>
      <w:marLeft w:val="0"/>
      <w:marRight w:val="0"/>
      <w:marTop w:val="0"/>
      <w:marBottom w:val="0"/>
      <w:divBdr>
        <w:top w:val="none" w:sz="0" w:space="0" w:color="auto"/>
        <w:left w:val="none" w:sz="0" w:space="0" w:color="auto"/>
        <w:bottom w:val="none" w:sz="0" w:space="0" w:color="auto"/>
        <w:right w:val="none" w:sz="0" w:space="0" w:color="auto"/>
      </w:divBdr>
    </w:div>
    <w:div w:id="1491747037">
      <w:bodyDiv w:val="1"/>
      <w:marLeft w:val="0"/>
      <w:marRight w:val="0"/>
      <w:marTop w:val="0"/>
      <w:marBottom w:val="0"/>
      <w:divBdr>
        <w:top w:val="none" w:sz="0" w:space="0" w:color="auto"/>
        <w:left w:val="none" w:sz="0" w:space="0" w:color="auto"/>
        <w:bottom w:val="none" w:sz="0" w:space="0" w:color="auto"/>
        <w:right w:val="none" w:sz="0" w:space="0" w:color="auto"/>
      </w:divBdr>
    </w:div>
    <w:div w:id="1492481096">
      <w:bodyDiv w:val="1"/>
      <w:marLeft w:val="0"/>
      <w:marRight w:val="0"/>
      <w:marTop w:val="0"/>
      <w:marBottom w:val="0"/>
      <w:divBdr>
        <w:top w:val="none" w:sz="0" w:space="0" w:color="auto"/>
        <w:left w:val="none" w:sz="0" w:space="0" w:color="auto"/>
        <w:bottom w:val="none" w:sz="0" w:space="0" w:color="auto"/>
        <w:right w:val="none" w:sz="0" w:space="0" w:color="auto"/>
      </w:divBdr>
    </w:div>
    <w:div w:id="1497067956">
      <w:bodyDiv w:val="1"/>
      <w:marLeft w:val="0"/>
      <w:marRight w:val="0"/>
      <w:marTop w:val="0"/>
      <w:marBottom w:val="0"/>
      <w:divBdr>
        <w:top w:val="none" w:sz="0" w:space="0" w:color="auto"/>
        <w:left w:val="none" w:sz="0" w:space="0" w:color="auto"/>
        <w:bottom w:val="none" w:sz="0" w:space="0" w:color="auto"/>
        <w:right w:val="none" w:sz="0" w:space="0" w:color="auto"/>
      </w:divBdr>
    </w:div>
    <w:div w:id="1498031464">
      <w:bodyDiv w:val="1"/>
      <w:marLeft w:val="0"/>
      <w:marRight w:val="0"/>
      <w:marTop w:val="0"/>
      <w:marBottom w:val="0"/>
      <w:divBdr>
        <w:top w:val="none" w:sz="0" w:space="0" w:color="auto"/>
        <w:left w:val="none" w:sz="0" w:space="0" w:color="auto"/>
        <w:bottom w:val="none" w:sz="0" w:space="0" w:color="auto"/>
        <w:right w:val="none" w:sz="0" w:space="0" w:color="auto"/>
      </w:divBdr>
    </w:div>
    <w:div w:id="150058578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017664">
      <w:bodyDiv w:val="1"/>
      <w:marLeft w:val="0"/>
      <w:marRight w:val="0"/>
      <w:marTop w:val="0"/>
      <w:marBottom w:val="0"/>
      <w:divBdr>
        <w:top w:val="none" w:sz="0" w:space="0" w:color="auto"/>
        <w:left w:val="none" w:sz="0" w:space="0" w:color="auto"/>
        <w:bottom w:val="none" w:sz="0" w:space="0" w:color="auto"/>
        <w:right w:val="none" w:sz="0" w:space="0" w:color="auto"/>
      </w:divBdr>
    </w:div>
    <w:div w:id="1510440263">
      <w:bodyDiv w:val="1"/>
      <w:marLeft w:val="0"/>
      <w:marRight w:val="0"/>
      <w:marTop w:val="0"/>
      <w:marBottom w:val="0"/>
      <w:divBdr>
        <w:top w:val="none" w:sz="0" w:space="0" w:color="auto"/>
        <w:left w:val="none" w:sz="0" w:space="0" w:color="auto"/>
        <w:bottom w:val="none" w:sz="0" w:space="0" w:color="auto"/>
        <w:right w:val="none" w:sz="0" w:space="0" w:color="auto"/>
      </w:divBdr>
    </w:div>
    <w:div w:id="1511674405">
      <w:bodyDiv w:val="1"/>
      <w:marLeft w:val="0"/>
      <w:marRight w:val="0"/>
      <w:marTop w:val="0"/>
      <w:marBottom w:val="0"/>
      <w:divBdr>
        <w:top w:val="none" w:sz="0" w:space="0" w:color="auto"/>
        <w:left w:val="none" w:sz="0" w:space="0" w:color="auto"/>
        <w:bottom w:val="none" w:sz="0" w:space="0" w:color="auto"/>
        <w:right w:val="none" w:sz="0" w:space="0" w:color="auto"/>
      </w:divBdr>
    </w:div>
    <w:div w:id="1511867087">
      <w:bodyDiv w:val="1"/>
      <w:marLeft w:val="0"/>
      <w:marRight w:val="0"/>
      <w:marTop w:val="0"/>
      <w:marBottom w:val="0"/>
      <w:divBdr>
        <w:top w:val="none" w:sz="0" w:space="0" w:color="auto"/>
        <w:left w:val="none" w:sz="0" w:space="0" w:color="auto"/>
        <w:bottom w:val="none" w:sz="0" w:space="0" w:color="auto"/>
        <w:right w:val="none" w:sz="0" w:space="0" w:color="auto"/>
      </w:divBdr>
    </w:div>
    <w:div w:id="1513296060">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3360">
      <w:bodyDiv w:val="1"/>
      <w:marLeft w:val="0"/>
      <w:marRight w:val="0"/>
      <w:marTop w:val="0"/>
      <w:marBottom w:val="0"/>
      <w:divBdr>
        <w:top w:val="none" w:sz="0" w:space="0" w:color="auto"/>
        <w:left w:val="none" w:sz="0" w:space="0" w:color="auto"/>
        <w:bottom w:val="none" w:sz="0" w:space="0" w:color="auto"/>
        <w:right w:val="none" w:sz="0" w:space="0" w:color="auto"/>
      </w:divBdr>
    </w:div>
    <w:div w:id="1520512074">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223851">
      <w:bodyDiv w:val="1"/>
      <w:marLeft w:val="0"/>
      <w:marRight w:val="0"/>
      <w:marTop w:val="0"/>
      <w:marBottom w:val="0"/>
      <w:divBdr>
        <w:top w:val="none" w:sz="0" w:space="0" w:color="auto"/>
        <w:left w:val="none" w:sz="0" w:space="0" w:color="auto"/>
        <w:bottom w:val="none" w:sz="0" w:space="0" w:color="auto"/>
        <w:right w:val="none" w:sz="0" w:space="0" w:color="auto"/>
      </w:divBdr>
    </w:div>
    <w:div w:id="153461568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4755553">
      <w:bodyDiv w:val="1"/>
      <w:marLeft w:val="0"/>
      <w:marRight w:val="0"/>
      <w:marTop w:val="0"/>
      <w:marBottom w:val="0"/>
      <w:divBdr>
        <w:top w:val="none" w:sz="0" w:space="0" w:color="auto"/>
        <w:left w:val="none" w:sz="0" w:space="0" w:color="auto"/>
        <w:bottom w:val="none" w:sz="0" w:space="0" w:color="auto"/>
        <w:right w:val="none" w:sz="0" w:space="0" w:color="auto"/>
      </w:divBdr>
    </w:div>
    <w:div w:id="1546479556">
      <w:bodyDiv w:val="1"/>
      <w:marLeft w:val="0"/>
      <w:marRight w:val="0"/>
      <w:marTop w:val="0"/>
      <w:marBottom w:val="0"/>
      <w:divBdr>
        <w:top w:val="none" w:sz="0" w:space="0" w:color="auto"/>
        <w:left w:val="none" w:sz="0" w:space="0" w:color="auto"/>
        <w:bottom w:val="none" w:sz="0" w:space="0" w:color="auto"/>
        <w:right w:val="none" w:sz="0" w:space="0" w:color="auto"/>
      </w:divBdr>
    </w:div>
    <w:div w:id="154764639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1263731">
      <w:bodyDiv w:val="1"/>
      <w:marLeft w:val="0"/>
      <w:marRight w:val="0"/>
      <w:marTop w:val="0"/>
      <w:marBottom w:val="0"/>
      <w:divBdr>
        <w:top w:val="none" w:sz="0" w:space="0" w:color="auto"/>
        <w:left w:val="none" w:sz="0" w:space="0" w:color="auto"/>
        <w:bottom w:val="none" w:sz="0" w:space="0" w:color="auto"/>
        <w:right w:val="none" w:sz="0" w:space="0" w:color="auto"/>
      </w:divBdr>
    </w:div>
    <w:div w:id="1553955981">
      <w:bodyDiv w:val="1"/>
      <w:marLeft w:val="0"/>
      <w:marRight w:val="0"/>
      <w:marTop w:val="0"/>
      <w:marBottom w:val="0"/>
      <w:divBdr>
        <w:top w:val="none" w:sz="0" w:space="0" w:color="auto"/>
        <w:left w:val="none" w:sz="0" w:space="0" w:color="auto"/>
        <w:bottom w:val="none" w:sz="0" w:space="0" w:color="auto"/>
        <w:right w:val="none" w:sz="0" w:space="0" w:color="auto"/>
      </w:divBdr>
    </w:div>
    <w:div w:id="1558735795">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146298">
      <w:bodyDiv w:val="1"/>
      <w:marLeft w:val="0"/>
      <w:marRight w:val="0"/>
      <w:marTop w:val="0"/>
      <w:marBottom w:val="0"/>
      <w:divBdr>
        <w:top w:val="none" w:sz="0" w:space="0" w:color="auto"/>
        <w:left w:val="none" w:sz="0" w:space="0" w:color="auto"/>
        <w:bottom w:val="none" w:sz="0" w:space="0" w:color="auto"/>
        <w:right w:val="none" w:sz="0" w:space="0" w:color="auto"/>
      </w:divBdr>
    </w:div>
    <w:div w:id="1569263640">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0843441">
      <w:bodyDiv w:val="1"/>
      <w:marLeft w:val="0"/>
      <w:marRight w:val="0"/>
      <w:marTop w:val="0"/>
      <w:marBottom w:val="0"/>
      <w:divBdr>
        <w:top w:val="none" w:sz="0" w:space="0" w:color="auto"/>
        <w:left w:val="none" w:sz="0" w:space="0" w:color="auto"/>
        <w:bottom w:val="none" w:sz="0" w:space="0" w:color="auto"/>
        <w:right w:val="none" w:sz="0" w:space="0" w:color="auto"/>
      </w:divBdr>
    </w:div>
    <w:div w:id="1572426325">
      <w:bodyDiv w:val="1"/>
      <w:marLeft w:val="0"/>
      <w:marRight w:val="0"/>
      <w:marTop w:val="0"/>
      <w:marBottom w:val="0"/>
      <w:divBdr>
        <w:top w:val="none" w:sz="0" w:space="0" w:color="auto"/>
        <w:left w:val="none" w:sz="0" w:space="0" w:color="auto"/>
        <w:bottom w:val="none" w:sz="0" w:space="0" w:color="auto"/>
        <w:right w:val="none" w:sz="0" w:space="0" w:color="auto"/>
      </w:divBdr>
    </w:div>
    <w:div w:id="1573465700">
      <w:bodyDiv w:val="1"/>
      <w:marLeft w:val="0"/>
      <w:marRight w:val="0"/>
      <w:marTop w:val="0"/>
      <w:marBottom w:val="0"/>
      <w:divBdr>
        <w:top w:val="none" w:sz="0" w:space="0" w:color="auto"/>
        <w:left w:val="none" w:sz="0" w:space="0" w:color="auto"/>
        <w:bottom w:val="none" w:sz="0" w:space="0" w:color="auto"/>
        <w:right w:val="none" w:sz="0" w:space="0" w:color="auto"/>
      </w:divBdr>
    </w:div>
    <w:div w:id="1574467817">
      <w:bodyDiv w:val="1"/>
      <w:marLeft w:val="0"/>
      <w:marRight w:val="0"/>
      <w:marTop w:val="0"/>
      <w:marBottom w:val="0"/>
      <w:divBdr>
        <w:top w:val="none" w:sz="0" w:space="0" w:color="auto"/>
        <w:left w:val="none" w:sz="0" w:space="0" w:color="auto"/>
        <w:bottom w:val="none" w:sz="0" w:space="0" w:color="auto"/>
        <w:right w:val="none" w:sz="0" w:space="0" w:color="auto"/>
      </w:divBdr>
    </w:div>
    <w:div w:id="157666522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37192">
      <w:bodyDiv w:val="1"/>
      <w:marLeft w:val="0"/>
      <w:marRight w:val="0"/>
      <w:marTop w:val="0"/>
      <w:marBottom w:val="0"/>
      <w:divBdr>
        <w:top w:val="none" w:sz="0" w:space="0" w:color="auto"/>
        <w:left w:val="none" w:sz="0" w:space="0" w:color="auto"/>
        <w:bottom w:val="none" w:sz="0" w:space="0" w:color="auto"/>
        <w:right w:val="none" w:sz="0" w:space="0" w:color="auto"/>
      </w:divBdr>
    </w:div>
    <w:div w:id="1585919199">
      <w:bodyDiv w:val="1"/>
      <w:marLeft w:val="0"/>
      <w:marRight w:val="0"/>
      <w:marTop w:val="0"/>
      <w:marBottom w:val="0"/>
      <w:divBdr>
        <w:top w:val="none" w:sz="0" w:space="0" w:color="auto"/>
        <w:left w:val="none" w:sz="0" w:space="0" w:color="auto"/>
        <w:bottom w:val="none" w:sz="0" w:space="0" w:color="auto"/>
        <w:right w:val="none" w:sz="0" w:space="0" w:color="auto"/>
      </w:divBdr>
    </w:div>
    <w:div w:id="158965360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350715">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372366">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16055">
      <w:bodyDiv w:val="1"/>
      <w:marLeft w:val="0"/>
      <w:marRight w:val="0"/>
      <w:marTop w:val="0"/>
      <w:marBottom w:val="0"/>
      <w:divBdr>
        <w:top w:val="none" w:sz="0" w:space="0" w:color="auto"/>
        <w:left w:val="none" w:sz="0" w:space="0" w:color="auto"/>
        <w:bottom w:val="none" w:sz="0" w:space="0" w:color="auto"/>
        <w:right w:val="none" w:sz="0" w:space="0" w:color="auto"/>
      </w:divBdr>
    </w:div>
    <w:div w:id="1607957662">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61948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67368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1328154">
      <w:bodyDiv w:val="1"/>
      <w:marLeft w:val="0"/>
      <w:marRight w:val="0"/>
      <w:marTop w:val="0"/>
      <w:marBottom w:val="0"/>
      <w:divBdr>
        <w:top w:val="none" w:sz="0" w:space="0" w:color="auto"/>
        <w:left w:val="none" w:sz="0" w:space="0" w:color="auto"/>
        <w:bottom w:val="none" w:sz="0" w:space="0" w:color="auto"/>
        <w:right w:val="none" w:sz="0" w:space="0" w:color="auto"/>
      </w:divBdr>
    </w:div>
    <w:div w:id="1655719479">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3583862">
      <w:bodyDiv w:val="1"/>
      <w:marLeft w:val="0"/>
      <w:marRight w:val="0"/>
      <w:marTop w:val="0"/>
      <w:marBottom w:val="0"/>
      <w:divBdr>
        <w:top w:val="none" w:sz="0" w:space="0" w:color="auto"/>
        <w:left w:val="none" w:sz="0" w:space="0" w:color="auto"/>
        <w:bottom w:val="none" w:sz="0" w:space="0" w:color="auto"/>
        <w:right w:val="none" w:sz="0" w:space="0" w:color="auto"/>
      </w:divBdr>
    </w:div>
    <w:div w:id="1664043353">
      <w:bodyDiv w:val="1"/>
      <w:marLeft w:val="0"/>
      <w:marRight w:val="0"/>
      <w:marTop w:val="0"/>
      <w:marBottom w:val="0"/>
      <w:divBdr>
        <w:top w:val="none" w:sz="0" w:space="0" w:color="auto"/>
        <w:left w:val="none" w:sz="0" w:space="0" w:color="auto"/>
        <w:bottom w:val="none" w:sz="0" w:space="0" w:color="auto"/>
        <w:right w:val="none" w:sz="0" w:space="0" w:color="auto"/>
      </w:divBdr>
    </w:div>
    <w:div w:id="1666282048">
      <w:bodyDiv w:val="1"/>
      <w:marLeft w:val="0"/>
      <w:marRight w:val="0"/>
      <w:marTop w:val="0"/>
      <w:marBottom w:val="0"/>
      <w:divBdr>
        <w:top w:val="none" w:sz="0" w:space="0" w:color="auto"/>
        <w:left w:val="none" w:sz="0" w:space="0" w:color="auto"/>
        <w:bottom w:val="none" w:sz="0" w:space="0" w:color="auto"/>
        <w:right w:val="none" w:sz="0" w:space="0" w:color="auto"/>
      </w:divBdr>
    </w:div>
    <w:div w:id="1666786435">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3971019">
      <w:bodyDiv w:val="1"/>
      <w:marLeft w:val="0"/>
      <w:marRight w:val="0"/>
      <w:marTop w:val="0"/>
      <w:marBottom w:val="0"/>
      <w:divBdr>
        <w:top w:val="none" w:sz="0" w:space="0" w:color="auto"/>
        <w:left w:val="none" w:sz="0" w:space="0" w:color="auto"/>
        <w:bottom w:val="none" w:sz="0" w:space="0" w:color="auto"/>
        <w:right w:val="none" w:sz="0" w:space="0" w:color="auto"/>
      </w:divBdr>
    </w:div>
    <w:div w:id="1684209895">
      <w:bodyDiv w:val="1"/>
      <w:marLeft w:val="0"/>
      <w:marRight w:val="0"/>
      <w:marTop w:val="0"/>
      <w:marBottom w:val="0"/>
      <w:divBdr>
        <w:top w:val="none" w:sz="0" w:space="0" w:color="auto"/>
        <w:left w:val="none" w:sz="0" w:space="0" w:color="auto"/>
        <w:bottom w:val="none" w:sz="0" w:space="0" w:color="auto"/>
        <w:right w:val="none" w:sz="0" w:space="0" w:color="auto"/>
      </w:divBdr>
    </w:div>
    <w:div w:id="169149510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53513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502446">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8606914">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10235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7947847">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168711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5547666">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8475745">
      <w:bodyDiv w:val="1"/>
      <w:marLeft w:val="0"/>
      <w:marRight w:val="0"/>
      <w:marTop w:val="0"/>
      <w:marBottom w:val="0"/>
      <w:divBdr>
        <w:top w:val="none" w:sz="0" w:space="0" w:color="auto"/>
        <w:left w:val="none" w:sz="0" w:space="0" w:color="auto"/>
        <w:bottom w:val="none" w:sz="0" w:space="0" w:color="auto"/>
        <w:right w:val="none" w:sz="0" w:space="0" w:color="auto"/>
      </w:divBdr>
    </w:div>
    <w:div w:id="1759710630">
      <w:bodyDiv w:val="1"/>
      <w:marLeft w:val="0"/>
      <w:marRight w:val="0"/>
      <w:marTop w:val="0"/>
      <w:marBottom w:val="0"/>
      <w:divBdr>
        <w:top w:val="none" w:sz="0" w:space="0" w:color="auto"/>
        <w:left w:val="none" w:sz="0" w:space="0" w:color="auto"/>
        <w:bottom w:val="none" w:sz="0" w:space="0" w:color="auto"/>
        <w:right w:val="none" w:sz="0" w:space="0" w:color="auto"/>
      </w:divBdr>
    </w:div>
    <w:div w:id="176733787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1470216">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950144">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301506">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046507">
      <w:bodyDiv w:val="1"/>
      <w:marLeft w:val="0"/>
      <w:marRight w:val="0"/>
      <w:marTop w:val="0"/>
      <w:marBottom w:val="0"/>
      <w:divBdr>
        <w:top w:val="none" w:sz="0" w:space="0" w:color="auto"/>
        <w:left w:val="none" w:sz="0" w:space="0" w:color="auto"/>
        <w:bottom w:val="none" w:sz="0" w:space="0" w:color="auto"/>
        <w:right w:val="none" w:sz="0" w:space="0" w:color="auto"/>
      </w:divBdr>
    </w:div>
    <w:div w:id="179420828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2672858">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138919">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867074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021237">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362543">
      <w:bodyDiv w:val="1"/>
      <w:marLeft w:val="0"/>
      <w:marRight w:val="0"/>
      <w:marTop w:val="0"/>
      <w:marBottom w:val="0"/>
      <w:divBdr>
        <w:top w:val="none" w:sz="0" w:space="0" w:color="auto"/>
        <w:left w:val="none" w:sz="0" w:space="0" w:color="auto"/>
        <w:bottom w:val="none" w:sz="0" w:space="0" w:color="auto"/>
        <w:right w:val="none" w:sz="0" w:space="0" w:color="auto"/>
      </w:divBdr>
    </w:div>
    <w:div w:id="18696413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041485">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22908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899365783">
      <w:bodyDiv w:val="1"/>
      <w:marLeft w:val="0"/>
      <w:marRight w:val="0"/>
      <w:marTop w:val="0"/>
      <w:marBottom w:val="0"/>
      <w:divBdr>
        <w:top w:val="none" w:sz="0" w:space="0" w:color="auto"/>
        <w:left w:val="none" w:sz="0" w:space="0" w:color="auto"/>
        <w:bottom w:val="none" w:sz="0" w:space="0" w:color="auto"/>
        <w:right w:val="none" w:sz="0" w:space="0" w:color="auto"/>
      </w:divBdr>
    </w:div>
    <w:div w:id="189978052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090141">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8780062">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294017">
      <w:bodyDiv w:val="1"/>
      <w:marLeft w:val="0"/>
      <w:marRight w:val="0"/>
      <w:marTop w:val="0"/>
      <w:marBottom w:val="0"/>
      <w:divBdr>
        <w:top w:val="none" w:sz="0" w:space="0" w:color="auto"/>
        <w:left w:val="none" w:sz="0" w:space="0" w:color="auto"/>
        <w:bottom w:val="none" w:sz="0" w:space="0" w:color="auto"/>
        <w:right w:val="none" w:sz="0" w:space="0" w:color="auto"/>
      </w:divBdr>
    </w:div>
    <w:div w:id="192572589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4630">
      <w:bodyDiv w:val="1"/>
      <w:marLeft w:val="0"/>
      <w:marRight w:val="0"/>
      <w:marTop w:val="0"/>
      <w:marBottom w:val="0"/>
      <w:divBdr>
        <w:top w:val="none" w:sz="0" w:space="0" w:color="auto"/>
        <w:left w:val="none" w:sz="0" w:space="0" w:color="auto"/>
        <w:bottom w:val="none" w:sz="0" w:space="0" w:color="auto"/>
        <w:right w:val="none" w:sz="0" w:space="0" w:color="auto"/>
      </w:divBdr>
    </w:div>
    <w:div w:id="1928921937">
      <w:bodyDiv w:val="1"/>
      <w:marLeft w:val="0"/>
      <w:marRight w:val="0"/>
      <w:marTop w:val="0"/>
      <w:marBottom w:val="0"/>
      <w:divBdr>
        <w:top w:val="none" w:sz="0" w:space="0" w:color="auto"/>
        <w:left w:val="none" w:sz="0" w:space="0" w:color="auto"/>
        <w:bottom w:val="none" w:sz="0" w:space="0" w:color="auto"/>
        <w:right w:val="none" w:sz="0" w:space="0" w:color="auto"/>
      </w:divBdr>
    </w:div>
    <w:div w:id="1933395102">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39095071">
      <w:bodyDiv w:val="1"/>
      <w:marLeft w:val="0"/>
      <w:marRight w:val="0"/>
      <w:marTop w:val="0"/>
      <w:marBottom w:val="0"/>
      <w:divBdr>
        <w:top w:val="none" w:sz="0" w:space="0" w:color="auto"/>
        <w:left w:val="none" w:sz="0" w:space="0" w:color="auto"/>
        <w:bottom w:val="none" w:sz="0" w:space="0" w:color="auto"/>
        <w:right w:val="none" w:sz="0" w:space="0" w:color="auto"/>
      </w:divBdr>
    </w:div>
    <w:div w:id="1942301517">
      <w:bodyDiv w:val="1"/>
      <w:marLeft w:val="0"/>
      <w:marRight w:val="0"/>
      <w:marTop w:val="0"/>
      <w:marBottom w:val="0"/>
      <w:divBdr>
        <w:top w:val="none" w:sz="0" w:space="0" w:color="auto"/>
        <w:left w:val="none" w:sz="0" w:space="0" w:color="auto"/>
        <w:bottom w:val="none" w:sz="0" w:space="0" w:color="auto"/>
        <w:right w:val="none" w:sz="0" w:space="0" w:color="auto"/>
      </w:divBdr>
    </w:div>
    <w:div w:id="1943997891">
      <w:bodyDiv w:val="1"/>
      <w:marLeft w:val="0"/>
      <w:marRight w:val="0"/>
      <w:marTop w:val="0"/>
      <w:marBottom w:val="0"/>
      <w:divBdr>
        <w:top w:val="none" w:sz="0" w:space="0" w:color="auto"/>
        <w:left w:val="none" w:sz="0" w:space="0" w:color="auto"/>
        <w:bottom w:val="none" w:sz="0" w:space="0" w:color="auto"/>
        <w:right w:val="none" w:sz="0" w:space="0" w:color="auto"/>
      </w:divBdr>
    </w:div>
    <w:div w:id="1953130987">
      <w:bodyDiv w:val="1"/>
      <w:marLeft w:val="0"/>
      <w:marRight w:val="0"/>
      <w:marTop w:val="0"/>
      <w:marBottom w:val="0"/>
      <w:divBdr>
        <w:top w:val="none" w:sz="0" w:space="0" w:color="auto"/>
        <w:left w:val="none" w:sz="0" w:space="0" w:color="auto"/>
        <w:bottom w:val="none" w:sz="0" w:space="0" w:color="auto"/>
        <w:right w:val="none" w:sz="0" w:space="0" w:color="auto"/>
      </w:divBdr>
    </w:div>
    <w:div w:id="1954357193">
      <w:bodyDiv w:val="1"/>
      <w:marLeft w:val="0"/>
      <w:marRight w:val="0"/>
      <w:marTop w:val="0"/>
      <w:marBottom w:val="0"/>
      <w:divBdr>
        <w:top w:val="none" w:sz="0" w:space="0" w:color="auto"/>
        <w:left w:val="none" w:sz="0" w:space="0" w:color="auto"/>
        <w:bottom w:val="none" w:sz="0" w:space="0" w:color="auto"/>
        <w:right w:val="none" w:sz="0" w:space="0" w:color="auto"/>
      </w:divBdr>
    </w:div>
    <w:div w:id="1954558811">
      <w:bodyDiv w:val="1"/>
      <w:marLeft w:val="0"/>
      <w:marRight w:val="0"/>
      <w:marTop w:val="0"/>
      <w:marBottom w:val="0"/>
      <w:divBdr>
        <w:top w:val="none" w:sz="0" w:space="0" w:color="auto"/>
        <w:left w:val="none" w:sz="0" w:space="0" w:color="auto"/>
        <w:bottom w:val="none" w:sz="0" w:space="0" w:color="auto"/>
        <w:right w:val="none" w:sz="0" w:space="0" w:color="auto"/>
      </w:divBdr>
    </w:div>
    <w:div w:id="1955137273">
      <w:bodyDiv w:val="1"/>
      <w:marLeft w:val="0"/>
      <w:marRight w:val="0"/>
      <w:marTop w:val="0"/>
      <w:marBottom w:val="0"/>
      <w:divBdr>
        <w:top w:val="none" w:sz="0" w:space="0" w:color="auto"/>
        <w:left w:val="none" w:sz="0" w:space="0" w:color="auto"/>
        <w:bottom w:val="none" w:sz="0" w:space="0" w:color="auto"/>
        <w:right w:val="none" w:sz="0" w:space="0" w:color="auto"/>
      </w:divBdr>
    </w:div>
    <w:div w:id="1956249833">
      <w:bodyDiv w:val="1"/>
      <w:marLeft w:val="0"/>
      <w:marRight w:val="0"/>
      <w:marTop w:val="0"/>
      <w:marBottom w:val="0"/>
      <w:divBdr>
        <w:top w:val="none" w:sz="0" w:space="0" w:color="auto"/>
        <w:left w:val="none" w:sz="0" w:space="0" w:color="auto"/>
        <w:bottom w:val="none" w:sz="0" w:space="0" w:color="auto"/>
        <w:right w:val="none" w:sz="0" w:space="0" w:color="auto"/>
      </w:divBdr>
    </w:div>
    <w:div w:id="1957323318">
      <w:bodyDiv w:val="1"/>
      <w:marLeft w:val="0"/>
      <w:marRight w:val="0"/>
      <w:marTop w:val="0"/>
      <w:marBottom w:val="0"/>
      <w:divBdr>
        <w:top w:val="none" w:sz="0" w:space="0" w:color="auto"/>
        <w:left w:val="none" w:sz="0" w:space="0" w:color="auto"/>
        <w:bottom w:val="none" w:sz="0" w:space="0" w:color="auto"/>
        <w:right w:val="none" w:sz="0" w:space="0" w:color="auto"/>
      </w:divBdr>
    </w:div>
    <w:div w:id="1968274491">
      <w:bodyDiv w:val="1"/>
      <w:marLeft w:val="0"/>
      <w:marRight w:val="0"/>
      <w:marTop w:val="0"/>
      <w:marBottom w:val="0"/>
      <w:divBdr>
        <w:top w:val="none" w:sz="0" w:space="0" w:color="auto"/>
        <w:left w:val="none" w:sz="0" w:space="0" w:color="auto"/>
        <w:bottom w:val="none" w:sz="0" w:space="0" w:color="auto"/>
        <w:right w:val="none" w:sz="0" w:space="0" w:color="auto"/>
      </w:divBdr>
    </w:div>
    <w:div w:id="1968507989">
      <w:bodyDiv w:val="1"/>
      <w:marLeft w:val="0"/>
      <w:marRight w:val="0"/>
      <w:marTop w:val="0"/>
      <w:marBottom w:val="0"/>
      <w:divBdr>
        <w:top w:val="none" w:sz="0" w:space="0" w:color="auto"/>
        <w:left w:val="none" w:sz="0" w:space="0" w:color="auto"/>
        <w:bottom w:val="none" w:sz="0" w:space="0" w:color="auto"/>
        <w:right w:val="none" w:sz="0" w:space="0" w:color="auto"/>
      </w:divBdr>
    </w:div>
    <w:div w:id="197304860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7251675">
      <w:bodyDiv w:val="1"/>
      <w:marLeft w:val="0"/>
      <w:marRight w:val="0"/>
      <w:marTop w:val="0"/>
      <w:marBottom w:val="0"/>
      <w:divBdr>
        <w:top w:val="none" w:sz="0" w:space="0" w:color="auto"/>
        <w:left w:val="none" w:sz="0" w:space="0" w:color="auto"/>
        <w:bottom w:val="none" w:sz="0" w:space="0" w:color="auto"/>
        <w:right w:val="none" w:sz="0" w:space="0" w:color="auto"/>
      </w:divBdr>
    </w:div>
    <w:div w:id="1977375915">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4239223">
      <w:bodyDiv w:val="1"/>
      <w:marLeft w:val="0"/>
      <w:marRight w:val="0"/>
      <w:marTop w:val="0"/>
      <w:marBottom w:val="0"/>
      <w:divBdr>
        <w:top w:val="none" w:sz="0" w:space="0" w:color="auto"/>
        <w:left w:val="none" w:sz="0" w:space="0" w:color="auto"/>
        <w:bottom w:val="none" w:sz="0" w:space="0" w:color="auto"/>
        <w:right w:val="none" w:sz="0" w:space="0" w:color="auto"/>
      </w:divBdr>
    </w:div>
    <w:div w:id="198535567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6717458">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678376">
      <w:bodyDiv w:val="1"/>
      <w:marLeft w:val="0"/>
      <w:marRight w:val="0"/>
      <w:marTop w:val="0"/>
      <w:marBottom w:val="0"/>
      <w:divBdr>
        <w:top w:val="none" w:sz="0" w:space="0" w:color="auto"/>
        <w:left w:val="none" w:sz="0" w:space="0" w:color="auto"/>
        <w:bottom w:val="none" w:sz="0" w:space="0" w:color="auto"/>
        <w:right w:val="none" w:sz="0" w:space="0" w:color="auto"/>
      </w:divBdr>
    </w:div>
    <w:div w:id="2019506174">
      <w:bodyDiv w:val="1"/>
      <w:marLeft w:val="0"/>
      <w:marRight w:val="0"/>
      <w:marTop w:val="0"/>
      <w:marBottom w:val="0"/>
      <w:divBdr>
        <w:top w:val="none" w:sz="0" w:space="0" w:color="auto"/>
        <w:left w:val="none" w:sz="0" w:space="0" w:color="auto"/>
        <w:bottom w:val="none" w:sz="0" w:space="0" w:color="auto"/>
        <w:right w:val="none" w:sz="0" w:space="0" w:color="auto"/>
      </w:divBdr>
    </w:div>
    <w:div w:id="202069070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6886375">
      <w:bodyDiv w:val="1"/>
      <w:marLeft w:val="0"/>
      <w:marRight w:val="0"/>
      <w:marTop w:val="0"/>
      <w:marBottom w:val="0"/>
      <w:divBdr>
        <w:top w:val="none" w:sz="0" w:space="0" w:color="auto"/>
        <w:left w:val="none" w:sz="0" w:space="0" w:color="auto"/>
        <w:bottom w:val="none" w:sz="0" w:space="0" w:color="auto"/>
        <w:right w:val="none" w:sz="0" w:space="0" w:color="auto"/>
      </w:divBdr>
    </w:div>
    <w:div w:id="203819598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6992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7376">
      <w:bodyDiv w:val="1"/>
      <w:marLeft w:val="0"/>
      <w:marRight w:val="0"/>
      <w:marTop w:val="0"/>
      <w:marBottom w:val="0"/>
      <w:divBdr>
        <w:top w:val="none" w:sz="0" w:space="0" w:color="auto"/>
        <w:left w:val="none" w:sz="0" w:space="0" w:color="auto"/>
        <w:bottom w:val="none" w:sz="0" w:space="0" w:color="auto"/>
        <w:right w:val="none" w:sz="0" w:space="0" w:color="auto"/>
      </w:divBdr>
    </w:div>
    <w:div w:id="2067600363">
      <w:bodyDiv w:val="1"/>
      <w:marLeft w:val="0"/>
      <w:marRight w:val="0"/>
      <w:marTop w:val="0"/>
      <w:marBottom w:val="0"/>
      <w:divBdr>
        <w:top w:val="none" w:sz="0" w:space="0" w:color="auto"/>
        <w:left w:val="none" w:sz="0" w:space="0" w:color="auto"/>
        <w:bottom w:val="none" w:sz="0" w:space="0" w:color="auto"/>
        <w:right w:val="none" w:sz="0" w:space="0" w:color="auto"/>
      </w:divBdr>
    </w:div>
    <w:div w:id="20688449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693644">
      <w:bodyDiv w:val="1"/>
      <w:marLeft w:val="0"/>
      <w:marRight w:val="0"/>
      <w:marTop w:val="0"/>
      <w:marBottom w:val="0"/>
      <w:divBdr>
        <w:top w:val="none" w:sz="0" w:space="0" w:color="auto"/>
        <w:left w:val="none" w:sz="0" w:space="0" w:color="auto"/>
        <w:bottom w:val="none" w:sz="0" w:space="0" w:color="auto"/>
        <w:right w:val="none" w:sz="0" w:space="0" w:color="auto"/>
      </w:divBdr>
    </w:div>
    <w:div w:id="209724358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305972">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668508">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6650536">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16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86161-0834-4F53-9B22-EF76F0734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3098</TotalTime>
  <Pages>8</Pages>
  <Words>2648</Words>
  <Characters>15099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17712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lverma@qti.qualcomm.com</dc:creator>
  <cp:keywords>Jan 2017</cp:keywords>
  <dc:description/>
  <cp:lastModifiedBy>Lochan Verma</cp:lastModifiedBy>
  <cp:revision>262</cp:revision>
  <cp:lastPrinted>2010-05-04T03:47:00Z</cp:lastPrinted>
  <dcterms:created xsi:type="dcterms:W3CDTF">2017-01-16T21:16:00Z</dcterms:created>
  <dcterms:modified xsi:type="dcterms:W3CDTF">2018-04-25T19:46:00Z</dcterms:modified>
  <cp:category/>
</cp:coreProperties>
</file>