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rsidTr="0078286B">
        <w:trPr>
          <w:trHeight w:val="485"/>
          <w:jc w:val="center"/>
        </w:trPr>
        <w:tc>
          <w:tcPr>
            <w:tcW w:w="5000" w:type="pct"/>
            <w:gridSpan w:val="5"/>
            <w:vAlign w:val="center"/>
          </w:tcPr>
          <w:p w:rsidR="006803D3" w:rsidRDefault="00B10572" w:rsidP="00272BD4">
            <w:pPr>
              <w:pStyle w:val="T2"/>
            </w:pPr>
            <w:r w:rsidRPr="00B10572">
              <w:t>Resolution to CID 1355, 1597 and 1955</w:t>
            </w:r>
          </w:p>
        </w:tc>
      </w:tr>
      <w:tr w:rsidR="006803D3" w:rsidTr="0078286B">
        <w:trPr>
          <w:trHeight w:val="359"/>
          <w:jc w:val="center"/>
        </w:trPr>
        <w:tc>
          <w:tcPr>
            <w:tcW w:w="5000" w:type="pct"/>
            <w:gridSpan w:val="5"/>
            <w:vAlign w:val="center"/>
          </w:tcPr>
          <w:p w:rsidR="006803D3" w:rsidRDefault="006803D3" w:rsidP="00902924">
            <w:pPr>
              <w:pStyle w:val="T2"/>
              <w:ind w:left="0"/>
              <w:rPr>
                <w:sz w:val="20"/>
              </w:rPr>
            </w:pPr>
            <w:r>
              <w:rPr>
                <w:sz w:val="20"/>
              </w:rPr>
              <w:t>Date:</w:t>
            </w:r>
            <w:r w:rsidR="00343E67">
              <w:rPr>
                <w:b w:val="0"/>
                <w:sz w:val="20"/>
              </w:rPr>
              <w:t xml:space="preserve">  2018-</w:t>
            </w:r>
            <w:r w:rsidR="00C415B3">
              <w:rPr>
                <w:b w:val="0"/>
                <w:sz w:val="20"/>
              </w:rPr>
              <w:t>0</w:t>
            </w:r>
            <w:r w:rsidR="00902924">
              <w:rPr>
                <w:b w:val="0"/>
                <w:sz w:val="20"/>
              </w:rPr>
              <w:t>5-07</w:t>
            </w:r>
          </w:p>
        </w:tc>
      </w:tr>
      <w:tr w:rsidR="006803D3" w:rsidTr="0078286B">
        <w:trPr>
          <w:cantSplit/>
          <w:jc w:val="center"/>
        </w:trPr>
        <w:tc>
          <w:tcPr>
            <w:tcW w:w="5000" w:type="pct"/>
            <w:gridSpan w:val="5"/>
            <w:vAlign w:val="center"/>
          </w:tcPr>
          <w:p w:rsidR="006803D3" w:rsidRDefault="006803D3" w:rsidP="0078286B">
            <w:pPr>
              <w:pStyle w:val="T2"/>
              <w:spacing w:after="0"/>
              <w:ind w:left="0" w:right="0"/>
              <w:jc w:val="left"/>
              <w:rPr>
                <w:sz w:val="20"/>
              </w:rPr>
            </w:pPr>
            <w:r>
              <w:rPr>
                <w:sz w:val="20"/>
              </w:rPr>
              <w:t>Author(s):</w:t>
            </w:r>
          </w:p>
        </w:tc>
      </w:tr>
      <w:tr w:rsidR="006803D3" w:rsidTr="0078286B">
        <w:trPr>
          <w:jc w:val="center"/>
        </w:trPr>
        <w:tc>
          <w:tcPr>
            <w:tcW w:w="782" w:type="pct"/>
            <w:vAlign w:val="center"/>
          </w:tcPr>
          <w:p w:rsidR="006803D3" w:rsidRDefault="006803D3" w:rsidP="0078286B">
            <w:pPr>
              <w:pStyle w:val="T2"/>
              <w:spacing w:after="0"/>
              <w:ind w:left="0" w:right="0"/>
              <w:jc w:val="left"/>
              <w:rPr>
                <w:sz w:val="20"/>
              </w:rPr>
            </w:pPr>
            <w:r>
              <w:rPr>
                <w:sz w:val="20"/>
              </w:rPr>
              <w:t>Name</w:t>
            </w:r>
          </w:p>
        </w:tc>
        <w:tc>
          <w:tcPr>
            <w:tcW w:w="775" w:type="pct"/>
            <w:vAlign w:val="center"/>
          </w:tcPr>
          <w:p w:rsidR="006803D3" w:rsidRDefault="006803D3" w:rsidP="0078286B">
            <w:pPr>
              <w:pStyle w:val="T2"/>
              <w:spacing w:after="0"/>
              <w:ind w:left="0" w:right="0"/>
              <w:jc w:val="left"/>
              <w:rPr>
                <w:sz w:val="20"/>
              </w:rPr>
            </w:pPr>
            <w:r>
              <w:rPr>
                <w:sz w:val="20"/>
              </w:rPr>
              <w:t>Company</w:t>
            </w:r>
          </w:p>
        </w:tc>
        <w:tc>
          <w:tcPr>
            <w:tcW w:w="723" w:type="pct"/>
            <w:vAlign w:val="center"/>
          </w:tcPr>
          <w:p w:rsidR="006803D3" w:rsidRDefault="006803D3" w:rsidP="0078286B">
            <w:pPr>
              <w:pStyle w:val="T2"/>
              <w:spacing w:after="0"/>
              <w:ind w:left="0" w:right="0"/>
              <w:jc w:val="left"/>
              <w:rPr>
                <w:sz w:val="20"/>
              </w:rPr>
            </w:pPr>
            <w:r>
              <w:rPr>
                <w:sz w:val="20"/>
              </w:rPr>
              <w:t>Address</w:t>
            </w:r>
          </w:p>
        </w:tc>
        <w:tc>
          <w:tcPr>
            <w:tcW w:w="1006" w:type="pct"/>
            <w:vAlign w:val="center"/>
          </w:tcPr>
          <w:p w:rsidR="006803D3" w:rsidRDefault="006803D3" w:rsidP="0078286B">
            <w:pPr>
              <w:pStyle w:val="T2"/>
              <w:spacing w:after="0"/>
              <w:ind w:left="0" w:right="0"/>
              <w:jc w:val="left"/>
              <w:rPr>
                <w:sz w:val="20"/>
              </w:rPr>
            </w:pPr>
            <w:r>
              <w:rPr>
                <w:sz w:val="20"/>
              </w:rPr>
              <w:t>Phone</w:t>
            </w:r>
          </w:p>
        </w:tc>
        <w:tc>
          <w:tcPr>
            <w:tcW w:w="1714" w:type="pct"/>
            <w:vAlign w:val="center"/>
          </w:tcPr>
          <w:p w:rsidR="006803D3" w:rsidRDefault="006803D3" w:rsidP="0078286B">
            <w:pPr>
              <w:pStyle w:val="T2"/>
              <w:spacing w:after="0"/>
              <w:ind w:left="0" w:right="0"/>
              <w:jc w:val="left"/>
              <w:rPr>
                <w:sz w:val="20"/>
              </w:rPr>
            </w:pPr>
            <w:r>
              <w:rPr>
                <w:sz w:val="20"/>
              </w:rPr>
              <w:t>email</w:t>
            </w:r>
          </w:p>
        </w:tc>
      </w:tr>
      <w:tr w:rsidR="006803D3" w:rsidTr="0078286B">
        <w:trPr>
          <w:jc w:val="center"/>
        </w:trPr>
        <w:tc>
          <w:tcPr>
            <w:tcW w:w="782" w:type="pct"/>
            <w:vAlign w:val="center"/>
          </w:tcPr>
          <w:p w:rsidR="006803D3" w:rsidRDefault="006803D3" w:rsidP="0078286B">
            <w:pPr>
              <w:pStyle w:val="T2"/>
              <w:spacing w:after="0"/>
              <w:ind w:left="0" w:right="0"/>
              <w:rPr>
                <w:b w:val="0"/>
                <w:sz w:val="20"/>
              </w:rPr>
            </w:pPr>
            <w:r>
              <w:rPr>
                <w:b w:val="0"/>
                <w:sz w:val="20"/>
              </w:rPr>
              <w:t>Cheng Chen</w:t>
            </w:r>
          </w:p>
        </w:tc>
        <w:tc>
          <w:tcPr>
            <w:tcW w:w="775" w:type="pct"/>
            <w:vAlign w:val="center"/>
          </w:tcPr>
          <w:p w:rsidR="006803D3" w:rsidRDefault="006803D3" w:rsidP="0078286B">
            <w:pPr>
              <w:pStyle w:val="T2"/>
              <w:spacing w:after="0"/>
              <w:ind w:left="0" w:right="0"/>
              <w:rPr>
                <w:b w:val="0"/>
                <w:sz w:val="20"/>
              </w:rPr>
            </w:pPr>
            <w:r>
              <w:rPr>
                <w:b w:val="0"/>
                <w:sz w:val="20"/>
              </w:rPr>
              <w:t>Intel</w:t>
            </w:r>
          </w:p>
        </w:tc>
        <w:tc>
          <w:tcPr>
            <w:tcW w:w="723" w:type="pct"/>
            <w:vAlign w:val="center"/>
          </w:tcPr>
          <w:p w:rsidR="006803D3" w:rsidRDefault="006803D3" w:rsidP="0078286B">
            <w:pPr>
              <w:pStyle w:val="T2"/>
              <w:spacing w:after="0"/>
              <w:ind w:left="0" w:right="0"/>
              <w:rPr>
                <w:b w:val="0"/>
                <w:sz w:val="20"/>
              </w:rPr>
            </w:pPr>
          </w:p>
        </w:tc>
        <w:tc>
          <w:tcPr>
            <w:tcW w:w="1006" w:type="pct"/>
            <w:vAlign w:val="center"/>
          </w:tcPr>
          <w:p w:rsidR="006803D3" w:rsidRDefault="006803D3" w:rsidP="0078286B">
            <w:pPr>
              <w:pStyle w:val="T2"/>
              <w:spacing w:after="0"/>
              <w:ind w:left="0" w:right="0"/>
              <w:rPr>
                <w:b w:val="0"/>
                <w:sz w:val="20"/>
              </w:rPr>
            </w:pPr>
          </w:p>
        </w:tc>
        <w:tc>
          <w:tcPr>
            <w:tcW w:w="1714" w:type="pct"/>
            <w:vAlign w:val="center"/>
          </w:tcPr>
          <w:p w:rsidR="006803D3" w:rsidRDefault="006803D3" w:rsidP="0078286B">
            <w:pPr>
              <w:pStyle w:val="T2"/>
              <w:spacing w:after="0"/>
              <w:ind w:left="0" w:right="0"/>
              <w:rPr>
                <w:b w:val="0"/>
                <w:sz w:val="16"/>
              </w:rPr>
            </w:pPr>
            <w:r w:rsidRPr="00A32863">
              <w:rPr>
                <w:sz w:val="16"/>
              </w:rPr>
              <w:t>cheng.chen@intel.com</w:t>
            </w:r>
          </w:p>
        </w:tc>
      </w:tr>
      <w:tr w:rsidR="00902924" w:rsidTr="0078286B">
        <w:trPr>
          <w:jc w:val="center"/>
        </w:trPr>
        <w:tc>
          <w:tcPr>
            <w:tcW w:w="782" w:type="pct"/>
            <w:vAlign w:val="center"/>
          </w:tcPr>
          <w:p w:rsidR="00902924" w:rsidRDefault="00902924" w:rsidP="0078286B">
            <w:pPr>
              <w:pStyle w:val="T2"/>
              <w:spacing w:after="0"/>
              <w:ind w:left="0" w:right="0"/>
              <w:rPr>
                <w:b w:val="0"/>
                <w:sz w:val="20"/>
                <w:lang w:eastAsia="zh-CN"/>
              </w:rPr>
            </w:pPr>
            <w:r>
              <w:rPr>
                <w:rFonts w:hint="eastAsia"/>
                <w:b w:val="0"/>
                <w:sz w:val="20"/>
                <w:lang w:eastAsia="zh-CN"/>
              </w:rPr>
              <w:t>Carlo</w:t>
            </w:r>
            <w:r>
              <w:rPr>
                <w:b w:val="0"/>
                <w:sz w:val="20"/>
                <w:lang w:eastAsia="zh-CN"/>
              </w:rPr>
              <w:t>s Cordeiro</w:t>
            </w:r>
          </w:p>
        </w:tc>
        <w:tc>
          <w:tcPr>
            <w:tcW w:w="775" w:type="pct"/>
            <w:vAlign w:val="center"/>
          </w:tcPr>
          <w:p w:rsidR="00902924" w:rsidRDefault="00902924"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rsidR="00902924" w:rsidRDefault="00902924" w:rsidP="0078286B">
            <w:pPr>
              <w:pStyle w:val="T2"/>
              <w:spacing w:after="0"/>
              <w:ind w:left="0" w:right="0"/>
              <w:rPr>
                <w:b w:val="0"/>
                <w:sz w:val="20"/>
              </w:rPr>
            </w:pPr>
          </w:p>
        </w:tc>
        <w:tc>
          <w:tcPr>
            <w:tcW w:w="1006" w:type="pct"/>
            <w:vAlign w:val="center"/>
          </w:tcPr>
          <w:p w:rsidR="00902924" w:rsidRDefault="00902924" w:rsidP="0078286B">
            <w:pPr>
              <w:pStyle w:val="T2"/>
              <w:spacing w:after="0"/>
              <w:ind w:left="0" w:right="0"/>
              <w:rPr>
                <w:b w:val="0"/>
                <w:sz w:val="20"/>
              </w:rPr>
            </w:pPr>
          </w:p>
        </w:tc>
        <w:tc>
          <w:tcPr>
            <w:tcW w:w="1714" w:type="pct"/>
            <w:vAlign w:val="center"/>
          </w:tcPr>
          <w:p w:rsidR="00902924" w:rsidRPr="00A32863" w:rsidRDefault="00902924" w:rsidP="0078286B">
            <w:pPr>
              <w:pStyle w:val="T2"/>
              <w:spacing w:after="0"/>
              <w:ind w:left="0" w:right="0"/>
              <w:rPr>
                <w:sz w:val="16"/>
                <w:lang w:eastAsia="zh-CN"/>
              </w:rPr>
            </w:pPr>
            <w:r>
              <w:rPr>
                <w:sz w:val="16"/>
                <w:lang w:eastAsia="zh-CN"/>
              </w:rPr>
              <w:t>c</w:t>
            </w:r>
            <w:r>
              <w:rPr>
                <w:rFonts w:hint="eastAsia"/>
                <w:sz w:val="16"/>
                <w:lang w:eastAsia="zh-CN"/>
              </w:rPr>
              <w:t>a</w:t>
            </w:r>
            <w:r>
              <w:rPr>
                <w:sz w:val="16"/>
                <w:lang w:eastAsia="zh-CN"/>
              </w:rPr>
              <w:t>rlos.cordeiro@intel.com</w:t>
            </w:r>
          </w:p>
        </w:tc>
      </w:tr>
      <w:tr w:rsidR="00902924" w:rsidTr="0078286B">
        <w:trPr>
          <w:jc w:val="center"/>
        </w:trPr>
        <w:tc>
          <w:tcPr>
            <w:tcW w:w="782" w:type="pct"/>
            <w:vAlign w:val="center"/>
          </w:tcPr>
          <w:p w:rsidR="00902924" w:rsidRDefault="00902924" w:rsidP="0078286B">
            <w:pPr>
              <w:pStyle w:val="T2"/>
              <w:spacing w:after="0"/>
              <w:ind w:left="0" w:right="0"/>
              <w:rPr>
                <w:b w:val="0"/>
                <w:sz w:val="20"/>
                <w:lang w:eastAsia="zh-CN"/>
              </w:rPr>
            </w:pPr>
            <w:r>
              <w:rPr>
                <w:rFonts w:hint="eastAsia"/>
                <w:b w:val="0"/>
                <w:sz w:val="20"/>
                <w:lang w:eastAsia="zh-CN"/>
              </w:rPr>
              <w:t>Assaf</w:t>
            </w:r>
            <w:r>
              <w:rPr>
                <w:b w:val="0"/>
                <w:sz w:val="20"/>
                <w:lang w:eastAsia="zh-CN"/>
              </w:rPr>
              <w:t xml:space="preserve"> Kasher</w:t>
            </w:r>
          </w:p>
        </w:tc>
        <w:tc>
          <w:tcPr>
            <w:tcW w:w="775" w:type="pct"/>
            <w:vAlign w:val="center"/>
          </w:tcPr>
          <w:p w:rsidR="00902924" w:rsidRDefault="00902924" w:rsidP="0078286B">
            <w:pPr>
              <w:pStyle w:val="T2"/>
              <w:spacing w:after="0"/>
              <w:ind w:left="0" w:right="0"/>
              <w:rPr>
                <w:b w:val="0"/>
                <w:sz w:val="20"/>
                <w:lang w:eastAsia="zh-CN"/>
              </w:rPr>
            </w:pPr>
            <w:r>
              <w:rPr>
                <w:rFonts w:hint="eastAsia"/>
                <w:b w:val="0"/>
                <w:sz w:val="20"/>
                <w:lang w:eastAsia="zh-CN"/>
              </w:rPr>
              <w:t>Qu</w:t>
            </w:r>
            <w:r>
              <w:rPr>
                <w:b w:val="0"/>
                <w:sz w:val="20"/>
                <w:lang w:eastAsia="zh-CN"/>
              </w:rPr>
              <w:t>alcomm</w:t>
            </w:r>
          </w:p>
        </w:tc>
        <w:tc>
          <w:tcPr>
            <w:tcW w:w="723" w:type="pct"/>
            <w:vAlign w:val="center"/>
          </w:tcPr>
          <w:p w:rsidR="00902924" w:rsidRDefault="00902924" w:rsidP="0078286B">
            <w:pPr>
              <w:pStyle w:val="T2"/>
              <w:spacing w:after="0"/>
              <w:ind w:left="0" w:right="0"/>
              <w:rPr>
                <w:b w:val="0"/>
                <w:sz w:val="20"/>
              </w:rPr>
            </w:pPr>
          </w:p>
        </w:tc>
        <w:tc>
          <w:tcPr>
            <w:tcW w:w="1006" w:type="pct"/>
            <w:vAlign w:val="center"/>
          </w:tcPr>
          <w:p w:rsidR="00902924" w:rsidRDefault="00902924" w:rsidP="0078286B">
            <w:pPr>
              <w:pStyle w:val="T2"/>
              <w:spacing w:after="0"/>
              <w:ind w:left="0" w:right="0"/>
              <w:rPr>
                <w:b w:val="0"/>
                <w:sz w:val="20"/>
              </w:rPr>
            </w:pPr>
          </w:p>
        </w:tc>
        <w:tc>
          <w:tcPr>
            <w:tcW w:w="1714" w:type="pct"/>
            <w:vAlign w:val="center"/>
          </w:tcPr>
          <w:p w:rsidR="00902924" w:rsidRDefault="00902924" w:rsidP="0078286B">
            <w:pPr>
              <w:pStyle w:val="T2"/>
              <w:spacing w:after="0"/>
              <w:ind w:left="0" w:right="0"/>
              <w:rPr>
                <w:sz w:val="16"/>
                <w:lang w:eastAsia="zh-CN"/>
              </w:rPr>
            </w:pPr>
            <w:r w:rsidRPr="00902924">
              <w:rPr>
                <w:sz w:val="16"/>
                <w:lang w:eastAsia="zh-CN"/>
              </w:rPr>
              <w:t>akasher@qti.qualcomm.com</w:t>
            </w:r>
          </w:p>
        </w:tc>
      </w:tr>
    </w:tbl>
    <w:p w:rsidR="006803D3" w:rsidRDefault="006803D3" w:rsidP="006803D3">
      <w:pPr>
        <w:pStyle w:val="T1"/>
        <w:spacing w:after="120"/>
        <w:rPr>
          <w:sz w:val="22"/>
        </w:rPr>
      </w:pPr>
    </w:p>
    <w:p w:rsidR="006803D3" w:rsidRDefault="006803D3" w:rsidP="006803D3"/>
    <w:p w:rsidR="006803D3" w:rsidRDefault="006803D3" w:rsidP="006803D3"/>
    <w:p w:rsidR="006803D3" w:rsidRDefault="006803D3" w:rsidP="006803D3"/>
    <w:p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086AF860" wp14:editId="0AC725F6">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793" w:rsidRDefault="000E0793" w:rsidP="006803D3">
                            <w:pPr>
                              <w:pStyle w:val="T1"/>
                              <w:spacing w:after="120"/>
                            </w:pPr>
                            <w:r>
                              <w:t>Abstract</w:t>
                            </w:r>
                          </w:p>
                          <w:p w:rsidR="000E0793" w:rsidRDefault="000E0793" w:rsidP="006803D3">
                            <w:pPr>
                              <w:jc w:val="both"/>
                            </w:pPr>
                            <w:r>
                              <w:t xml:space="preserve">This submission proposes resolutions to </w:t>
                            </w:r>
                            <w:r w:rsidR="00B10572">
                              <w:rPr>
                                <w:rFonts w:hint="eastAsia"/>
                                <w:lang w:eastAsia="zh-CN"/>
                              </w:rPr>
                              <w:t>th</w:t>
                            </w:r>
                            <w:r w:rsidR="00B10572">
                              <w:rPr>
                                <w:lang w:eastAsia="zh-CN"/>
                              </w:rPr>
                              <w:t>e following</w:t>
                            </w:r>
                            <w:r w:rsidR="00B10572">
                              <w:t xml:space="preserve"> CIDs</w:t>
                            </w:r>
                            <w:r>
                              <w:t xml:space="preserve">: </w:t>
                            </w:r>
                          </w:p>
                          <w:p w:rsidR="00B10572" w:rsidRDefault="00B10572" w:rsidP="006803D3">
                            <w:pPr>
                              <w:jc w:val="both"/>
                            </w:pPr>
                            <w:r>
                              <w:t>1355, 1597, 1955.</w:t>
                            </w:r>
                          </w:p>
                          <w:p w:rsidR="000E0793" w:rsidRDefault="000E0793" w:rsidP="006803D3">
                            <w:pPr>
                              <w:jc w:val="both"/>
                            </w:pPr>
                          </w:p>
                          <w:p w:rsidR="00B10572" w:rsidRDefault="00B10572" w:rsidP="00B10572">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rsidR="000E0793" w:rsidRPr="00B10572"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F86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0E0793" w:rsidRDefault="000E0793" w:rsidP="006803D3">
                      <w:pPr>
                        <w:pStyle w:val="T1"/>
                        <w:spacing w:after="120"/>
                      </w:pPr>
                      <w:r>
                        <w:t>Abstract</w:t>
                      </w:r>
                    </w:p>
                    <w:p w:rsidR="000E0793" w:rsidRDefault="000E0793" w:rsidP="006803D3">
                      <w:pPr>
                        <w:jc w:val="both"/>
                      </w:pPr>
                      <w:r>
                        <w:t xml:space="preserve">This submission proposes resolutions to </w:t>
                      </w:r>
                      <w:r w:rsidR="00B10572">
                        <w:rPr>
                          <w:rFonts w:hint="eastAsia"/>
                          <w:lang w:eastAsia="zh-CN"/>
                        </w:rPr>
                        <w:t>th</w:t>
                      </w:r>
                      <w:r w:rsidR="00B10572">
                        <w:rPr>
                          <w:lang w:eastAsia="zh-CN"/>
                        </w:rPr>
                        <w:t>e following</w:t>
                      </w:r>
                      <w:r w:rsidR="00B10572">
                        <w:t xml:space="preserve"> CIDs</w:t>
                      </w:r>
                      <w:r>
                        <w:t xml:space="preserve">: </w:t>
                      </w:r>
                    </w:p>
                    <w:p w:rsidR="00B10572" w:rsidRDefault="00B10572" w:rsidP="006803D3">
                      <w:pPr>
                        <w:jc w:val="both"/>
                      </w:pPr>
                      <w:r>
                        <w:t>1355, 1597, 1955.</w:t>
                      </w:r>
                    </w:p>
                    <w:p w:rsidR="000E0793" w:rsidRDefault="000E0793" w:rsidP="006803D3">
                      <w:pPr>
                        <w:jc w:val="both"/>
                      </w:pPr>
                    </w:p>
                    <w:p w:rsidR="00B10572" w:rsidRDefault="00B10572" w:rsidP="00B10572">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rsidR="000E0793" w:rsidRPr="00B10572" w:rsidRDefault="000E0793" w:rsidP="006803D3">
                      <w:pPr>
                        <w:jc w:val="both"/>
                        <w:rPr>
                          <w:szCs w:val="22"/>
                        </w:rPr>
                      </w:pPr>
                    </w:p>
                  </w:txbxContent>
                </v:textbox>
              </v:shape>
            </w:pict>
          </mc:Fallback>
        </mc:AlternateContent>
      </w:r>
    </w:p>
    <w:p w:rsidR="006803D3" w:rsidRDefault="006803D3" w:rsidP="006803D3"/>
    <w:p w:rsidR="006803D3" w:rsidRDefault="006803D3" w:rsidP="006803D3"/>
    <w:p w:rsidR="006803D3" w:rsidRDefault="006803D3" w:rsidP="006803D3"/>
    <w:p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rsidTr="00272BD4">
        <w:trPr>
          <w:trHeight w:val="558"/>
        </w:trPr>
        <w:tc>
          <w:tcPr>
            <w:tcW w:w="663" w:type="dxa"/>
          </w:tcPr>
          <w:p w:rsidR="006803D3" w:rsidRPr="00427EA3" w:rsidRDefault="006803D3" w:rsidP="0078286B">
            <w:pPr>
              <w:rPr>
                <w:lang w:val="en-US"/>
              </w:rPr>
            </w:pPr>
            <w:r w:rsidRPr="00427EA3">
              <w:rPr>
                <w:rFonts w:hint="eastAsia"/>
                <w:lang w:val="en-US"/>
              </w:rPr>
              <w:lastRenderedPageBreak/>
              <w:t>CID</w:t>
            </w:r>
          </w:p>
        </w:tc>
        <w:tc>
          <w:tcPr>
            <w:tcW w:w="1219" w:type="dxa"/>
          </w:tcPr>
          <w:p w:rsidR="006803D3" w:rsidRPr="00427EA3" w:rsidRDefault="006803D3" w:rsidP="0078286B">
            <w:pPr>
              <w:rPr>
                <w:lang w:val="en-US"/>
              </w:rPr>
            </w:pPr>
            <w:r w:rsidRPr="00427EA3">
              <w:rPr>
                <w:rFonts w:hint="eastAsia"/>
                <w:lang w:val="en-US"/>
              </w:rPr>
              <w:t>Clause</w:t>
            </w:r>
          </w:p>
        </w:tc>
        <w:tc>
          <w:tcPr>
            <w:tcW w:w="3789" w:type="dxa"/>
          </w:tcPr>
          <w:p w:rsidR="006803D3" w:rsidRPr="00427EA3" w:rsidRDefault="006803D3" w:rsidP="0078286B">
            <w:pPr>
              <w:rPr>
                <w:lang w:val="en-US"/>
              </w:rPr>
            </w:pPr>
            <w:r w:rsidRPr="00427EA3">
              <w:rPr>
                <w:rFonts w:hint="eastAsia"/>
                <w:lang w:val="en-US"/>
              </w:rPr>
              <w:t>Comment</w:t>
            </w:r>
          </w:p>
        </w:tc>
        <w:tc>
          <w:tcPr>
            <w:tcW w:w="3538" w:type="dxa"/>
          </w:tcPr>
          <w:p w:rsidR="006803D3" w:rsidRPr="00427EA3" w:rsidRDefault="006803D3" w:rsidP="0078286B">
            <w:pPr>
              <w:rPr>
                <w:lang w:val="en-US"/>
              </w:rPr>
            </w:pPr>
            <w:r w:rsidRPr="00427EA3">
              <w:rPr>
                <w:rFonts w:hint="eastAsia"/>
                <w:lang w:val="en-US"/>
              </w:rPr>
              <w:t>Proposed change</w:t>
            </w:r>
          </w:p>
        </w:tc>
      </w:tr>
      <w:tr w:rsidR="00B10572" w:rsidRPr="00D90530" w:rsidTr="00272BD4">
        <w:trPr>
          <w:trHeight w:val="841"/>
        </w:trPr>
        <w:tc>
          <w:tcPr>
            <w:tcW w:w="663"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hint="eastAsia"/>
                <w:color w:val="000000" w:themeColor="text1"/>
              </w:rPr>
              <w:t>1355</w:t>
            </w:r>
          </w:p>
        </w:tc>
        <w:tc>
          <w:tcPr>
            <w:tcW w:w="1219"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10.38.9.3.1</w:t>
            </w:r>
          </w:p>
        </w:tc>
        <w:tc>
          <w:tcPr>
            <w:tcW w:w="3789"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"An asymmetric link is present when a STA is able to receive frames from the peer STA, but its frame transmissions are not received by the peer STA due to a difference in link budget between the uplink and downlink between the STAs. The difference in the number of antenna elements between a pair of STAs may cause an asymmetric link if a quasi-</w:t>
            </w:r>
            <w:proofErr w:type="spellStart"/>
            <w:r w:rsidRPr="00355F08">
              <w:rPr>
                <w:rFonts w:ascii="Times New Roman" w:eastAsia="Batang" w:hAnsi="Times New Roman" w:cs="Times New Roman"/>
                <w:color w:val="000000" w:themeColor="text1"/>
              </w:rPr>
              <w:t>omni</w:t>
            </w:r>
            <w:proofErr w:type="spellEnd"/>
            <w:r w:rsidRPr="00355F08">
              <w:rPr>
                <w:rFonts w:ascii="Times New Roman" w:eastAsia="Batang" w:hAnsi="Times New Roman" w:cs="Times New Roman"/>
                <w:color w:val="000000" w:themeColor="text1"/>
              </w:rPr>
              <w:t xml:space="preserve"> antenna configuration is used by one of the STAs when attempting communication with the peer STA." - The terminology is poor and confusing.  The problem of asymmetric links starts with the quasi-</w:t>
            </w:r>
            <w:proofErr w:type="spellStart"/>
            <w:r w:rsidRPr="00355F08">
              <w:rPr>
                <w:rFonts w:ascii="Times New Roman" w:eastAsia="Batang" w:hAnsi="Times New Roman" w:cs="Times New Roman"/>
                <w:color w:val="000000" w:themeColor="text1"/>
              </w:rPr>
              <w:t>omni</w:t>
            </w:r>
            <w:proofErr w:type="spellEnd"/>
            <w:r w:rsidRPr="00355F08">
              <w:rPr>
                <w:rFonts w:ascii="Times New Roman" w:eastAsia="Batang" w:hAnsi="Times New Roman" w:cs="Times New Roman"/>
                <w:color w:val="000000" w:themeColor="text1"/>
              </w:rPr>
              <w:t xml:space="preserve"> pattern, not with stations not being able to each other transmission</w:t>
            </w:r>
          </w:p>
        </w:tc>
        <w:tc>
          <w:tcPr>
            <w:tcW w:w="3538"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a submission will be provided</w:t>
            </w:r>
          </w:p>
          <w:p w:rsidR="00B10572" w:rsidRPr="00355F08" w:rsidRDefault="00B10572" w:rsidP="00B10572">
            <w:pPr>
              <w:tabs>
                <w:tab w:val="left" w:pos="706"/>
              </w:tabs>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ab/>
            </w:r>
          </w:p>
        </w:tc>
      </w:tr>
    </w:tbl>
    <w:p w:rsidR="00BB63B3" w:rsidRPr="005A3C19" w:rsidRDefault="00BB63B3" w:rsidP="006803D3">
      <w:pPr>
        <w:rPr>
          <w:szCs w:val="22"/>
        </w:rPr>
      </w:pPr>
    </w:p>
    <w:p w:rsidR="006803D3" w:rsidRDefault="006803D3" w:rsidP="006803D3">
      <w:pPr>
        <w:rPr>
          <w:szCs w:val="22"/>
        </w:rPr>
      </w:pPr>
      <w:r w:rsidRPr="008179AB">
        <w:rPr>
          <w:b/>
          <w:szCs w:val="22"/>
        </w:rPr>
        <w:t>Proposed resolution:</w:t>
      </w:r>
      <w:r w:rsidRPr="008179AB">
        <w:rPr>
          <w:szCs w:val="22"/>
        </w:rPr>
        <w:t xml:space="preserve"> </w:t>
      </w:r>
      <w:r w:rsidR="00910026">
        <w:rPr>
          <w:szCs w:val="22"/>
        </w:rPr>
        <w:t>R</w:t>
      </w:r>
      <w:r w:rsidR="00B10572">
        <w:rPr>
          <w:szCs w:val="22"/>
        </w:rPr>
        <w:t>evised</w:t>
      </w:r>
      <w:r w:rsidR="00BB63B3">
        <w:rPr>
          <w:szCs w:val="22"/>
        </w:rPr>
        <w:t>.</w:t>
      </w:r>
    </w:p>
    <w:p w:rsidR="006803D3" w:rsidRDefault="00064C75" w:rsidP="006803D3">
      <w:pPr>
        <w:rPr>
          <w:i/>
          <w:color w:val="000000" w:themeColor="text1"/>
          <w:lang w:eastAsia="zh-CN"/>
        </w:rPr>
      </w:pPr>
      <w:r>
        <w:rPr>
          <w:i/>
          <w:color w:val="000000" w:themeColor="text1"/>
          <w:lang w:eastAsia="zh-CN"/>
        </w:rPr>
        <w:t>Replace the first paragraph of 10.39.9.3.1 as follows:</w:t>
      </w:r>
    </w:p>
    <w:p w:rsidR="00064C75" w:rsidRDefault="00064C75" w:rsidP="006803D3">
      <w:pPr>
        <w:rPr>
          <w:color w:val="FF0000"/>
          <w:szCs w:val="22"/>
          <w:u w:val="single"/>
        </w:rPr>
      </w:pPr>
      <w:r w:rsidRPr="00064C75">
        <w:rPr>
          <w:color w:val="FF0000"/>
          <w:szCs w:val="22"/>
          <w:u w:val="single"/>
        </w:rPr>
        <w:t>An asymmetric link is present between a pair of STAs when in one STA the difference between maximum gain RX antenna setting and quasi-</w:t>
      </w:r>
      <w:proofErr w:type="spellStart"/>
      <w:r w:rsidRPr="00064C75">
        <w:rPr>
          <w:color w:val="FF0000"/>
          <w:szCs w:val="22"/>
          <w:u w:val="single"/>
        </w:rPr>
        <w:t>omni</w:t>
      </w:r>
      <w:proofErr w:type="spellEnd"/>
      <w:r w:rsidRPr="00064C75">
        <w:rPr>
          <w:color w:val="FF0000"/>
          <w:szCs w:val="22"/>
          <w:u w:val="single"/>
        </w:rPr>
        <w:t xml:space="preserve"> RX antenna setting is higher than 15dB, while the for other STA this difference is at most 15dB.</w:t>
      </w:r>
    </w:p>
    <w:p w:rsidR="00064C75" w:rsidRDefault="00064C75" w:rsidP="006803D3">
      <w:pPr>
        <w:rPr>
          <w:color w:val="FF0000"/>
          <w:szCs w:val="22"/>
          <w:u w:val="single"/>
        </w:rPr>
      </w:pPr>
    </w:p>
    <w:p w:rsidR="00064C75" w:rsidRDefault="00064C75" w:rsidP="006803D3">
      <w:pPr>
        <w:rPr>
          <w:color w:val="FF0000"/>
          <w:szCs w:val="22"/>
          <w:u w:val="single"/>
          <w:lang w:eastAsia="zh-CN"/>
        </w:rPr>
      </w:pPr>
      <w:r>
        <w:rPr>
          <w:rFonts w:hint="eastAsia"/>
          <w:color w:val="FF0000"/>
          <w:szCs w:val="22"/>
          <w:u w:val="single"/>
          <w:lang w:eastAsia="zh-CN"/>
        </w:rPr>
        <w:t>N</w:t>
      </w:r>
      <w:r>
        <w:rPr>
          <w:color w:val="FF0000"/>
          <w:szCs w:val="22"/>
          <w:u w:val="single"/>
          <w:lang w:eastAsia="zh-CN"/>
        </w:rPr>
        <w:t>ote:</w:t>
      </w:r>
    </w:p>
    <w:p w:rsidR="00064C75" w:rsidRPr="00064C75" w:rsidRDefault="00064C75" w:rsidP="00064C75">
      <w:pPr>
        <w:numPr>
          <w:ilvl w:val="0"/>
          <w:numId w:val="28"/>
        </w:numPr>
        <w:rPr>
          <w:color w:val="FF0000"/>
          <w:szCs w:val="22"/>
          <w:u w:val="single"/>
          <w:lang w:val="en-US"/>
        </w:rPr>
      </w:pPr>
      <w:r w:rsidRPr="00064C75">
        <w:rPr>
          <w:color w:val="FF0000"/>
          <w:szCs w:val="22"/>
          <w:u w:val="single"/>
        </w:rPr>
        <w:t>15dB is the sensitivity difference between control mode PHY and SC mode data PHY with a PHY rate greater than 1Gbps.</w:t>
      </w:r>
    </w:p>
    <w:p w:rsidR="00064C75" w:rsidRPr="00064C75" w:rsidRDefault="00064C75" w:rsidP="00064C75">
      <w:pPr>
        <w:numPr>
          <w:ilvl w:val="0"/>
          <w:numId w:val="28"/>
        </w:numPr>
        <w:rPr>
          <w:color w:val="FF0000"/>
          <w:szCs w:val="22"/>
          <w:u w:val="single"/>
        </w:rPr>
      </w:pPr>
      <w:r w:rsidRPr="00064C75">
        <w:rPr>
          <w:color w:val="FF0000"/>
          <w:szCs w:val="22"/>
          <w:u w:val="single"/>
        </w:rPr>
        <w:t>When the difference between full gain RX antenna setting and quasi-</w:t>
      </w:r>
      <w:proofErr w:type="spellStart"/>
      <w:r w:rsidRPr="00064C75">
        <w:rPr>
          <w:color w:val="FF0000"/>
          <w:szCs w:val="22"/>
          <w:u w:val="single"/>
        </w:rPr>
        <w:t>omni</w:t>
      </w:r>
      <w:proofErr w:type="spellEnd"/>
      <w:r w:rsidRPr="00064C75">
        <w:rPr>
          <w:color w:val="FF0000"/>
          <w:szCs w:val="22"/>
          <w:u w:val="single"/>
        </w:rPr>
        <w:t xml:space="preserve"> RX antenna setting is higher than 15dB,  A STA may be able to receive packets at full gain mode in SC data at a range higher than in quasi-antenna RX setting in control mode PHY with the same antenna setting at the transmitting STA.</w:t>
      </w:r>
    </w:p>
    <w:p w:rsidR="00064C75" w:rsidRPr="00064C75" w:rsidRDefault="00064C75" w:rsidP="006803D3">
      <w:pPr>
        <w:rPr>
          <w:i/>
          <w:color w:val="FF0000"/>
          <w:u w:val="single"/>
          <w:lang w:eastAsia="zh-CN"/>
        </w:rPr>
      </w:pPr>
    </w:p>
    <w:p w:rsidR="00C22CB7" w:rsidRDefault="00C22CB7" w:rsidP="006803D3">
      <w:pPr>
        <w:rPr>
          <w:color w:val="00B0F0"/>
          <w:u w:val="single"/>
        </w:rPr>
      </w:pPr>
    </w:p>
    <w:p w:rsidR="00910026" w:rsidRDefault="00910026" w:rsidP="006803D3">
      <w:pPr>
        <w:rPr>
          <w:color w:val="00B0F0"/>
          <w:u w:val="single"/>
        </w:rPr>
      </w:pPr>
    </w:p>
    <w:tbl>
      <w:tblPr>
        <w:tblStyle w:val="TableGrid"/>
        <w:tblW w:w="9209" w:type="dxa"/>
        <w:tblLook w:val="04A0" w:firstRow="1" w:lastRow="0" w:firstColumn="1" w:lastColumn="0" w:noHBand="0" w:noVBand="1"/>
      </w:tblPr>
      <w:tblGrid>
        <w:gridCol w:w="663"/>
        <w:gridCol w:w="1219"/>
        <w:gridCol w:w="3749"/>
        <w:gridCol w:w="3578"/>
      </w:tblGrid>
      <w:tr w:rsidR="006803D3" w:rsidRPr="000079B8"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49" w:type="dxa"/>
          </w:tcPr>
          <w:p w:rsidR="006803D3" w:rsidRPr="000079B8" w:rsidRDefault="006803D3" w:rsidP="0078286B">
            <w:pPr>
              <w:rPr>
                <w:color w:val="000000" w:themeColor="text1"/>
              </w:rPr>
            </w:pPr>
            <w:r w:rsidRPr="000079B8">
              <w:rPr>
                <w:rFonts w:hint="eastAsia"/>
                <w:color w:val="000000" w:themeColor="text1"/>
              </w:rPr>
              <w:t>Comment</w:t>
            </w:r>
          </w:p>
        </w:tc>
        <w:tc>
          <w:tcPr>
            <w:tcW w:w="3578" w:type="dxa"/>
          </w:tcPr>
          <w:p w:rsidR="006803D3" w:rsidRPr="000079B8" w:rsidRDefault="006803D3" w:rsidP="0078286B">
            <w:pPr>
              <w:rPr>
                <w:color w:val="000000" w:themeColor="text1"/>
              </w:rPr>
            </w:pPr>
            <w:r w:rsidRPr="000079B8">
              <w:rPr>
                <w:rFonts w:hint="eastAsia"/>
                <w:color w:val="000000" w:themeColor="text1"/>
              </w:rPr>
              <w:t>Proposed change</w:t>
            </w:r>
          </w:p>
        </w:tc>
      </w:tr>
      <w:tr w:rsidR="00B10572" w:rsidRPr="008913FB" w:rsidTr="0019196C">
        <w:trPr>
          <w:trHeight w:val="841"/>
        </w:trPr>
        <w:tc>
          <w:tcPr>
            <w:tcW w:w="663" w:type="dxa"/>
          </w:tcPr>
          <w:p w:rsidR="00B10572" w:rsidRPr="00F45220" w:rsidRDefault="00B10572" w:rsidP="00B10572">
            <w:pPr>
              <w:rPr>
                <w:rFonts w:ascii="Times New Roman" w:eastAsia="Batang" w:hAnsi="Times New Roman" w:cs="Times New Roman"/>
                <w:color w:val="000000" w:themeColor="text1"/>
              </w:rPr>
            </w:pPr>
            <w:r w:rsidRPr="00F45220">
              <w:rPr>
                <w:rFonts w:ascii="Times New Roman" w:eastAsia="Batang" w:hAnsi="Times New Roman" w:cs="Times New Roman" w:hint="eastAsia"/>
                <w:color w:val="000000" w:themeColor="text1"/>
              </w:rPr>
              <w:t>1597</w:t>
            </w:r>
          </w:p>
        </w:tc>
        <w:tc>
          <w:tcPr>
            <w:tcW w:w="1219" w:type="dxa"/>
          </w:tcPr>
          <w:p w:rsidR="00B10572" w:rsidRPr="00F45220" w:rsidRDefault="00B10572" w:rsidP="00B10572">
            <w:pPr>
              <w:rPr>
                <w:rFonts w:ascii="Times New Roman" w:eastAsia="Batang" w:hAnsi="Times New Roman" w:cs="Times New Roman"/>
                <w:color w:val="000000" w:themeColor="text1"/>
              </w:rPr>
            </w:pPr>
            <w:r w:rsidRPr="00F45220">
              <w:rPr>
                <w:rFonts w:ascii="Times New Roman" w:eastAsia="Batang" w:hAnsi="Times New Roman" w:cs="Times New Roman"/>
                <w:color w:val="000000" w:themeColor="text1"/>
              </w:rPr>
              <w:t>10.38.9.3.3</w:t>
            </w:r>
          </w:p>
        </w:tc>
        <w:tc>
          <w:tcPr>
            <w:tcW w:w="3749" w:type="dxa"/>
          </w:tcPr>
          <w:p w:rsidR="00B10572" w:rsidRPr="00F45220" w:rsidRDefault="00B10572" w:rsidP="00B10572">
            <w:pPr>
              <w:rPr>
                <w:rFonts w:ascii="Times New Roman" w:eastAsia="Batang" w:hAnsi="Times New Roman" w:cs="Times New Roman"/>
                <w:color w:val="000000" w:themeColor="text1"/>
              </w:rPr>
            </w:pPr>
            <w:r w:rsidRPr="00F45220">
              <w:rPr>
                <w:rFonts w:ascii="Times New Roman" w:eastAsia="Batang" w:hAnsi="Times New Roman" w:cs="Times New Roman"/>
                <w:color w:val="000000" w:themeColor="text1"/>
              </w:rPr>
              <w:t xml:space="preserve">It is not clear what the SSW frame sent by EDMG STAs should contain in the 'Sector Sweep Feedback </w:t>
            </w:r>
            <w:proofErr w:type="gramStart"/>
            <w:r w:rsidRPr="00F45220">
              <w:rPr>
                <w:rFonts w:ascii="Times New Roman" w:eastAsia="Batang" w:hAnsi="Times New Roman" w:cs="Times New Roman"/>
                <w:color w:val="000000" w:themeColor="text1"/>
              </w:rPr>
              <w:t>field' .</w:t>
            </w:r>
            <w:proofErr w:type="gramEnd"/>
            <w:r w:rsidRPr="00F45220">
              <w:rPr>
                <w:rFonts w:ascii="Times New Roman" w:eastAsia="Batang" w:hAnsi="Times New Roman" w:cs="Times New Roman"/>
                <w:color w:val="000000" w:themeColor="text1"/>
              </w:rPr>
              <w:t xml:space="preserve"> Please specify.</w:t>
            </w:r>
          </w:p>
        </w:tc>
        <w:tc>
          <w:tcPr>
            <w:tcW w:w="3578" w:type="dxa"/>
          </w:tcPr>
          <w:p w:rsidR="00B10572" w:rsidRPr="00F45220" w:rsidRDefault="00B10572" w:rsidP="00B10572">
            <w:pPr>
              <w:rPr>
                <w:rFonts w:ascii="Times New Roman" w:eastAsia="Batang" w:hAnsi="Times New Roman" w:cs="Times New Roman"/>
                <w:color w:val="000000" w:themeColor="text1"/>
              </w:rPr>
            </w:pPr>
            <w:r w:rsidRPr="00F45220">
              <w:rPr>
                <w:rFonts w:ascii="Times New Roman" w:eastAsia="Batang" w:hAnsi="Times New Roman" w:cs="Times New Roman"/>
                <w:color w:val="000000" w:themeColor="text1"/>
              </w:rPr>
              <w:t>Refine text by adding: "The 'Sector Sweep Feedback field' within the SSW frame sent by each STA shall refer to the STA's best received PCP/AP transmit sector in preceding beacon transmission. The determination of the best received sector is implementation dependent"</w:t>
            </w:r>
          </w:p>
          <w:p w:rsidR="00B10572" w:rsidRPr="00F45220" w:rsidRDefault="00B10572" w:rsidP="00B10572">
            <w:pPr>
              <w:tabs>
                <w:tab w:val="left" w:pos="664"/>
              </w:tabs>
              <w:rPr>
                <w:rFonts w:ascii="Times New Roman" w:eastAsia="Batang" w:hAnsi="Times New Roman" w:cs="Times New Roman"/>
                <w:color w:val="000000" w:themeColor="text1"/>
              </w:rPr>
            </w:pPr>
          </w:p>
        </w:tc>
      </w:tr>
    </w:tbl>
    <w:p w:rsidR="006803D3" w:rsidRPr="00C41092" w:rsidRDefault="006803D3" w:rsidP="006803D3">
      <w:pPr>
        <w:rPr>
          <w:color w:val="000000" w:themeColor="text1"/>
          <w:szCs w:val="22"/>
          <w:lang w:val="en-US" w:eastAsia="zh-CN"/>
        </w:rPr>
      </w:pPr>
    </w:p>
    <w:p w:rsidR="006803D3" w:rsidRPr="00C41092" w:rsidRDefault="0068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910026">
        <w:rPr>
          <w:color w:val="000000" w:themeColor="text1"/>
          <w:szCs w:val="22"/>
          <w:lang w:val="en-US" w:eastAsia="zh-CN"/>
        </w:rPr>
        <w:t>Rejected</w:t>
      </w:r>
    </w:p>
    <w:p w:rsidR="006803D3" w:rsidRPr="00910026" w:rsidRDefault="006803D3" w:rsidP="006803D3">
      <w:pPr>
        <w:rPr>
          <w:rFonts w:eastAsia="Batang"/>
          <w:color w:val="000000" w:themeColor="text1"/>
          <w:szCs w:val="22"/>
          <w:lang w:eastAsia="zh-CN"/>
        </w:rPr>
      </w:pPr>
    </w:p>
    <w:p w:rsidR="00B10572" w:rsidRPr="00A83CAD" w:rsidRDefault="00B10572" w:rsidP="00B10572">
      <w:pPr>
        <w:pStyle w:val="ListParagraph"/>
        <w:numPr>
          <w:ilvl w:val="0"/>
          <w:numId w:val="20"/>
        </w:numPr>
        <w:ind w:firstLineChars="0"/>
        <w:rPr>
          <w:lang w:eastAsia="zh-CN"/>
        </w:rPr>
      </w:pPr>
      <w:r>
        <w:rPr>
          <w:rFonts w:eastAsiaTheme="minorEastAsia" w:hint="eastAsia"/>
          <w:lang w:eastAsia="zh-CN"/>
        </w:rPr>
        <w:lastRenderedPageBreak/>
        <w:t xml:space="preserve">The </w:t>
      </w:r>
      <w:r>
        <w:rPr>
          <w:rFonts w:eastAsiaTheme="minorEastAsia"/>
          <w:lang w:eastAsia="zh-CN"/>
        </w:rPr>
        <w:t>information within the Sector Sweep Feedback field is already defined in 9.5.3. Specifically, the Sector Select subfield and DMG Antenna Select subfield will indicate the value of the Sector ID and DMG Antenna ID that was received with best quality.</w:t>
      </w:r>
    </w:p>
    <w:p w:rsidR="00910026" w:rsidRPr="00B10572" w:rsidRDefault="00910026" w:rsidP="00910026">
      <w:pPr>
        <w:rPr>
          <w:color w:val="000000" w:themeColor="text1"/>
          <w:lang w:eastAsia="zh-CN"/>
        </w:rPr>
      </w:pPr>
    </w:p>
    <w:p w:rsidR="00910026" w:rsidRPr="00910026" w:rsidRDefault="00910026" w:rsidP="00910026">
      <w:pPr>
        <w:rPr>
          <w:color w:val="000000" w:themeColor="text1"/>
          <w:lang w:eastAsia="zh-CN"/>
        </w:rPr>
      </w:pPr>
    </w:p>
    <w:p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4F03D3" w:rsidRPr="000079B8" w:rsidTr="004F03D3">
        <w:trPr>
          <w:trHeight w:val="841"/>
        </w:trPr>
        <w:tc>
          <w:tcPr>
            <w:tcW w:w="663" w:type="dxa"/>
          </w:tcPr>
          <w:p w:rsidR="004F03D3" w:rsidRPr="000079B8" w:rsidRDefault="004F03D3" w:rsidP="000E0793">
            <w:pPr>
              <w:rPr>
                <w:color w:val="000000" w:themeColor="text1"/>
              </w:rPr>
            </w:pPr>
            <w:r w:rsidRPr="000079B8">
              <w:rPr>
                <w:rFonts w:hint="eastAsia"/>
                <w:color w:val="000000" w:themeColor="text1"/>
              </w:rPr>
              <w:t>CID</w:t>
            </w:r>
          </w:p>
        </w:tc>
        <w:tc>
          <w:tcPr>
            <w:tcW w:w="1219" w:type="dxa"/>
          </w:tcPr>
          <w:p w:rsidR="004F03D3" w:rsidRPr="000079B8" w:rsidRDefault="004F03D3" w:rsidP="000E0793">
            <w:pPr>
              <w:rPr>
                <w:color w:val="000000" w:themeColor="text1"/>
              </w:rPr>
            </w:pPr>
            <w:r w:rsidRPr="000079B8">
              <w:rPr>
                <w:rFonts w:hint="eastAsia"/>
                <w:color w:val="000000" w:themeColor="text1"/>
              </w:rPr>
              <w:t>Clause</w:t>
            </w:r>
          </w:p>
        </w:tc>
        <w:tc>
          <w:tcPr>
            <w:tcW w:w="3752" w:type="dxa"/>
          </w:tcPr>
          <w:p w:rsidR="004F03D3" w:rsidRPr="000079B8" w:rsidRDefault="004F03D3" w:rsidP="000E0793">
            <w:pPr>
              <w:rPr>
                <w:color w:val="000000" w:themeColor="text1"/>
              </w:rPr>
            </w:pPr>
            <w:r w:rsidRPr="000079B8">
              <w:rPr>
                <w:rFonts w:hint="eastAsia"/>
                <w:color w:val="000000" w:themeColor="text1"/>
              </w:rPr>
              <w:t>Comment</w:t>
            </w:r>
          </w:p>
        </w:tc>
        <w:tc>
          <w:tcPr>
            <w:tcW w:w="3575" w:type="dxa"/>
          </w:tcPr>
          <w:p w:rsidR="004F03D3" w:rsidRPr="000079B8" w:rsidRDefault="004F03D3" w:rsidP="000E0793">
            <w:pPr>
              <w:rPr>
                <w:color w:val="000000" w:themeColor="text1"/>
              </w:rPr>
            </w:pPr>
            <w:r w:rsidRPr="000079B8">
              <w:rPr>
                <w:rFonts w:hint="eastAsia"/>
                <w:color w:val="000000" w:themeColor="text1"/>
              </w:rPr>
              <w:t>Proposed change</w:t>
            </w:r>
          </w:p>
        </w:tc>
      </w:tr>
      <w:tr w:rsidR="00B10572" w:rsidRPr="00D01E3D" w:rsidTr="004F03D3">
        <w:tc>
          <w:tcPr>
            <w:tcW w:w="663"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hint="eastAsia"/>
                <w:color w:val="000000" w:themeColor="text1"/>
              </w:rPr>
              <w:t>1955</w:t>
            </w:r>
          </w:p>
        </w:tc>
        <w:tc>
          <w:tcPr>
            <w:tcW w:w="1219"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9.4.2.250.6</w:t>
            </w:r>
          </w:p>
        </w:tc>
        <w:tc>
          <w:tcPr>
            <w:tcW w:w="3752"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 xml:space="preserve">In no place in the normative </w:t>
            </w:r>
            <w:proofErr w:type="spellStart"/>
            <w:r w:rsidRPr="00355F08">
              <w:rPr>
                <w:rFonts w:ascii="Times New Roman" w:eastAsia="Batang" w:hAnsi="Times New Roman" w:cs="Times New Roman"/>
                <w:color w:val="000000" w:themeColor="text1"/>
              </w:rPr>
              <w:t>behavior</w:t>
            </w:r>
            <w:proofErr w:type="spellEnd"/>
            <w:r w:rsidRPr="00355F08">
              <w:rPr>
                <w:rFonts w:ascii="Times New Roman" w:eastAsia="Batang" w:hAnsi="Times New Roman" w:cs="Times New Roman"/>
                <w:color w:val="000000" w:themeColor="text1"/>
              </w:rPr>
              <w:t xml:space="preserve"> text the term "static SM power save" is mentioned</w:t>
            </w:r>
          </w:p>
        </w:tc>
        <w:tc>
          <w:tcPr>
            <w:tcW w:w="3575" w:type="dxa"/>
          </w:tcPr>
          <w:p w:rsidR="00B10572" w:rsidRPr="00355F08" w:rsidRDefault="00B10572" w:rsidP="00B10572">
            <w:pPr>
              <w:rPr>
                <w:rFonts w:ascii="Times New Roman" w:eastAsia="Batang" w:hAnsi="Times New Roman" w:cs="Times New Roman"/>
                <w:color w:val="000000" w:themeColor="text1"/>
              </w:rPr>
            </w:pPr>
            <w:r w:rsidRPr="00355F08">
              <w:rPr>
                <w:rFonts w:ascii="Times New Roman" w:eastAsia="Batang" w:hAnsi="Times New Roman" w:cs="Times New Roman"/>
                <w:color w:val="000000" w:themeColor="text1"/>
              </w:rPr>
              <w:t xml:space="preserve">Refer to the "static SM power save" in the relevant place in the normative </w:t>
            </w:r>
            <w:proofErr w:type="spellStart"/>
            <w:r w:rsidRPr="00355F08">
              <w:rPr>
                <w:rFonts w:ascii="Times New Roman" w:eastAsia="Batang" w:hAnsi="Times New Roman" w:cs="Times New Roman"/>
                <w:color w:val="000000" w:themeColor="text1"/>
              </w:rPr>
              <w:t>behavior</w:t>
            </w:r>
            <w:proofErr w:type="spellEnd"/>
            <w:r w:rsidRPr="00355F08">
              <w:rPr>
                <w:rFonts w:ascii="Times New Roman" w:eastAsia="Batang" w:hAnsi="Times New Roman" w:cs="Times New Roman"/>
                <w:color w:val="000000" w:themeColor="text1"/>
              </w:rPr>
              <w:t xml:space="preserve"> text</w:t>
            </w:r>
          </w:p>
        </w:tc>
      </w:tr>
    </w:tbl>
    <w:p w:rsidR="004F03D3" w:rsidRDefault="004F03D3" w:rsidP="006803D3">
      <w:pPr>
        <w:rPr>
          <w:color w:val="00B0F0"/>
          <w:u w:val="single"/>
        </w:rPr>
      </w:pPr>
    </w:p>
    <w:p w:rsidR="004F03D3" w:rsidRDefault="004F03D3" w:rsidP="004F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Revised</w:t>
      </w:r>
    </w:p>
    <w:p w:rsidR="004F03D3" w:rsidRDefault="004F03D3" w:rsidP="004F03D3">
      <w:pPr>
        <w:rPr>
          <w:color w:val="000000" w:themeColor="text1"/>
          <w:szCs w:val="22"/>
          <w:lang w:val="en-US" w:eastAsia="zh-CN"/>
        </w:rPr>
      </w:pPr>
    </w:p>
    <w:p w:rsidR="00B10572" w:rsidRPr="00355F08" w:rsidRDefault="00B10572" w:rsidP="00B10572">
      <w:pPr>
        <w:rPr>
          <w:i/>
        </w:rPr>
      </w:pPr>
      <w:r w:rsidRPr="00355F08">
        <w:rPr>
          <w:rFonts w:hint="eastAsia"/>
          <w:i/>
        </w:rPr>
        <w:t>C</w:t>
      </w:r>
      <w:r w:rsidRPr="00355F08">
        <w:rPr>
          <w:i/>
        </w:rPr>
        <w:t>hange the second to last paragraph in 9.4.2.250.6 as follows:</w:t>
      </w:r>
    </w:p>
    <w:p w:rsidR="00B10572" w:rsidRPr="00355F08" w:rsidRDefault="00B10572" w:rsidP="00B10572">
      <w:pPr>
        <w:rPr>
          <w:rFonts w:eastAsia="Batang"/>
          <w:color w:val="000000" w:themeColor="text1"/>
        </w:rPr>
      </w:pPr>
      <w:r w:rsidRPr="00355F08">
        <w:rPr>
          <w:rFonts w:eastAsia="Batang"/>
          <w:color w:val="000000" w:themeColor="text1"/>
        </w:rPr>
        <w:t>The SM Power Save subfield indicates the support for spatial multiplexing power save for an EDMG STA (see 11.2.6). It also indicates the spatial multiplexing power save mode that is in operation immediately after (re)association. This subfield is set to 0 for static SM power save mode, 1 for dynamic SM power save mode</w:t>
      </w:r>
      <w:r>
        <w:rPr>
          <w:rFonts w:eastAsia="Batang"/>
          <w:color w:val="000000" w:themeColor="text1"/>
        </w:rPr>
        <w:t xml:space="preserve"> </w:t>
      </w:r>
      <w:r w:rsidRPr="00355F08">
        <w:rPr>
          <w:rFonts w:eastAsia="Batang"/>
          <w:color w:val="FF0000"/>
          <w:u w:val="single"/>
        </w:rPr>
        <w:t>(see 11.2.6)</w:t>
      </w:r>
      <w:r w:rsidRPr="00355F08">
        <w:rPr>
          <w:rFonts w:eastAsia="Batang"/>
          <w:color w:val="000000" w:themeColor="text1"/>
        </w:rPr>
        <w:t>, and 3 for SM power save disabled or not supported. The value of 2 is reserved.</w:t>
      </w:r>
    </w:p>
    <w:p w:rsidR="004F03D3" w:rsidRDefault="004F03D3" w:rsidP="006803D3">
      <w:pPr>
        <w:rPr>
          <w:color w:val="00B0F0"/>
          <w:u w:val="single"/>
          <w:lang w:eastAsia="zh-CN"/>
        </w:rPr>
      </w:pPr>
    </w:p>
    <w:p w:rsidR="004F03D3" w:rsidRPr="004F03D3" w:rsidRDefault="004F03D3" w:rsidP="006803D3">
      <w:pPr>
        <w:rPr>
          <w:color w:val="00B0F0"/>
          <w:u w:val="single"/>
        </w:rPr>
      </w:pPr>
    </w:p>
    <w:p w:rsidR="00E12375" w:rsidRDefault="00E12375" w:rsidP="004B566B">
      <w:pPr>
        <w:rPr>
          <w:szCs w:val="22"/>
        </w:rPr>
      </w:pPr>
    </w:p>
    <w:p w:rsidR="00E12375" w:rsidRDefault="00E12375" w:rsidP="004B566B">
      <w:pPr>
        <w:rPr>
          <w:szCs w:val="22"/>
        </w:rPr>
      </w:pPr>
      <w:bookmarkStart w:id="0" w:name="_GoBack"/>
      <w:bookmarkEnd w:id="0"/>
    </w:p>
    <w:p w:rsidR="00E12375" w:rsidRPr="00146351" w:rsidRDefault="00E12375" w:rsidP="004B566B">
      <w:pPr>
        <w:rPr>
          <w:szCs w:val="22"/>
        </w:rPr>
      </w:pPr>
    </w:p>
    <w:p w:rsidR="00090D80" w:rsidRPr="00146351" w:rsidRDefault="00090D80" w:rsidP="00090D80">
      <w:pPr>
        <w:pStyle w:val="IEEEStdsParagraph"/>
        <w:tabs>
          <w:tab w:val="left" w:pos="1260"/>
        </w:tabs>
        <w:jc w:val="left"/>
        <w:rPr>
          <w:b/>
          <w:sz w:val="22"/>
          <w:szCs w:val="22"/>
        </w:rPr>
      </w:pPr>
      <w:r w:rsidRPr="00146351">
        <w:rPr>
          <w:b/>
          <w:sz w:val="22"/>
          <w:szCs w:val="22"/>
        </w:rPr>
        <w:t>Straw Poll:</w:t>
      </w:r>
    </w:p>
    <w:p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4957EB">
        <w:rPr>
          <w:b/>
          <w:bCs/>
          <w:szCs w:val="22"/>
          <w:lang w:val="en-US" w:eastAsia="ja-JP"/>
        </w:rPr>
        <w:t>0722</w:t>
      </w:r>
      <w:r w:rsidR="00AB2953" w:rsidRPr="00146351">
        <w:rPr>
          <w:b/>
          <w:bCs/>
          <w:szCs w:val="22"/>
          <w:lang w:val="en-US" w:eastAsia="ja-JP"/>
        </w:rPr>
        <w:t>r0</w:t>
      </w:r>
      <w:r w:rsidRPr="00146351">
        <w:rPr>
          <w:b/>
          <w:bCs/>
          <w:szCs w:val="22"/>
          <w:lang w:val="en-US" w:eastAsia="ja-JP"/>
        </w:rPr>
        <w:t>?</w:t>
      </w:r>
    </w:p>
    <w:p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121" w:rsidRDefault="009F6121">
      <w:r>
        <w:separator/>
      </w:r>
    </w:p>
  </w:endnote>
  <w:endnote w:type="continuationSeparator" w:id="0">
    <w:p w:rsidR="009F6121" w:rsidRDefault="009F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3" w:rsidRDefault="00555554">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4957EB">
      <w:rPr>
        <w:noProof/>
      </w:rPr>
      <w:t>2</w:t>
    </w:r>
    <w:r w:rsidR="000E0793">
      <w:fldChar w:fldCharType="end"/>
    </w:r>
    <w:r w:rsidR="000E0793">
      <w:tab/>
    </w:r>
    <w:fldSimple w:instr=" COMMENTS  \* MERGEFORMAT ">
      <w:r w:rsidR="000E0793">
        <w:t>Cheng Chen, Intel</w:t>
      </w:r>
    </w:fldSimple>
  </w:p>
  <w:p w:rsidR="000E0793" w:rsidRDefault="000E0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121" w:rsidRDefault="009F6121">
      <w:r>
        <w:separator/>
      </w:r>
    </w:p>
  </w:footnote>
  <w:footnote w:type="continuationSeparator" w:id="0">
    <w:p w:rsidR="009F6121" w:rsidRDefault="009F6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93" w:rsidRDefault="00555554">
    <w:pPr>
      <w:pStyle w:val="Header"/>
      <w:tabs>
        <w:tab w:val="clear" w:pos="6480"/>
        <w:tab w:val="center" w:pos="4680"/>
        <w:tab w:val="right" w:pos="9360"/>
      </w:tabs>
    </w:pPr>
    <w:fldSimple w:instr=" KEYWORDS  \* MERGEFORMAT ">
      <w:r w:rsidR="00902924">
        <w:t>May 2018</w:t>
      </w:r>
    </w:fldSimple>
    <w:r w:rsidR="000E0793">
      <w:tab/>
    </w:r>
    <w:r w:rsidR="000E0793">
      <w:tab/>
    </w:r>
    <w:fldSimple w:instr=" TITLE  \* MERGEFORMAT ">
      <w:r w:rsidR="00902924">
        <w:t>doc.: IEEE 802.11-18/0722r0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916715"/>
    <w:multiLevelType w:val="hybridMultilevel"/>
    <w:tmpl w:val="028400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26"/>
  </w:num>
  <w:num w:numId="4">
    <w:abstractNumId w:val="22"/>
  </w:num>
  <w:num w:numId="5">
    <w:abstractNumId w:val="10"/>
  </w:num>
  <w:num w:numId="6">
    <w:abstractNumId w:val="15"/>
  </w:num>
  <w:num w:numId="7">
    <w:abstractNumId w:val="11"/>
  </w:num>
  <w:num w:numId="8">
    <w:abstractNumId w:val="5"/>
  </w:num>
  <w:num w:numId="9">
    <w:abstractNumId w:val="24"/>
  </w:num>
  <w:num w:numId="10">
    <w:abstractNumId w:val="13"/>
  </w:num>
  <w:num w:numId="11">
    <w:abstractNumId w:val="14"/>
  </w:num>
  <w:num w:numId="12">
    <w:abstractNumId w:val="4"/>
  </w:num>
  <w:num w:numId="13">
    <w:abstractNumId w:val="19"/>
  </w:num>
  <w:num w:numId="14">
    <w:abstractNumId w:val="9"/>
  </w:num>
  <w:num w:numId="15">
    <w:abstractNumId w:val="17"/>
  </w:num>
  <w:num w:numId="16">
    <w:abstractNumId w:val="0"/>
  </w:num>
  <w:num w:numId="17">
    <w:abstractNumId w:val="2"/>
  </w:num>
  <w:num w:numId="18">
    <w:abstractNumId w:val="1"/>
  </w:num>
  <w:num w:numId="19">
    <w:abstractNumId w:val="25"/>
  </w:num>
  <w:num w:numId="20">
    <w:abstractNumId w:val="12"/>
  </w:num>
  <w:num w:numId="21">
    <w:abstractNumId w:val="18"/>
  </w:num>
  <w:num w:numId="22">
    <w:abstractNumId w:val="16"/>
  </w:num>
  <w:num w:numId="23">
    <w:abstractNumId w:val="7"/>
  </w:num>
  <w:num w:numId="24">
    <w:abstractNumId w:val="8"/>
  </w:num>
  <w:num w:numId="25">
    <w:abstractNumId w:val="3"/>
  </w:num>
  <w:num w:numId="26">
    <w:abstractNumId w:val="2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57546"/>
    <w:rsid w:val="00064C75"/>
    <w:rsid w:val="000771C7"/>
    <w:rsid w:val="00090D80"/>
    <w:rsid w:val="0009459F"/>
    <w:rsid w:val="000C02E5"/>
    <w:rsid w:val="000D5D7B"/>
    <w:rsid w:val="000E0793"/>
    <w:rsid w:val="000E307E"/>
    <w:rsid w:val="000F181D"/>
    <w:rsid w:val="00112C74"/>
    <w:rsid w:val="0011783C"/>
    <w:rsid w:val="00146351"/>
    <w:rsid w:val="00157F26"/>
    <w:rsid w:val="00166474"/>
    <w:rsid w:val="0019196C"/>
    <w:rsid w:val="001B602B"/>
    <w:rsid w:val="001D723B"/>
    <w:rsid w:val="001E3A3B"/>
    <w:rsid w:val="00222A64"/>
    <w:rsid w:val="0024723F"/>
    <w:rsid w:val="00261D7D"/>
    <w:rsid w:val="00264552"/>
    <w:rsid w:val="00264ECD"/>
    <w:rsid w:val="00272BD4"/>
    <w:rsid w:val="002860A5"/>
    <w:rsid w:val="0029020B"/>
    <w:rsid w:val="00290927"/>
    <w:rsid w:val="002C033F"/>
    <w:rsid w:val="002C0800"/>
    <w:rsid w:val="002D3CCB"/>
    <w:rsid w:val="002D44BE"/>
    <w:rsid w:val="00312431"/>
    <w:rsid w:val="00343E67"/>
    <w:rsid w:val="00385E90"/>
    <w:rsid w:val="003A3DAA"/>
    <w:rsid w:val="003C5D0D"/>
    <w:rsid w:val="003D26C5"/>
    <w:rsid w:val="00442037"/>
    <w:rsid w:val="00452B17"/>
    <w:rsid w:val="004957EB"/>
    <w:rsid w:val="004B064B"/>
    <w:rsid w:val="004B566B"/>
    <w:rsid w:val="004C36F4"/>
    <w:rsid w:val="004D4B32"/>
    <w:rsid w:val="004E1F55"/>
    <w:rsid w:val="004F03D3"/>
    <w:rsid w:val="004F6888"/>
    <w:rsid w:val="00507A3E"/>
    <w:rsid w:val="005115B4"/>
    <w:rsid w:val="00555554"/>
    <w:rsid w:val="00564670"/>
    <w:rsid w:val="005856AD"/>
    <w:rsid w:val="005869AF"/>
    <w:rsid w:val="005D0B43"/>
    <w:rsid w:val="005E688B"/>
    <w:rsid w:val="006015AF"/>
    <w:rsid w:val="0062440B"/>
    <w:rsid w:val="00626B9F"/>
    <w:rsid w:val="00650133"/>
    <w:rsid w:val="006803D3"/>
    <w:rsid w:val="006A5A9A"/>
    <w:rsid w:val="006B5BE1"/>
    <w:rsid w:val="006C0727"/>
    <w:rsid w:val="006C29EF"/>
    <w:rsid w:val="006D42B4"/>
    <w:rsid w:val="006E145F"/>
    <w:rsid w:val="006F0A92"/>
    <w:rsid w:val="00701DD6"/>
    <w:rsid w:val="007419FA"/>
    <w:rsid w:val="00770572"/>
    <w:rsid w:val="00774F4C"/>
    <w:rsid w:val="0078286B"/>
    <w:rsid w:val="00783C21"/>
    <w:rsid w:val="007860D8"/>
    <w:rsid w:val="00790978"/>
    <w:rsid w:val="007B6BA8"/>
    <w:rsid w:val="007C5F57"/>
    <w:rsid w:val="007E1075"/>
    <w:rsid w:val="007F1238"/>
    <w:rsid w:val="00816EE0"/>
    <w:rsid w:val="00843A5A"/>
    <w:rsid w:val="00866190"/>
    <w:rsid w:val="00880ED4"/>
    <w:rsid w:val="008B0301"/>
    <w:rsid w:val="008B3A42"/>
    <w:rsid w:val="008E4DDC"/>
    <w:rsid w:val="0090175B"/>
    <w:rsid w:val="00902924"/>
    <w:rsid w:val="0090477F"/>
    <w:rsid w:val="00905C9D"/>
    <w:rsid w:val="00910026"/>
    <w:rsid w:val="00940267"/>
    <w:rsid w:val="00972CA7"/>
    <w:rsid w:val="00974C79"/>
    <w:rsid w:val="00977994"/>
    <w:rsid w:val="009E5586"/>
    <w:rsid w:val="009F1274"/>
    <w:rsid w:val="009F2FBC"/>
    <w:rsid w:val="009F6121"/>
    <w:rsid w:val="00A02C1F"/>
    <w:rsid w:val="00A04416"/>
    <w:rsid w:val="00A13F86"/>
    <w:rsid w:val="00A259B6"/>
    <w:rsid w:val="00A62766"/>
    <w:rsid w:val="00A660C6"/>
    <w:rsid w:val="00A724DB"/>
    <w:rsid w:val="00A77C26"/>
    <w:rsid w:val="00A83CAD"/>
    <w:rsid w:val="00A927A2"/>
    <w:rsid w:val="00A9392C"/>
    <w:rsid w:val="00AA2A80"/>
    <w:rsid w:val="00AA2B41"/>
    <w:rsid w:val="00AA427C"/>
    <w:rsid w:val="00AB2953"/>
    <w:rsid w:val="00B10572"/>
    <w:rsid w:val="00B126F0"/>
    <w:rsid w:val="00B80F99"/>
    <w:rsid w:val="00B9376F"/>
    <w:rsid w:val="00BB63B3"/>
    <w:rsid w:val="00BC3B91"/>
    <w:rsid w:val="00BE68C2"/>
    <w:rsid w:val="00C22CB7"/>
    <w:rsid w:val="00C315EC"/>
    <w:rsid w:val="00C32B22"/>
    <w:rsid w:val="00C41092"/>
    <w:rsid w:val="00C415B3"/>
    <w:rsid w:val="00C86428"/>
    <w:rsid w:val="00CA01B1"/>
    <w:rsid w:val="00CA09B2"/>
    <w:rsid w:val="00CB0E04"/>
    <w:rsid w:val="00CE1D26"/>
    <w:rsid w:val="00CE6CEA"/>
    <w:rsid w:val="00D36595"/>
    <w:rsid w:val="00D43CD3"/>
    <w:rsid w:val="00DC5A7B"/>
    <w:rsid w:val="00DC6A98"/>
    <w:rsid w:val="00DD3530"/>
    <w:rsid w:val="00E00611"/>
    <w:rsid w:val="00E12375"/>
    <w:rsid w:val="00EC02CD"/>
    <w:rsid w:val="00EC3CF2"/>
    <w:rsid w:val="00F45220"/>
    <w:rsid w:val="00F66037"/>
    <w:rsid w:val="00F67E6F"/>
    <w:rsid w:val="00F70CAC"/>
    <w:rsid w:val="00F71EF0"/>
    <w:rsid w:val="00F96808"/>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85246">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8098</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802.11-18/0355r0</vt:lpstr>
    </vt:vector>
  </TitlesOfParts>
  <Company>Some Company</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802.11-18/0722r0</dc:title>
  <dc:subject>Submission</dc:subject>
  <dc:creator>cheng.chen@intel.com</dc:creator>
  <cp:keywords>May 2018</cp:keywords>
  <dc:description>Cheng Chen, Intel</dc:description>
  <cp:lastModifiedBy>Chen, Cheng</cp:lastModifiedBy>
  <cp:revision>48</cp:revision>
  <cp:lastPrinted>2017-02-23T01:37:00Z</cp:lastPrinted>
  <dcterms:created xsi:type="dcterms:W3CDTF">2017-02-23T01:37:00Z</dcterms:created>
  <dcterms:modified xsi:type="dcterms:W3CDTF">2018-05-02T18:07:00Z</dcterms:modified>
</cp:coreProperties>
</file>