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 xml:space="preserve">IEEE </w:t>
      </w:r>
      <w:proofErr w:type="spellStart"/>
      <w:r w:rsidRPr="004D2D75">
        <w:t>P802.11</w:t>
      </w:r>
      <w:proofErr w:type="spellEnd"/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B2499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1BFA897C" w:rsidR="00C723BC" w:rsidRPr="00183F4C" w:rsidRDefault="00B24997" w:rsidP="00FD13DD">
            <w:pPr>
              <w:pStyle w:val="T2"/>
            </w:pPr>
            <w:r>
              <w:rPr>
                <w:lang w:eastAsia="ko-KR"/>
              </w:rPr>
              <w:t>CIDs 1388 and 1359</w:t>
            </w:r>
          </w:p>
        </w:tc>
      </w:tr>
      <w:tr w:rsidR="00C723BC" w:rsidRPr="00183F4C" w14:paraId="5B9F14D2" w14:textId="77777777" w:rsidTr="00B2499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8DBF336" w:rsidR="00C723BC" w:rsidRPr="00183F4C" w:rsidRDefault="00C723BC" w:rsidP="00777246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 w:rsidR="00FD7D9A">
              <w:rPr>
                <w:b w:val="0"/>
                <w:sz w:val="20"/>
              </w:rPr>
              <w:t>05/07</w:t>
            </w:r>
            <w:r w:rsidR="00B24997">
              <w:rPr>
                <w:b w:val="0"/>
                <w:sz w:val="20"/>
              </w:rPr>
              <w:t>/2018</w:t>
            </w:r>
          </w:p>
        </w:tc>
      </w:tr>
      <w:tr w:rsidR="00C723BC" w:rsidRPr="00183F4C" w14:paraId="60D08A4F" w14:textId="77777777" w:rsidTr="00B2499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B24997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24997" w:rsidRPr="00183F4C" w14:paraId="12547924" w14:textId="77777777" w:rsidTr="00B24997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39A6386" w:rsidR="00B24997" w:rsidRDefault="00B249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440" w:type="dxa"/>
            <w:vAlign w:val="center"/>
          </w:tcPr>
          <w:p w14:paraId="33CCEDE6" w14:textId="33053028" w:rsidR="00B24997" w:rsidRDefault="00B249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Quantenna</w:t>
            </w:r>
          </w:p>
        </w:tc>
        <w:tc>
          <w:tcPr>
            <w:tcW w:w="2610" w:type="dxa"/>
            <w:vAlign w:val="center"/>
          </w:tcPr>
          <w:p w14:paraId="57CF593C" w14:textId="26C71BED" w:rsidR="00B24997" w:rsidRDefault="00B249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89F33FB" w14:textId="691543A6" w:rsidR="00B24997" w:rsidRPr="002C60AE" w:rsidRDefault="00B24997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4485735A" w:rsidR="00B24997" w:rsidRDefault="00B24997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sschelstraete@quantenna.com</w:t>
            </w:r>
          </w:p>
        </w:tc>
      </w:tr>
    </w:tbl>
    <w:p w14:paraId="0AB1B459" w14:textId="77777777" w:rsidR="003E4403" w:rsidRDefault="003E4403">
      <w:pPr>
        <w:pStyle w:val="T1"/>
        <w:rPr>
          <w:sz w:val="22"/>
        </w:rPr>
      </w:pPr>
    </w:p>
    <w:p w14:paraId="5E606FE7" w14:textId="77777777" w:rsidR="003E4403" w:rsidRDefault="003E4403">
      <w:pPr>
        <w:pStyle w:val="T1"/>
        <w:rPr>
          <w:sz w:val="22"/>
        </w:rPr>
      </w:pPr>
    </w:p>
    <w:p w14:paraId="34B1EC40" w14:textId="77777777" w:rsidR="003E4403" w:rsidRDefault="003E4403" w:rsidP="003E4403">
      <w:pPr>
        <w:pStyle w:val="T1"/>
      </w:pPr>
      <w:r>
        <w:t>Abstract</w:t>
      </w:r>
    </w:p>
    <w:p w14:paraId="28C12C57" w14:textId="133B5905" w:rsidR="00B24997" w:rsidRDefault="003E4403" w:rsidP="00B24997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B24997">
        <w:rPr>
          <w:lang w:eastAsia="ko-KR"/>
        </w:rPr>
        <w:t xml:space="preserve">CIDs </w:t>
      </w:r>
      <w:r w:rsidR="0002537D">
        <w:rPr>
          <w:lang w:eastAsia="ko-KR"/>
        </w:rPr>
        <w:t>1359</w:t>
      </w:r>
      <w:r w:rsidR="00B24997">
        <w:rPr>
          <w:lang w:eastAsia="ko-KR"/>
        </w:rPr>
        <w:t xml:space="preserve"> and </w:t>
      </w:r>
      <w:r w:rsidR="0002537D">
        <w:rPr>
          <w:lang w:eastAsia="ko-KR"/>
        </w:rPr>
        <w:t>1388</w:t>
      </w:r>
    </w:p>
    <w:p w14:paraId="2A26F306" w14:textId="456DA719" w:rsidR="00BA6C7C" w:rsidRDefault="003B7463" w:rsidP="003B7463">
      <w:pPr>
        <w:tabs>
          <w:tab w:val="left" w:pos="8715"/>
        </w:tabs>
        <w:jc w:val="both"/>
      </w:pPr>
      <w:r>
        <w:tab/>
      </w:r>
      <w:bookmarkStart w:id="0" w:name="_GoBack"/>
      <w:bookmarkEnd w:id="0"/>
    </w:p>
    <w:p w14:paraId="05AC6B74" w14:textId="77777777" w:rsidR="00004971" w:rsidRDefault="00004971" w:rsidP="00DE29D6">
      <w:pPr>
        <w:ind w:left="360"/>
        <w:jc w:val="both"/>
      </w:pPr>
    </w:p>
    <w:p w14:paraId="12235F8F" w14:textId="77777777" w:rsidR="004F5CF9" w:rsidRDefault="004F5CF9" w:rsidP="004F5CF9">
      <w:pPr>
        <w:pStyle w:val="ListParagraph"/>
        <w:ind w:leftChars="0" w:left="720"/>
        <w:jc w:val="both"/>
      </w:pPr>
    </w:p>
    <w:p w14:paraId="3345F5C9" w14:textId="77777777" w:rsidR="003E4403" w:rsidRPr="003E4403" w:rsidRDefault="003E4403">
      <w:pPr>
        <w:pStyle w:val="T1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006B3EB7" w:rsidR="00DC0CA2" w:rsidRDefault="005E768D" w:rsidP="00455C69">
      <w:pPr>
        <w:pStyle w:val="Heading1"/>
      </w:pPr>
      <w:r w:rsidRPr="004D2D75">
        <w:br w:type="page"/>
      </w:r>
      <w:r w:rsidR="00455C69">
        <w:lastRenderedPageBreak/>
        <w:t>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900"/>
        <w:gridCol w:w="900"/>
        <w:gridCol w:w="800"/>
        <w:gridCol w:w="2680"/>
        <w:gridCol w:w="2680"/>
      </w:tblGrid>
      <w:tr w:rsidR="00455C69" w:rsidRPr="00455C69" w14:paraId="10CD5A0E" w14:textId="77777777" w:rsidTr="00455C69">
        <w:trPr>
          <w:trHeight w:val="1785"/>
        </w:trPr>
        <w:tc>
          <w:tcPr>
            <w:tcW w:w="656" w:type="dxa"/>
            <w:hideMark/>
          </w:tcPr>
          <w:p w14:paraId="3E3A0E61" w14:textId="77777777" w:rsidR="00455C69" w:rsidRPr="00455C69" w:rsidRDefault="00455C69" w:rsidP="00455C69">
            <w:pPr>
              <w:rPr>
                <w:lang w:val="en-US"/>
              </w:rPr>
            </w:pPr>
            <w:r w:rsidRPr="00455C69">
              <w:t>1359</w:t>
            </w:r>
          </w:p>
        </w:tc>
        <w:tc>
          <w:tcPr>
            <w:tcW w:w="900" w:type="dxa"/>
            <w:hideMark/>
          </w:tcPr>
          <w:p w14:paraId="54466CA3" w14:textId="77777777" w:rsidR="00455C69" w:rsidRPr="00455C69" w:rsidRDefault="00455C69">
            <w:r w:rsidRPr="00455C69">
              <w:t>19.3.4</w:t>
            </w:r>
          </w:p>
        </w:tc>
        <w:tc>
          <w:tcPr>
            <w:tcW w:w="900" w:type="dxa"/>
            <w:hideMark/>
          </w:tcPr>
          <w:p w14:paraId="2CC29B68" w14:textId="77777777" w:rsidR="00455C69" w:rsidRPr="00455C69" w:rsidRDefault="00455C69">
            <w:r w:rsidRPr="00455C69">
              <w:t>2755</w:t>
            </w:r>
          </w:p>
        </w:tc>
        <w:tc>
          <w:tcPr>
            <w:tcW w:w="800" w:type="dxa"/>
            <w:hideMark/>
          </w:tcPr>
          <w:p w14:paraId="40D0B7BA" w14:textId="77777777" w:rsidR="00455C69" w:rsidRPr="00455C69" w:rsidRDefault="00455C69">
            <w:r w:rsidRPr="00455C69">
              <w:t>58</w:t>
            </w:r>
          </w:p>
        </w:tc>
        <w:tc>
          <w:tcPr>
            <w:tcW w:w="2680" w:type="dxa"/>
            <w:hideMark/>
          </w:tcPr>
          <w:p w14:paraId="22253755" w14:textId="77777777" w:rsidR="00455C69" w:rsidRPr="00455C69" w:rsidRDefault="00455C69">
            <w:r w:rsidRPr="00455C69">
              <w:t>Figure 19-3 says that "When STBC is used, the STBC block has more outputs than inputs." but the figure shows the opposite (the STBC block has 4 inputs and 4 outputs)</w:t>
            </w:r>
          </w:p>
        </w:tc>
        <w:tc>
          <w:tcPr>
            <w:tcW w:w="2680" w:type="dxa"/>
            <w:hideMark/>
          </w:tcPr>
          <w:p w14:paraId="08C88CC7" w14:textId="77777777" w:rsidR="00455C69" w:rsidRPr="00455C69" w:rsidRDefault="00455C69">
            <w:r w:rsidRPr="00455C69">
              <w:t>Delete the cited text in the referenced figure</w:t>
            </w:r>
          </w:p>
        </w:tc>
      </w:tr>
      <w:tr w:rsidR="00455C69" w:rsidRPr="00455C69" w14:paraId="21730C3D" w14:textId="77777777" w:rsidTr="00455C69">
        <w:trPr>
          <w:trHeight w:val="2295"/>
        </w:trPr>
        <w:tc>
          <w:tcPr>
            <w:tcW w:w="656" w:type="dxa"/>
            <w:hideMark/>
          </w:tcPr>
          <w:p w14:paraId="04384B26" w14:textId="77777777" w:rsidR="00455C69" w:rsidRPr="00455C69" w:rsidRDefault="00455C69" w:rsidP="00455C69">
            <w:pPr>
              <w:rPr>
                <w:lang w:val="en-US"/>
              </w:rPr>
            </w:pPr>
            <w:r w:rsidRPr="00455C69">
              <w:t>1388</w:t>
            </w:r>
          </w:p>
        </w:tc>
        <w:tc>
          <w:tcPr>
            <w:tcW w:w="900" w:type="dxa"/>
            <w:hideMark/>
          </w:tcPr>
          <w:p w14:paraId="7EA79178" w14:textId="77777777" w:rsidR="00455C69" w:rsidRPr="00455C69" w:rsidRDefault="00455C69">
            <w:r w:rsidRPr="00455C69">
              <w:t>19.3.5</w:t>
            </w:r>
          </w:p>
        </w:tc>
        <w:tc>
          <w:tcPr>
            <w:tcW w:w="900" w:type="dxa"/>
            <w:hideMark/>
          </w:tcPr>
          <w:p w14:paraId="7D84B049" w14:textId="77777777" w:rsidR="00455C69" w:rsidRPr="00455C69" w:rsidRDefault="00455C69">
            <w:r w:rsidRPr="00455C69">
              <w:t>2759</w:t>
            </w:r>
          </w:p>
        </w:tc>
        <w:tc>
          <w:tcPr>
            <w:tcW w:w="800" w:type="dxa"/>
            <w:hideMark/>
          </w:tcPr>
          <w:p w14:paraId="666BDEEC" w14:textId="77777777" w:rsidR="00455C69" w:rsidRPr="00455C69" w:rsidRDefault="00455C69">
            <w:r w:rsidRPr="00455C69">
              <w:t>25</w:t>
            </w:r>
          </w:p>
        </w:tc>
        <w:tc>
          <w:tcPr>
            <w:tcW w:w="2680" w:type="dxa"/>
            <w:hideMark/>
          </w:tcPr>
          <w:p w14:paraId="5353EE0F" w14:textId="5969F9A3" w:rsidR="00455C69" w:rsidRPr="00455C69" w:rsidRDefault="00455C69">
            <w:r w:rsidRPr="00455C69">
              <w:t>"An HT AP that is not a VHT AP shall support all EQM rates for two spatial streams</w:t>
            </w:r>
            <w:r w:rsidR="0002537D">
              <w:t xml:space="preserve"> </w:t>
            </w:r>
            <w:r w:rsidRPr="00455C69">
              <w:t xml:space="preserve">(MCSs  </w:t>
            </w:r>
            <w:proofErr w:type="gramStart"/>
            <w:r w:rsidRPr="00455C69">
              <w:t>8  to</w:t>
            </w:r>
            <w:proofErr w:type="gramEnd"/>
            <w:r w:rsidRPr="00455C69">
              <w:t xml:space="preserve">  15)  using  a  20  MHz  channel  width." -- there is no reason a VHT AP should be inferior to an HT AP</w:t>
            </w:r>
          </w:p>
        </w:tc>
        <w:tc>
          <w:tcPr>
            <w:tcW w:w="2680" w:type="dxa"/>
            <w:hideMark/>
          </w:tcPr>
          <w:p w14:paraId="55E0859F" w14:textId="77777777" w:rsidR="00455C69" w:rsidRPr="00455C69" w:rsidRDefault="00455C69">
            <w:r w:rsidRPr="00455C69">
              <w:t>Delete "that is not a VHT AP" in the cited text at the referenced location</w:t>
            </w:r>
          </w:p>
        </w:tc>
      </w:tr>
    </w:tbl>
    <w:p w14:paraId="747ADAA0" w14:textId="1B36EDB8" w:rsidR="00455C69" w:rsidRDefault="00455C69" w:rsidP="00455C69"/>
    <w:p w14:paraId="2A8C1938" w14:textId="6128F948" w:rsidR="00455C69" w:rsidRDefault="00837136" w:rsidP="00837136">
      <w:pPr>
        <w:pStyle w:val="Heading1"/>
      </w:pPr>
      <w:r>
        <w:t xml:space="preserve">CID </w:t>
      </w:r>
      <w:r w:rsidR="0002537D">
        <w:t>1359</w:t>
      </w:r>
    </w:p>
    <w:p w14:paraId="262AE442" w14:textId="3E9E3410" w:rsidR="00837136" w:rsidRPr="00837136" w:rsidRDefault="00837136" w:rsidP="00837136">
      <w:pPr>
        <w:pStyle w:val="Heading2"/>
      </w:pPr>
      <w:r>
        <w:t>Discussion</w:t>
      </w:r>
    </w:p>
    <w:p w14:paraId="1D61CDFC" w14:textId="439D0C42" w:rsidR="00837136" w:rsidRDefault="00837136" w:rsidP="00837136">
      <w:r>
        <w:t>The Context of the comment is Figure 19-3, which is shown below.</w:t>
      </w:r>
    </w:p>
    <w:p w14:paraId="7AEC06A1" w14:textId="77777777" w:rsidR="0002537D" w:rsidRPr="00837136" w:rsidRDefault="0002537D" w:rsidP="00837136"/>
    <w:p w14:paraId="36D87DC8" w14:textId="1F0072F2" w:rsidR="007A28DA" w:rsidRDefault="007A28DA" w:rsidP="00455C69">
      <w:r>
        <w:rPr>
          <w:noProof/>
        </w:rPr>
        <w:lastRenderedPageBreak/>
        <w:drawing>
          <wp:inline distT="0" distB="0" distL="0" distR="0" wp14:anchorId="7EABBE38" wp14:editId="08B75FDF">
            <wp:extent cx="6263640" cy="5092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65DD1" w14:textId="2B7CCCDD" w:rsidR="00754347" w:rsidRDefault="00754347" w:rsidP="00455C69">
      <w:r>
        <w:t xml:space="preserve">The transmitter block diagram in Figure 19-3 illustrates the signal flow for data transmission. There are many different options for </w:t>
      </w:r>
      <w:r w:rsidR="00DD5228">
        <w:t>HT</w:t>
      </w:r>
      <w:r>
        <w:t xml:space="preserve"> transmission, but the figure is not intended to cover them all. The </w:t>
      </w:r>
      <w:proofErr w:type="gramStart"/>
      <w:r>
        <w:t>particular case</w:t>
      </w:r>
      <w:proofErr w:type="gramEnd"/>
      <w:r>
        <w:t xml:space="preserve"> shown in Figure 19-3 has two FEC encoders, 4 streams at the output of the stream parser, BCC coding, no STBC, equal number of transmit chains and space-time streams and 4 streams at the i</w:t>
      </w:r>
      <w:r w:rsidR="0066081B">
        <w:t>n</w:t>
      </w:r>
      <w:r>
        <w:t>put of the spatial mapper.</w:t>
      </w:r>
    </w:p>
    <w:p w14:paraId="6F466FEC" w14:textId="3F6EEB4B" w:rsidR="007A28DA" w:rsidRDefault="00754347" w:rsidP="00455C69">
      <w:r>
        <w:t xml:space="preserve">The NOTES simply highlight some of the other modes that can be used when transmitting </w:t>
      </w:r>
      <w:r w:rsidR="00DD5228">
        <w:t>HT</w:t>
      </w:r>
      <w:r>
        <w:t xml:space="preserve"> and which would result in a transmitter block diagram that looks different from the one shown in Figure 19-3. Each of the bullets listed under “NOTES” would result in changes to the transmitter block diagram of Figure 19-3. </w:t>
      </w:r>
    </w:p>
    <w:p w14:paraId="6BC2ACD4" w14:textId="1A7B13AC" w:rsidR="00754347" w:rsidRDefault="00754347" w:rsidP="00455C69">
      <w:r>
        <w:t xml:space="preserve">Note that even when STBC is not used, the flow conceptually still goes through the STBC block as explained in clause </w:t>
      </w:r>
      <w:r w:rsidRPr="00754347">
        <w:t>19.3.11.9.2</w:t>
      </w:r>
      <w:r>
        <w:t xml:space="preserve"> (</w:t>
      </w:r>
      <w:r w:rsidRPr="00754347">
        <w:t>Space-time block coding</w:t>
      </w:r>
      <w:r>
        <w:t>). On page 2792, line 41, it says:</w:t>
      </w:r>
    </w:p>
    <w:p w14:paraId="7EAE629B" w14:textId="76887342" w:rsidR="00754347" w:rsidRDefault="00754347" w:rsidP="00754347">
      <w:pPr>
        <w:jc w:val="center"/>
      </w:pPr>
      <w:r>
        <w:rPr>
          <w:noProof/>
        </w:rPr>
        <w:drawing>
          <wp:inline distT="0" distB="0" distL="0" distR="0" wp14:anchorId="6BBAA136" wp14:editId="657EB977">
            <wp:extent cx="3954581" cy="368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4540" cy="39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E26C0" w14:textId="46E74CA2" w:rsidR="00754347" w:rsidRDefault="00754347" w:rsidP="00455C69"/>
    <w:p w14:paraId="0CB92BD8" w14:textId="0D334E3B" w:rsidR="00837136" w:rsidRDefault="00837136" w:rsidP="00837136">
      <w:pPr>
        <w:pStyle w:val="Heading2"/>
      </w:pPr>
      <w:r>
        <w:t>Proposed Resolution</w:t>
      </w:r>
    </w:p>
    <w:p w14:paraId="652DD62E" w14:textId="354EB9BB" w:rsidR="00754347" w:rsidRDefault="00837136" w:rsidP="00455C69">
      <w:r>
        <w:t>Clarify</w:t>
      </w:r>
      <w:r w:rsidR="0066081B">
        <w:t xml:space="preserve"> the intend</w:t>
      </w:r>
      <w:r>
        <w:t xml:space="preserve">ed configuration of Figure 19-3, by </w:t>
      </w:r>
      <w:r w:rsidR="008C3E58">
        <w:t>modifying the notes in the Figure as shown below.</w:t>
      </w:r>
    </w:p>
    <w:p w14:paraId="0FF7E946" w14:textId="5C9B8C78" w:rsidR="00837136" w:rsidRDefault="00892CC6" w:rsidP="00455C69">
      <w:r>
        <w:rPr>
          <w:noProof/>
        </w:rPr>
        <w:lastRenderedPageBreak/>
        <w:drawing>
          <wp:inline distT="0" distB="0" distL="0" distR="0" wp14:anchorId="5668BFD1" wp14:editId="11325A2B">
            <wp:extent cx="6263640" cy="535876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3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B336" w14:textId="39D8C279" w:rsidR="0066081B" w:rsidRDefault="0066081B" w:rsidP="00455C69"/>
    <w:p w14:paraId="478E363A" w14:textId="4DF6AD45" w:rsidR="00455C69" w:rsidRDefault="00455C69" w:rsidP="00F2637D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656"/>
        <w:gridCol w:w="766"/>
        <w:gridCol w:w="656"/>
        <w:gridCol w:w="437"/>
        <w:gridCol w:w="2920"/>
        <w:gridCol w:w="2318"/>
        <w:gridCol w:w="2772"/>
      </w:tblGrid>
      <w:tr w:rsidR="00837136" w:rsidRPr="00837136" w14:paraId="0F2417E0" w14:textId="77777777" w:rsidTr="00837136">
        <w:trPr>
          <w:trHeight w:val="377"/>
        </w:trPr>
        <w:tc>
          <w:tcPr>
            <w:tcW w:w="656" w:type="dxa"/>
          </w:tcPr>
          <w:p w14:paraId="3926BF2A" w14:textId="77777777" w:rsidR="00837136" w:rsidRPr="00837136" w:rsidRDefault="00837136" w:rsidP="00910B32">
            <w:pPr>
              <w:rPr>
                <w:b/>
              </w:rPr>
            </w:pPr>
          </w:p>
        </w:tc>
        <w:tc>
          <w:tcPr>
            <w:tcW w:w="766" w:type="dxa"/>
          </w:tcPr>
          <w:p w14:paraId="1E809270" w14:textId="77777777" w:rsidR="00837136" w:rsidRPr="00837136" w:rsidRDefault="00837136" w:rsidP="00910B32">
            <w:pPr>
              <w:rPr>
                <w:b/>
              </w:rPr>
            </w:pPr>
          </w:p>
        </w:tc>
        <w:tc>
          <w:tcPr>
            <w:tcW w:w="656" w:type="dxa"/>
          </w:tcPr>
          <w:p w14:paraId="457EA6E8" w14:textId="77777777" w:rsidR="00837136" w:rsidRPr="00837136" w:rsidRDefault="00837136" w:rsidP="00910B32">
            <w:pPr>
              <w:rPr>
                <w:b/>
              </w:rPr>
            </w:pPr>
          </w:p>
        </w:tc>
        <w:tc>
          <w:tcPr>
            <w:tcW w:w="437" w:type="dxa"/>
          </w:tcPr>
          <w:p w14:paraId="26D5F26B" w14:textId="77777777" w:rsidR="00837136" w:rsidRPr="00837136" w:rsidRDefault="00837136" w:rsidP="00910B32">
            <w:pPr>
              <w:rPr>
                <w:b/>
              </w:rPr>
            </w:pPr>
          </w:p>
        </w:tc>
        <w:tc>
          <w:tcPr>
            <w:tcW w:w="2920" w:type="dxa"/>
          </w:tcPr>
          <w:p w14:paraId="78C1A811" w14:textId="6F37989B" w:rsidR="00837136" w:rsidRPr="00837136" w:rsidRDefault="00837136" w:rsidP="00910B32">
            <w:pPr>
              <w:rPr>
                <w:b/>
              </w:rPr>
            </w:pPr>
            <w:r w:rsidRPr="00837136">
              <w:rPr>
                <w:b/>
              </w:rPr>
              <w:t>Comment</w:t>
            </w:r>
          </w:p>
        </w:tc>
        <w:tc>
          <w:tcPr>
            <w:tcW w:w="2318" w:type="dxa"/>
          </w:tcPr>
          <w:p w14:paraId="38599308" w14:textId="3D109045" w:rsidR="00837136" w:rsidRPr="00837136" w:rsidRDefault="00837136" w:rsidP="00910B32">
            <w:pPr>
              <w:rPr>
                <w:b/>
              </w:rPr>
            </w:pPr>
            <w:r w:rsidRPr="00837136">
              <w:rPr>
                <w:b/>
              </w:rPr>
              <w:t>Propose</w:t>
            </w:r>
            <w:r>
              <w:rPr>
                <w:b/>
              </w:rPr>
              <w:t>d</w:t>
            </w:r>
            <w:r w:rsidRPr="00837136">
              <w:rPr>
                <w:b/>
              </w:rPr>
              <w:t xml:space="preserve"> Change</w:t>
            </w:r>
          </w:p>
        </w:tc>
        <w:tc>
          <w:tcPr>
            <w:tcW w:w="2772" w:type="dxa"/>
          </w:tcPr>
          <w:p w14:paraId="5F6A6150" w14:textId="43265824" w:rsidR="00837136" w:rsidRPr="00837136" w:rsidRDefault="00837136" w:rsidP="00910B32">
            <w:pPr>
              <w:rPr>
                <w:b/>
              </w:rPr>
            </w:pPr>
            <w:r w:rsidRPr="00837136">
              <w:rPr>
                <w:b/>
              </w:rPr>
              <w:t>Resolution</w:t>
            </w:r>
          </w:p>
        </w:tc>
      </w:tr>
      <w:tr w:rsidR="00837136" w:rsidRPr="00455C69" w14:paraId="6DF373C8" w14:textId="7A81EE0F" w:rsidTr="00837136">
        <w:trPr>
          <w:trHeight w:val="1785"/>
        </w:trPr>
        <w:tc>
          <w:tcPr>
            <w:tcW w:w="656" w:type="dxa"/>
            <w:hideMark/>
          </w:tcPr>
          <w:p w14:paraId="3A729CD4" w14:textId="77777777" w:rsidR="00837136" w:rsidRPr="00455C69" w:rsidRDefault="00837136" w:rsidP="00910B32">
            <w:pPr>
              <w:rPr>
                <w:lang w:val="en-US"/>
              </w:rPr>
            </w:pPr>
            <w:r w:rsidRPr="00455C69">
              <w:t>1359</w:t>
            </w:r>
          </w:p>
        </w:tc>
        <w:tc>
          <w:tcPr>
            <w:tcW w:w="766" w:type="dxa"/>
            <w:hideMark/>
          </w:tcPr>
          <w:p w14:paraId="59F75126" w14:textId="77777777" w:rsidR="00837136" w:rsidRPr="00455C69" w:rsidRDefault="00837136" w:rsidP="00910B32">
            <w:r w:rsidRPr="00455C69">
              <w:t>19.3.4</w:t>
            </w:r>
          </w:p>
        </w:tc>
        <w:tc>
          <w:tcPr>
            <w:tcW w:w="656" w:type="dxa"/>
            <w:hideMark/>
          </w:tcPr>
          <w:p w14:paraId="7FF0FA5D" w14:textId="77777777" w:rsidR="00837136" w:rsidRPr="00455C69" w:rsidRDefault="00837136" w:rsidP="00910B32">
            <w:r w:rsidRPr="00455C69">
              <w:t>2755</w:t>
            </w:r>
          </w:p>
        </w:tc>
        <w:tc>
          <w:tcPr>
            <w:tcW w:w="437" w:type="dxa"/>
            <w:hideMark/>
          </w:tcPr>
          <w:p w14:paraId="5AC1C0A3" w14:textId="77777777" w:rsidR="00837136" w:rsidRPr="00455C69" w:rsidRDefault="00837136" w:rsidP="00910B32">
            <w:r w:rsidRPr="00455C69">
              <w:t>58</w:t>
            </w:r>
          </w:p>
        </w:tc>
        <w:tc>
          <w:tcPr>
            <w:tcW w:w="2920" w:type="dxa"/>
            <w:hideMark/>
          </w:tcPr>
          <w:p w14:paraId="56081AFC" w14:textId="77777777" w:rsidR="00837136" w:rsidRPr="00455C69" w:rsidRDefault="00837136" w:rsidP="00910B32">
            <w:r w:rsidRPr="00455C69">
              <w:t>Figure 19-3 says that "When STBC is used, the STBC block has more outputs than inputs." but the figure shows the opposite (the STBC block has 4 inputs and 4 outputs)</w:t>
            </w:r>
          </w:p>
        </w:tc>
        <w:tc>
          <w:tcPr>
            <w:tcW w:w="2318" w:type="dxa"/>
            <w:hideMark/>
          </w:tcPr>
          <w:p w14:paraId="1000135C" w14:textId="77777777" w:rsidR="00837136" w:rsidRPr="00455C69" w:rsidRDefault="00837136" w:rsidP="00910B32">
            <w:r w:rsidRPr="00455C69">
              <w:t>Delete the cited text in the referenced figure</w:t>
            </w:r>
          </w:p>
        </w:tc>
        <w:tc>
          <w:tcPr>
            <w:tcW w:w="2772" w:type="dxa"/>
          </w:tcPr>
          <w:p w14:paraId="6596A311" w14:textId="28762C57" w:rsidR="00837136" w:rsidRPr="00455C69" w:rsidRDefault="00837136" w:rsidP="00910B32">
            <w:r>
              <w:t xml:space="preserve">Change the </w:t>
            </w:r>
            <w:r w:rsidR="008C3E58">
              <w:t>notes in Figure 19-3</w:t>
            </w:r>
            <w:r w:rsidR="003B7463">
              <w:t xml:space="preserve"> as shown in 802.11-18/</w:t>
            </w:r>
            <w:proofErr w:type="spellStart"/>
            <w:r w:rsidR="003B7463">
              <w:t>0701</w:t>
            </w:r>
            <w:r>
              <w:t>r</w:t>
            </w:r>
            <w:r w:rsidR="00892CC6">
              <w:t>1</w:t>
            </w:r>
            <w:proofErr w:type="spellEnd"/>
          </w:p>
        </w:tc>
      </w:tr>
    </w:tbl>
    <w:p w14:paraId="0B621DFD" w14:textId="7B828D76" w:rsidR="00837136" w:rsidRDefault="00837136" w:rsidP="00F2637D"/>
    <w:p w14:paraId="5A79F435" w14:textId="1A5BEFE3" w:rsidR="00837136" w:rsidRDefault="00837136" w:rsidP="00837136">
      <w:pPr>
        <w:pStyle w:val="Heading1"/>
      </w:pPr>
      <w:r>
        <w:t xml:space="preserve">CID </w:t>
      </w:r>
      <w:r w:rsidR="0002537D">
        <w:t>1388</w:t>
      </w:r>
    </w:p>
    <w:p w14:paraId="058CA41D" w14:textId="6C57643F" w:rsidR="00837136" w:rsidRDefault="00837136" w:rsidP="00837136">
      <w:pPr>
        <w:pStyle w:val="Heading2"/>
      </w:pPr>
      <w:r>
        <w:t>Discussion</w:t>
      </w:r>
    </w:p>
    <w:p w14:paraId="110797C7" w14:textId="210CCB19" w:rsidR="00837136" w:rsidRPr="00837136" w:rsidRDefault="00837136" w:rsidP="00837136">
      <w:r>
        <w:t>The Context of the comment is shown below.</w:t>
      </w:r>
    </w:p>
    <w:p w14:paraId="6FADBDE5" w14:textId="22AAF11A" w:rsidR="00837136" w:rsidRDefault="0002537D" w:rsidP="00F2637D">
      <w:r>
        <w:rPr>
          <w:noProof/>
        </w:rPr>
        <w:lastRenderedPageBreak/>
        <w:drawing>
          <wp:inline distT="0" distB="0" distL="0" distR="0" wp14:anchorId="12F02DB7" wp14:editId="3A7CB6BF">
            <wp:extent cx="6263640" cy="869950"/>
            <wp:effectExtent l="0" t="0" r="381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02A38" w14:textId="431AAA0A" w:rsidR="00837136" w:rsidRDefault="0002537D" w:rsidP="00F2637D">
      <w:r>
        <w:t>Note that the following are the mandatory requirements for a VHT STA (see clause 21.1.1):</w:t>
      </w:r>
    </w:p>
    <w:p w14:paraId="7BF1DFCD" w14:textId="5F30A7CB" w:rsidR="0002537D" w:rsidRDefault="0002537D" w:rsidP="00F2637D">
      <w:r>
        <w:rPr>
          <w:noProof/>
        </w:rPr>
        <w:drawing>
          <wp:inline distT="0" distB="0" distL="0" distR="0" wp14:anchorId="68A1FB73" wp14:editId="63300FBC">
            <wp:extent cx="6263640" cy="156400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F92D" w14:textId="6AFA0EBB" w:rsidR="0002537D" w:rsidRDefault="0002537D" w:rsidP="00F2637D">
      <w:r>
        <w:t xml:space="preserve">There is no distinction between AP and non-AP STAs in this. Therefore, a compliant VHT STA only </w:t>
      </w:r>
      <w:proofErr w:type="gramStart"/>
      <w:r>
        <w:t>has to</w:t>
      </w:r>
      <w:proofErr w:type="gramEnd"/>
      <w:r>
        <w:t xml:space="preserve"> support a single Spatial Stream</w:t>
      </w:r>
      <w:r w:rsidR="00030B3D">
        <w:t>, regardless of whether it is a STA or an AP</w:t>
      </w:r>
      <w:r>
        <w:t xml:space="preserve">. Since every VHT STA is an HT STA by definition, it appears that the standard </w:t>
      </w:r>
      <w:r w:rsidR="004A67E8">
        <w:t>needs to make</w:t>
      </w:r>
      <w:r>
        <w:t xml:space="preserve"> a </w:t>
      </w:r>
      <w:proofErr w:type="spellStart"/>
      <w:r>
        <w:t>disctiction</w:t>
      </w:r>
      <w:proofErr w:type="spellEnd"/>
      <w:r>
        <w:t xml:space="preserve"> between the capabilities of HT APs that are VHT APs and HT APs that are not. As such, the </w:t>
      </w:r>
      <w:r w:rsidR="004A67E8">
        <w:t>requirement on page 2759, line 25 looks intentional.</w:t>
      </w:r>
    </w:p>
    <w:p w14:paraId="2BB49EF4" w14:textId="77777777" w:rsidR="004333DB" w:rsidRDefault="004333DB" w:rsidP="004333DB">
      <w:pPr>
        <w:pStyle w:val="Heading2"/>
      </w:pPr>
      <w:r>
        <w:t>Proposed Resolution</w:t>
      </w:r>
    </w:p>
    <w:p w14:paraId="30961FE1" w14:textId="075C2740" w:rsidR="0002537D" w:rsidRDefault="004333DB" w:rsidP="00F2637D">
      <w:r>
        <w:t>Reject the comment as the statement on page 2759, line 25 is needed to guarantee consistency with the mandatory requirements of VHT STAs.</w:t>
      </w:r>
    </w:p>
    <w:p w14:paraId="755A63F7" w14:textId="77777777" w:rsidR="004333DB" w:rsidRDefault="004333DB" w:rsidP="00F2637D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656"/>
        <w:gridCol w:w="870"/>
        <w:gridCol w:w="845"/>
        <w:gridCol w:w="719"/>
        <w:gridCol w:w="2296"/>
        <w:gridCol w:w="2337"/>
        <w:gridCol w:w="2802"/>
      </w:tblGrid>
      <w:tr w:rsidR="0002537D" w:rsidRPr="00455C69" w14:paraId="54E630BA" w14:textId="77777777" w:rsidTr="0002537D">
        <w:trPr>
          <w:trHeight w:val="458"/>
        </w:trPr>
        <w:tc>
          <w:tcPr>
            <w:tcW w:w="656" w:type="dxa"/>
          </w:tcPr>
          <w:p w14:paraId="6E7DE4E8" w14:textId="77777777" w:rsidR="0002537D" w:rsidRPr="00455C69" w:rsidRDefault="0002537D" w:rsidP="0002537D"/>
        </w:tc>
        <w:tc>
          <w:tcPr>
            <w:tcW w:w="870" w:type="dxa"/>
          </w:tcPr>
          <w:p w14:paraId="6EC38F44" w14:textId="77777777" w:rsidR="0002537D" w:rsidRPr="00455C69" w:rsidRDefault="0002537D" w:rsidP="0002537D"/>
        </w:tc>
        <w:tc>
          <w:tcPr>
            <w:tcW w:w="845" w:type="dxa"/>
          </w:tcPr>
          <w:p w14:paraId="5F5C0EA0" w14:textId="77777777" w:rsidR="0002537D" w:rsidRPr="00455C69" w:rsidRDefault="0002537D" w:rsidP="0002537D"/>
        </w:tc>
        <w:tc>
          <w:tcPr>
            <w:tcW w:w="719" w:type="dxa"/>
          </w:tcPr>
          <w:p w14:paraId="69A9F1C1" w14:textId="77777777" w:rsidR="0002537D" w:rsidRPr="00455C69" w:rsidRDefault="0002537D" w:rsidP="0002537D"/>
        </w:tc>
        <w:tc>
          <w:tcPr>
            <w:tcW w:w="2296" w:type="dxa"/>
          </w:tcPr>
          <w:p w14:paraId="37AC6CF4" w14:textId="6239BD48" w:rsidR="0002537D" w:rsidRPr="00455C69" w:rsidRDefault="0002537D" w:rsidP="0002537D">
            <w:r w:rsidRPr="00837136">
              <w:rPr>
                <w:b/>
              </w:rPr>
              <w:t>Comment</w:t>
            </w:r>
          </w:p>
        </w:tc>
        <w:tc>
          <w:tcPr>
            <w:tcW w:w="2337" w:type="dxa"/>
          </w:tcPr>
          <w:p w14:paraId="6CDC9F6F" w14:textId="5C1F700F" w:rsidR="0002537D" w:rsidRPr="00455C69" w:rsidRDefault="0002537D" w:rsidP="0002537D">
            <w:r w:rsidRPr="00837136">
              <w:rPr>
                <w:b/>
              </w:rPr>
              <w:t>Propose</w:t>
            </w:r>
            <w:r>
              <w:rPr>
                <w:b/>
              </w:rPr>
              <w:t>d</w:t>
            </w:r>
            <w:r w:rsidRPr="00837136">
              <w:rPr>
                <w:b/>
              </w:rPr>
              <w:t xml:space="preserve"> Change</w:t>
            </w:r>
          </w:p>
        </w:tc>
        <w:tc>
          <w:tcPr>
            <w:tcW w:w="2802" w:type="dxa"/>
          </w:tcPr>
          <w:p w14:paraId="66DD5A83" w14:textId="3D1AE7C9" w:rsidR="0002537D" w:rsidRPr="00455C69" w:rsidRDefault="0002537D" w:rsidP="0002537D">
            <w:r w:rsidRPr="00837136">
              <w:rPr>
                <w:b/>
              </w:rPr>
              <w:t>Resolution</w:t>
            </w:r>
          </w:p>
        </w:tc>
      </w:tr>
      <w:tr w:rsidR="0002537D" w:rsidRPr="00455C69" w14:paraId="5742E1B8" w14:textId="3989C1E6" w:rsidTr="0002537D">
        <w:trPr>
          <w:trHeight w:val="1785"/>
        </w:trPr>
        <w:tc>
          <w:tcPr>
            <w:tcW w:w="656" w:type="dxa"/>
            <w:hideMark/>
          </w:tcPr>
          <w:p w14:paraId="2D78F71E" w14:textId="037B0794" w:rsidR="0002537D" w:rsidRPr="00455C69" w:rsidRDefault="0002537D" w:rsidP="0002537D">
            <w:pPr>
              <w:rPr>
                <w:lang w:val="en-US"/>
              </w:rPr>
            </w:pPr>
            <w:r w:rsidRPr="00455C69">
              <w:t>1388</w:t>
            </w:r>
          </w:p>
        </w:tc>
        <w:tc>
          <w:tcPr>
            <w:tcW w:w="870" w:type="dxa"/>
            <w:hideMark/>
          </w:tcPr>
          <w:p w14:paraId="14AD03EE" w14:textId="6C52FF0C" w:rsidR="0002537D" w:rsidRPr="00455C69" w:rsidRDefault="0002537D" w:rsidP="0002537D">
            <w:r w:rsidRPr="00455C69">
              <w:t>19.3.5</w:t>
            </w:r>
          </w:p>
        </w:tc>
        <w:tc>
          <w:tcPr>
            <w:tcW w:w="845" w:type="dxa"/>
            <w:hideMark/>
          </w:tcPr>
          <w:p w14:paraId="4C7C869F" w14:textId="34632E11" w:rsidR="0002537D" w:rsidRPr="00455C69" w:rsidRDefault="0002537D" w:rsidP="0002537D">
            <w:r w:rsidRPr="00455C69">
              <w:t>2759</w:t>
            </w:r>
          </w:p>
        </w:tc>
        <w:tc>
          <w:tcPr>
            <w:tcW w:w="719" w:type="dxa"/>
            <w:hideMark/>
          </w:tcPr>
          <w:p w14:paraId="60454E56" w14:textId="62BBD85C" w:rsidR="0002537D" w:rsidRPr="00455C69" w:rsidRDefault="0002537D" w:rsidP="0002537D">
            <w:r w:rsidRPr="00455C69">
              <w:t>25</w:t>
            </w:r>
          </w:p>
        </w:tc>
        <w:tc>
          <w:tcPr>
            <w:tcW w:w="2296" w:type="dxa"/>
            <w:hideMark/>
          </w:tcPr>
          <w:p w14:paraId="5DDB2B82" w14:textId="47576391" w:rsidR="0002537D" w:rsidRPr="00455C69" w:rsidRDefault="0002537D" w:rsidP="0002537D">
            <w:r w:rsidRPr="00455C69">
              <w:t>"An HT AP that is not a VHT AP shall support all EQM rates for two spatial streams</w:t>
            </w:r>
            <w:r>
              <w:t xml:space="preserve"> </w:t>
            </w:r>
            <w:r w:rsidRPr="00455C69">
              <w:t xml:space="preserve">(MCSs  </w:t>
            </w:r>
            <w:proofErr w:type="gramStart"/>
            <w:r w:rsidRPr="00455C69">
              <w:t>8  to</w:t>
            </w:r>
            <w:proofErr w:type="gramEnd"/>
            <w:r w:rsidRPr="00455C69">
              <w:t xml:space="preserve">  15)  using  a  20  MHz  channel  width." -- there is no reason a VHT AP should be inferior to an HT AP</w:t>
            </w:r>
          </w:p>
        </w:tc>
        <w:tc>
          <w:tcPr>
            <w:tcW w:w="2337" w:type="dxa"/>
            <w:hideMark/>
          </w:tcPr>
          <w:p w14:paraId="3C20F424" w14:textId="7EA6A9C0" w:rsidR="0002537D" w:rsidRPr="00455C69" w:rsidRDefault="0002537D" w:rsidP="0002537D">
            <w:r w:rsidRPr="00455C69">
              <w:t>Delete "that is not a VHT AP" in the cited text at the referenced location</w:t>
            </w:r>
          </w:p>
        </w:tc>
        <w:tc>
          <w:tcPr>
            <w:tcW w:w="2802" w:type="dxa"/>
          </w:tcPr>
          <w:p w14:paraId="74E06B52" w14:textId="5D5577FC" w:rsidR="0002537D" w:rsidRPr="00455C69" w:rsidRDefault="004A67E8" w:rsidP="0002537D">
            <w:r>
              <w:t>Reject. This statement is needed to guarantee consistency with the mandatory requirements of VHT STAs.</w:t>
            </w:r>
          </w:p>
        </w:tc>
      </w:tr>
    </w:tbl>
    <w:p w14:paraId="182E4084" w14:textId="77777777" w:rsidR="0002537D" w:rsidRDefault="0002537D" w:rsidP="00F2637D"/>
    <w:sectPr w:rsidR="0002537D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69E5" w14:textId="77777777" w:rsidR="005B5DAE" w:rsidRDefault="005B5DAE">
      <w:r>
        <w:separator/>
      </w:r>
    </w:p>
  </w:endnote>
  <w:endnote w:type="continuationSeparator" w:id="0">
    <w:p w14:paraId="1AAF159E" w14:textId="77777777" w:rsidR="005B5DAE" w:rsidRDefault="005B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B3A2" w14:textId="0CD5A885" w:rsidR="00CF09EF" w:rsidRDefault="0032361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09EF">
        <w:t>Submission</w:t>
      </w:r>
    </w:fldSimple>
    <w:r w:rsidR="00CF09EF">
      <w:tab/>
      <w:t xml:space="preserve">page </w:t>
    </w:r>
    <w:r w:rsidR="00CF09EF">
      <w:fldChar w:fldCharType="begin"/>
    </w:r>
    <w:r w:rsidR="00CF09EF">
      <w:instrText xml:space="preserve">page </w:instrText>
    </w:r>
    <w:r w:rsidR="00CF09EF">
      <w:fldChar w:fldCharType="separate"/>
    </w:r>
    <w:r w:rsidR="00FD7D9A">
      <w:rPr>
        <w:noProof/>
      </w:rPr>
      <w:t>1</w:t>
    </w:r>
    <w:r w:rsidR="00CF09EF">
      <w:rPr>
        <w:noProof/>
      </w:rPr>
      <w:fldChar w:fldCharType="end"/>
    </w:r>
    <w:r w:rsidR="00CF09EF">
      <w:tab/>
    </w:r>
    <w:r w:rsidR="00B24997">
      <w:rPr>
        <w:lang w:eastAsia="ko-KR"/>
      </w:rPr>
      <w:t>Sigurd Schelstraete, Quantenna</w:t>
    </w:r>
  </w:p>
  <w:p w14:paraId="68131EC6" w14:textId="77777777" w:rsidR="00CF09EF" w:rsidRDefault="00CF0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7AC23" w14:textId="77777777" w:rsidR="005B5DAE" w:rsidRDefault="005B5DAE">
      <w:r>
        <w:separator/>
      </w:r>
    </w:p>
  </w:footnote>
  <w:footnote w:type="continuationSeparator" w:id="0">
    <w:p w14:paraId="3CC44E42" w14:textId="77777777" w:rsidR="005B5DAE" w:rsidRDefault="005B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0E53" w14:textId="5D7A60C7" w:rsidR="00CF09EF" w:rsidRDefault="00B2499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2018</w:t>
    </w:r>
    <w:r w:rsidR="00CF09EF">
      <w:tab/>
    </w:r>
    <w:r w:rsidR="00CF09EF">
      <w:tab/>
    </w:r>
    <w:r w:rsidR="00CF09EF">
      <w:fldChar w:fldCharType="begin"/>
    </w:r>
    <w:r w:rsidR="00CF09EF">
      <w:instrText xml:space="preserve"> TITLE  \* MERGEFORMAT </w:instrText>
    </w:r>
    <w:r w:rsidR="00CF09EF">
      <w:fldChar w:fldCharType="end"/>
    </w:r>
    <w:r w:rsidR="0032361E">
      <w:fldChar w:fldCharType="begin"/>
    </w:r>
    <w:r w:rsidR="0032361E">
      <w:instrText xml:space="preserve"> TITLE  \* MERGEFORMAT </w:instrText>
    </w:r>
    <w:r w:rsidR="0032361E">
      <w:fldChar w:fldCharType="separate"/>
    </w:r>
    <w:r w:rsidR="00CF09EF">
      <w:t>doc.: IEEE 802.11-1</w:t>
    </w:r>
    <w:r>
      <w:t>8</w:t>
    </w:r>
    <w:r w:rsidR="00CF09EF">
      <w:t>/</w:t>
    </w:r>
    <w:proofErr w:type="spellStart"/>
    <w:r w:rsidR="003B7463">
      <w:t>0701</w:t>
    </w:r>
    <w:r w:rsidR="00CF09EF">
      <w:rPr>
        <w:lang w:eastAsia="ko-KR"/>
      </w:rPr>
      <w:t>r</w:t>
    </w:r>
    <w:r w:rsidR="0032361E">
      <w:rPr>
        <w:lang w:eastAsia="ko-KR"/>
      </w:rPr>
      <w:fldChar w:fldCharType="end"/>
    </w:r>
    <w:r w:rsidR="00FD7D9A">
      <w:rPr>
        <w:lang w:eastAsia="ko-KR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D74"/>
    <w:multiLevelType w:val="hybridMultilevel"/>
    <w:tmpl w:val="9E64E98E"/>
    <w:lvl w:ilvl="0" w:tplc="0D862592">
      <w:start w:val="1"/>
      <w:numFmt w:val="bullet"/>
      <w:lvlText w:val=""/>
      <w:lvlJc w:val="left"/>
      <w:pPr>
        <w:ind w:left="3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B65E3"/>
    <w:multiLevelType w:val="hybridMultilevel"/>
    <w:tmpl w:val="3A90FA26"/>
    <w:lvl w:ilvl="0" w:tplc="A63E10DC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94745EA"/>
    <w:multiLevelType w:val="hybridMultilevel"/>
    <w:tmpl w:val="A6A8FC5E"/>
    <w:lvl w:ilvl="0" w:tplc="F6AA7FCE">
      <w:start w:val="1"/>
      <w:numFmt w:val="bullet"/>
      <w:lvlText w:val="&gt;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532C"/>
    <w:multiLevelType w:val="hybridMultilevel"/>
    <w:tmpl w:val="B6C6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D2017C"/>
    <w:multiLevelType w:val="hybridMultilevel"/>
    <w:tmpl w:val="94D8ACD2"/>
    <w:lvl w:ilvl="0" w:tplc="B994EDC8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7F54"/>
    <w:multiLevelType w:val="hybridMultilevel"/>
    <w:tmpl w:val="221C0446"/>
    <w:lvl w:ilvl="0" w:tplc="BA04A9B6">
      <w:start w:val="1"/>
      <w:numFmt w:val="bullet"/>
      <w:lvlText w:val="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F8F"/>
    <w:multiLevelType w:val="hybridMultilevel"/>
    <w:tmpl w:val="FF6E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AE4"/>
    <w:multiLevelType w:val="hybridMultilevel"/>
    <w:tmpl w:val="E2D24A0A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E515C"/>
    <w:multiLevelType w:val="hybridMultilevel"/>
    <w:tmpl w:val="100E5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E6B26"/>
    <w:multiLevelType w:val="hybridMultilevel"/>
    <w:tmpl w:val="02525FA6"/>
    <w:lvl w:ilvl="0" w:tplc="565A2D08">
      <w:start w:val="8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D0F8D"/>
    <w:multiLevelType w:val="hybridMultilevel"/>
    <w:tmpl w:val="7F14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25F00"/>
    <w:multiLevelType w:val="hybridMultilevel"/>
    <w:tmpl w:val="AB9608A0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2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6"/>
  </w:num>
  <w:num w:numId="18">
    <w:abstractNumId w:val="16"/>
  </w:num>
  <w:num w:numId="19">
    <w:abstractNumId w:val="26"/>
  </w:num>
  <w:num w:numId="20">
    <w:abstractNumId w:val="28"/>
  </w:num>
  <w:num w:numId="21">
    <w:abstractNumId w:val="9"/>
  </w:num>
  <w:num w:numId="22">
    <w:abstractNumId w:val="22"/>
  </w:num>
  <w:num w:numId="23">
    <w:abstractNumId w:val="27"/>
  </w:num>
  <w:num w:numId="24">
    <w:abstractNumId w:val="24"/>
  </w:num>
  <w:num w:numId="25">
    <w:abstractNumId w:val="25"/>
  </w:num>
  <w:num w:numId="26">
    <w:abstractNumId w:val="18"/>
  </w:num>
  <w:num w:numId="27">
    <w:abstractNumId w:val="13"/>
  </w:num>
  <w:num w:numId="28">
    <w:abstractNumId w:val="19"/>
  </w:num>
  <w:num w:numId="29">
    <w:abstractNumId w:val="4"/>
  </w:num>
  <w:num w:numId="30">
    <w:abstractNumId w:val="3"/>
  </w:num>
  <w:num w:numId="31">
    <w:abstractNumId w:val="8"/>
  </w:num>
  <w:num w:numId="32">
    <w:abstractNumId w:val="23"/>
  </w:num>
  <w:num w:numId="3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537D"/>
    <w:rsid w:val="00027D05"/>
    <w:rsid w:val="00030B3D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219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22D"/>
    <w:rsid w:val="000823C8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5A8"/>
    <w:rsid w:val="00100937"/>
    <w:rsid w:val="00100E3B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7299"/>
    <w:rsid w:val="00120298"/>
    <w:rsid w:val="00120BD6"/>
    <w:rsid w:val="001215C0"/>
    <w:rsid w:val="00122191"/>
    <w:rsid w:val="001221CB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26E7"/>
    <w:rsid w:val="00142B02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77FD"/>
    <w:rsid w:val="001B0001"/>
    <w:rsid w:val="001B05CC"/>
    <w:rsid w:val="001B252D"/>
    <w:rsid w:val="001B2904"/>
    <w:rsid w:val="001B63BC"/>
    <w:rsid w:val="001B7137"/>
    <w:rsid w:val="001C0D7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2F61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2261"/>
    <w:rsid w:val="00222778"/>
    <w:rsid w:val="002237F5"/>
    <w:rsid w:val="002239F2"/>
    <w:rsid w:val="00223B55"/>
    <w:rsid w:val="00224133"/>
    <w:rsid w:val="00224237"/>
    <w:rsid w:val="00224D82"/>
    <w:rsid w:val="002251A9"/>
    <w:rsid w:val="00225508"/>
    <w:rsid w:val="00225570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0CA4"/>
    <w:rsid w:val="00252D47"/>
    <w:rsid w:val="0025375C"/>
    <w:rsid w:val="002539AB"/>
    <w:rsid w:val="00255A8B"/>
    <w:rsid w:val="00262D56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73F1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82C"/>
    <w:rsid w:val="00305D12"/>
    <w:rsid w:val="00305D6E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361E"/>
    <w:rsid w:val="00324BB2"/>
    <w:rsid w:val="00325AB6"/>
    <w:rsid w:val="00326126"/>
    <w:rsid w:val="003267C0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6244"/>
    <w:rsid w:val="003A6AC1"/>
    <w:rsid w:val="003A6B04"/>
    <w:rsid w:val="003A74EB"/>
    <w:rsid w:val="003A7B64"/>
    <w:rsid w:val="003B03CE"/>
    <w:rsid w:val="003B0C59"/>
    <w:rsid w:val="003B3C5F"/>
    <w:rsid w:val="003B4DAD"/>
    <w:rsid w:val="003B52F2"/>
    <w:rsid w:val="003B6329"/>
    <w:rsid w:val="003B64A5"/>
    <w:rsid w:val="003B6F60"/>
    <w:rsid w:val="003B7463"/>
    <w:rsid w:val="003B76BD"/>
    <w:rsid w:val="003B783A"/>
    <w:rsid w:val="003B7992"/>
    <w:rsid w:val="003C045C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26C6"/>
    <w:rsid w:val="004333DB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507E7"/>
    <w:rsid w:val="0045084E"/>
    <w:rsid w:val="00450CC0"/>
    <w:rsid w:val="0045273C"/>
    <w:rsid w:val="0045288D"/>
    <w:rsid w:val="004535CB"/>
    <w:rsid w:val="00453A44"/>
    <w:rsid w:val="00455C69"/>
    <w:rsid w:val="00457028"/>
    <w:rsid w:val="00457D7E"/>
    <w:rsid w:val="00457E3B"/>
    <w:rsid w:val="00457FA3"/>
    <w:rsid w:val="00461C2E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6EB3"/>
    <w:rsid w:val="00487778"/>
    <w:rsid w:val="00490E10"/>
    <w:rsid w:val="00491CAF"/>
    <w:rsid w:val="004921DA"/>
    <w:rsid w:val="00492A82"/>
    <w:rsid w:val="00493216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67E8"/>
    <w:rsid w:val="004A7935"/>
    <w:rsid w:val="004A7B3B"/>
    <w:rsid w:val="004A7E06"/>
    <w:rsid w:val="004B1B57"/>
    <w:rsid w:val="004B2117"/>
    <w:rsid w:val="004B493F"/>
    <w:rsid w:val="004B50D6"/>
    <w:rsid w:val="004B7780"/>
    <w:rsid w:val="004C0BD8"/>
    <w:rsid w:val="004C0F0A"/>
    <w:rsid w:val="004C3C2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6FC6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2CF8"/>
    <w:rsid w:val="005235B6"/>
    <w:rsid w:val="005243B4"/>
    <w:rsid w:val="005260D8"/>
    <w:rsid w:val="00526970"/>
    <w:rsid w:val="00527489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52983"/>
    <w:rsid w:val="00553C7D"/>
    <w:rsid w:val="0055459B"/>
    <w:rsid w:val="005546A4"/>
    <w:rsid w:val="00554995"/>
    <w:rsid w:val="00554EEF"/>
    <w:rsid w:val="005555B2"/>
    <w:rsid w:val="00555EF7"/>
    <w:rsid w:val="00557A6D"/>
    <w:rsid w:val="00562627"/>
    <w:rsid w:val="00563B85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757"/>
    <w:rsid w:val="00574A26"/>
    <w:rsid w:val="00575835"/>
    <w:rsid w:val="00575DE8"/>
    <w:rsid w:val="00576718"/>
    <w:rsid w:val="00582B46"/>
    <w:rsid w:val="00583212"/>
    <w:rsid w:val="00584464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5DAE"/>
    <w:rsid w:val="005B68D2"/>
    <w:rsid w:val="005B6C67"/>
    <w:rsid w:val="005B727A"/>
    <w:rsid w:val="005C0CBC"/>
    <w:rsid w:val="005C1D3E"/>
    <w:rsid w:val="005C4204"/>
    <w:rsid w:val="005C45E7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E49"/>
    <w:rsid w:val="005E44ED"/>
    <w:rsid w:val="005E4E9C"/>
    <w:rsid w:val="005E58D3"/>
    <w:rsid w:val="005E5C05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F1A"/>
    <w:rsid w:val="006254B0"/>
    <w:rsid w:val="00625C33"/>
    <w:rsid w:val="00626D26"/>
    <w:rsid w:val="00627C25"/>
    <w:rsid w:val="006302F7"/>
    <w:rsid w:val="00631526"/>
    <w:rsid w:val="00631EB7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601D"/>
    <w:rsid w:val="00656457"/>
    <w:rsid w:val="00656882"/>
    <w:rsid w:val="00657061"/>
    <w:rsid w:val="00657363"/>
    <w:rsid w:val="00657DBD"/>
    <w:rsid w:val="0066081B"/>
    <w:rsid w:val="00660ACE"/>
    <w:rsid w:val="00662343"/>
    <w:rsid w:val="0066236B"/>
    <w:rsid w:val="0066483B"/>
    <w:rsid w:val="00664CCC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429C"/>
    <w:rsid w:val="0068438F"/>
    <w:rsid w:val="00685673"/>
    <w:rsid w:val="00685816"/>
    <w:rsid w:val="006861D2"/>
    <w:rsid w:val="00687476"/>
    <w:rsid w:val="00687A6F"/>
    <w:rsid w:val="0069038E"/>
    <w:rsid w:val="00690EB5"/>
    <w:rsid w:val="006925B5"/>
    <w:rsid w:val="0069501E"/>
    <w:rsid w:val="006976B8"/>
    <w:rsid w:val="00697D9C"/>
    <w:rsid w:val="006A1A0A"/>
    <w:rsid w:val="006A1B2B"/>
    <w:rsid w:val="006A3117"/>
    <w:rsid w:val="006A3A0E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3325"/>
    <w:rsid w:val="00745008"/>
    <w:rsid w:val="0074621F"/>
    <w:rsid w:val="007463FB"/>
    <w:rsid w:val="007513CD"/>
    <w:rsid w:val="00751F14"/>
    <w:rsid w:val="00752D8F"/>
    <w:rsid w:val="00754347"/>
    <w:rsid w:val="007546E8"/>
    <w:rsid w:val="00755880"/>
    <w:rsid w:val="00755D22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ACB"/>
    <w:rsid w:val="00766B1A"/>
    <w:rsid w:val="00766DFE"/>
    <w:rsid w:val="00767192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A098E"/>
    <w:rsid w:val="007A149D"/>
    <w:rsid w:val="007A28DA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0FA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445"/>
    <w:rsid w:val="00802FC5"/>
    <w:rsid w:val="00804590"/>
    <w:rsid w:val="008077DC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17D6B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136"/>
    <w:rsid w:val="00837745"/>
    <w:rsid w:val="008377E3"/>
    <w:rsid w:val="008378E7"/>
    <w:rsid w:val="00840667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1A96"/>
    <w:rsid w:val="00862936"/>
    <w:rsid w:val="00862FBB"/>
    <w:rsid w:val="00866C0E"/>
    <w:rsid w:val="0086745D"/>
    <w:rsid w:val="00867847"/>
    <w:rsid w:val="00867C9F"/>
    <w:rsid w:val="00870BF0"/>
    <w:rsid w:val="008716D8"/>
    <w:rsid w:val="0087408A"/>
    <w:rsid w:val="00875ABA"/>
    <w:rsid w:val="00875B8A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2CC6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2D9C"/>
    <w:rsid w:val="008C3418"/>
    <w:rsid w:val="008C3E5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328C"/>
    <w:rsid w:val="009040B5"/>
    <w:rsid w:val="009057D2"/>
    <w:rsid w:val="00905A7F"/>
    <w:rsid w:val="00905EB6"/>
    <w:rsid w:val="00906247"/>
    <w:rsid w:val="009064A2"/>
    <w:rsid w:val="0090694C"/>
    <w:rsid w:val="009076E6"/>
    <w:rsid w:val="00910F8F"/>
    <w:rsid w:val="0091118D"/>
    <w:rsid w:val="0091261A"/>
    <w:rsid w:val="009130B5"/>
    <w:rsid w:val="00913A3A"/>
    <w:rsid w:val="00914B92"/>
    <w:rsid w:val="0091500C"/>
    <w:rsid w:val="00915758"/>
    <w:rsid w:val="00920771"/>
    <w:rsid w:val="00920BF0"/>
    <w:rsid w:val="00920C8A"/>
    <w:rsid w:val="00921383"/>
    <w:rsid w:val="009225A7"/>
    <w:rsid w:val="009256A7"/>
    <w:rsid w:val="009278D5"/>
    <w:rsid w:val="00927FEB"/>
    <w:rsid w:val="00932F94"/>
    <w:rsid w:val="00934BB2"/>
    <w:rsid w:val="00934D23"/>
    <w:rsid w:val="00936D66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57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417A"/>
    <w:rsid w:val="00A246C2"/>
    <w:rsid w:val="00A248AC"/>
    <w:rsid w:val="00A26D8D"/>
    <w:rsid w:val="00A27692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D22"/>
    <w:rsid w:val="00AA6F19"/>
    <w:rsid w:val="00AA76CB"/>
    <w:rsid w:val="00AA7E07"/>
    <w:rsid w:val="00AB0B3D"/>
    <w:rsid w:val="00AB1112"/>
    <w:rsid w:val="00AB1607"/>
    <w:rsid w:val="00AB177C"/>
    <w:rsid w:val="00AB17F6"/>
    <w:rsid w:val="00AB31BE"/>
    <w:rsid w:val="00AB4292"/>
    <w:rsid w:val="00AB4A70"/>
    <w:rsid w:val="00AB4E03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723"/>
    <w:rsid w:val="00AD6AE6"/>
    <w:rsid w:val="00AD7B8B"/>
    <w:rsid w:val="00AE7BCF"/>
    <w:rsid w:val="00AE7D6D"/>
    <w:rsid w:val="00AF0A5C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B7E"/>
    <w:rsid w:val="00B07F24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4997"/>
    <w:rsid w:val="00B2692B"/>
    <w:rsid w:val="00B2718B"/>
    <w:rsid w:val="00B274D6"/>
    <w:rsid w:val="00B302FA"/>
    <w:rsid w:val="00B3040A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92315"/>
    <w:rsid w:val="00B9272C"/>
    <w:rsid w:val="00B936F0"/>
    <w:rsid w:val="00B94B98"/>
    <w:rsid w:val="00B94CAC"/>
    <w:rsid w:val="00B96C04"/>
    <w:rsid w:val="00B96E29"/>
    <w:rsid w:val="00B975F9"/>
    <w:rsid w:val="00BA06B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86B"/>
    <w:rsid w:val="00BD73E6"/>
    <w:rsid w:val="00BE015C"/>
    <w:rsid w:val="00BE21A9"/>
    <w:rsid w:val="00BE263E"/>
    <w:rsid w:val="00BE2F84"/>
    <w:rsid w:val="00BE3F11"/>
    <w:rsid w:val="00BE438D"/>
    <w:rsid w:val="00BE4932"/>
    <w:rsid w:val="00BE603A"/>
    <w:rsid w:val="00BE6CB3"/>
    <w:rsid w:val="00BF032E"/>
    <w:rsid w:val="00BF2436"/>
    <w:rsid w:val="00BF321B"/>
    <w:rsid w:val="00BF36A4"/>
    <w:rsid w:val="00BF3773"/>
    <w:rsid w:val="00BF3E14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2AE"/>
    <w:rsid w:val="00C20366"/>
    <w:rsid w:val="00C237F5"/>
    <w:rsid w:val="00C24241"/>
    <w:rsid w:val="00C247D2"/>
    <w:rsid w:val="00C24968"/>
    <w:rsid w:val="00C24A70"/>
    <w:rsid w:val="00C257F0"/>
    <w:rsid w:val="00C31514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71FC"/>
    <w:rsid w:val="00C372F6"/>
    <w:rsid w:val="00C373F2"/>
    <w:rsid w:val="00C40424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6B2F"/>
    <w:rsid w:val="00C671C5"/>
    <w:rsid w:val="00C71630"/>
    <w:rsid w:val="00C7233D"/>
    <w:rsid w:val="00C723BC"/>
    <w:rsid w:val="00C73810"/>
    <w:rsid w:val="00C73F85"/>
    <w:rsid w:val="00C7480A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6234"/>
    <w:rsid w:val="00CB62CB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1B0C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09EF"/>
    <w:rsid w:val="00CF16FB"/>
    <w:rsid w:val="00CF2295"/>
    <w:rsid w:val="00CF3BB2"/>
    <w:rsid w:val="00CF3BDE"/>
    <w:rsid w:val="00CF6654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69E"/>
    <w:rsid w:val="00D13972"/>
    <w:rsid w:val="00D152E1"/>
    <w:rsid w:val="00D15DEC"/>
    <w:rsid w:val="00D17833"/>
    <w:rsid w:val="00D202C0"/>
    <w:rsid w:val="00D22352"/>
    <w:rsid w:val="00D2694A"/>
    <w:rsid w:val="00D277CF"/>
    <w:rsid w:val="00D30761"/>
    <w:rsid w:val="00D307A6"/>
    <w:rsid w:val="00D312F2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6843"/>
    <w:rsid w:val="00D472B8"/>
    <w:rsid w:val="00D50050"/>
    <w:rsid w:val="00D507C1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707D"/>
    <w:rsid w:val="00D77E65"/>
    <w:rsid w:val="00D80A4F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369B"/>
    <w:rsid w:val="00DD3BD5"/>
    <w:rsid w:val="00DD4535"/>
    <w:rsid w:val="00DD5228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603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4A6"/>
    <w:rsid w:val="00E14AFB"/>
    <w:rsid w:val="00E163E8"/>
    <w:rsid w:val="00E16539"/>
    <w:rsid w:val="00E16650"/>
    <w:rsid w:val="00E20BEE"/>
    <w:rsid w:val="00E245D5"/>
    <w:rsid w:val="00E2487B"/>
    <w:rsid w:val="00E31C35"/>
    <w:rsid w:val="00E32E38"/>
    <w:rsid w:val="00E332E8"/>
    <w:rsid w:val="00E33B8F"/>
    <w:rsid w:val="00E40624"/>
    <w:rsid w:val="00E408BF"/>
    <w:rsid w:val="00E412B6"/>
    <w:rsid w:val="00E41D30"/>
    <w:rsid w:val="00E4329F"/>
    <w:rsid w:val="00E45568"/>
    <w:rsid w:val="00E46262"/>
    <w:rsid w:val="00E46D15"/>
    <w:rsid w:val="00E47DA6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70E0"/>
    <w:rsid w:val="00EC7772"/>
    <w:rsid w:val="00EC79C5"/>
    <w:rsid w:val="00ED3E1B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100D0"/>
    <w:rsid w:val="00F109FC"/>
    <w:rsid w:val="00F13D95"/>
    <w:rsid w:val="00F16057"/>
    <w:rsid w:val="00F16324"/>
    <w:rsid w:val="00F16CCE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42FD"/>
    <w:rsid w:val="00F34E9E"/>
    <w:rsid w:val="00F36DC0"/>
    <w:rsid w:val="00F400A1"/>
    <w:rsid w:val="00F40AC4"/>
    <w:rsid w:val="00F41684"/>
    <w:rsid w:val="00F418ED"/>
    <w:rsid w:val="00F42EFD"/>
    <w:rsid w:val="00F44755"/>
    <w:rsid w:val="00F451CD"/>
    <w:rsid w:val="00F455E0"/>
    <w:rsid w:val="00F45E7C"/>
    <w:rsid w:val="00F525A9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67E0"/>
    <w:rsid w:val="00F96A6A"/>
    <w:rsid w:val="00F96F78"/>
    <w:rsid w:val="00F97C20"/>
    <w:rsid w:val="00FA08AC"/>
    <w:rsid w:val="00FA156D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D9A"/>
    <w:rsid w:val="00FE1231"/>
    <w:rsid w:val="00FE1734"/>
    <w:rsid w:val="00FE30C5"/>
    <w:rsid w:val="00FE31E9"/>
    <w:rsid w:val="00FE362B"/>
    <w:rsid w:val="00FE37EF"/>
    <w:rsid w:val="00FE5833"/>
    <w:rsid w:val="00FE5C16"/>
    <w:rsid w:val="00FF076B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7136"/>
    <w:pPr>
      <w:spacing w:before="120" w:after="120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5C69"/>
    <w:pPr>
      <w:keepNext/>
      <w:keepLines/>
      <w:spacing w:before="24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37136"/>
    <w:pPr>
      <w:keepNext/>
      <w:keepLines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3104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758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9ECD-F752-4F81-A9D3-B21D6069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lverma@qti.qualcomm.com</dc:creator>
  <cp:keywords>Jan 2017</cp:keywords>
  <dc:description/>
  <cp:lastModifiedBy>Sigurd Schelstraete</cp:lastModifiedBy>
  <cp:revision>6</cp:revision>
  <cp:lastPrinted>2010-05-04T03:47:00Z</cp:lastPrinted>
  <dcterms:created xsi:type="dcterms:W3CDTF">2018-05-07T13:27:00Z</dcterms:created>
  <dcterms:modified xsi:type="dcterms:W3CDTF">2018-05-07T15:54:00Z</dcterms:modified>
  <cp:category/>
</cp:coreProperties>
</file>