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A5F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12320EE" w14:textId="77777777">
        <w:trPr>
          <w:trHeight w:val="485"/>
          <w:jc w:val="center"/>
        </w:trPr>
        <w:tc>
          <w:tcPr>
            <w:tcW w:w="9576" w:type="dxa"/>
            <w:gridSpan w:val="5"/>
            <w:vAlign w:val="center"/>
          </w:tcPr>
          <w:p w14:paraId="6AD60FA5" w14:textId="77777777" w:rsidR="00CA09B2" w:rsidRDefault="00987E96">
            <w:pPr>
              <w:pStyle w:val="T2"/>
            </w:pPr>
            <w:r>
              <w:t>LB231 CID Resolutions</w:t>
            </w:r>
          </w:p>
        </w:tc>
      </w:tr>
      <w:tr w:rsidR="00CA09B2" w14:paraId="138CE3C0" w14:textId="77777777">
        <w:trPr>
          <w:trHeight w:val="359"/>
          <w:jc w:val="center"/>
        </w:trPr>
        <w:tc>
          <w:tcPr>
            <w:tcW w:w="9576" w:type="dxa"/>
            <w:gridSpan w:val="5"/>
            <w:vAlign w:val="center"/>
          </w:tcPr>
          <w:p w14:paraId="2BB32B32" w14:textId="06B5F535" w:rsidR="00CA09B2" w:rsidRDefault="00CA09B2">
            <w:pPr>
              <w:pStyle w:val="T2"/>
              <w:ind w:left="0"/>
              <w:rPr>
                <w:sz w:val="20"/>
              </w:rPr>
            </w:pPr>
            <w:r>
              <w:rPr>
                <w:sz w:val="20"/>
              </w:rPr>
              <w:t>Date:</w:t>
            </w:r>
            <w:r>
              <w:rPr>
                <w:b w:val="0"/>
                <w:sz w:val="20"/>
              </w:rPr>
              <w:t xml:space="preserve">  </w:t>
            </w:r>
            <w:r w:rsidR="00987E96">
              <w:rPr>
                <w:b w:val="0"/>
                <w:sz w:val="20"/>
              </w:rPr>
              <w:t>2018</w:t>
            </w:r>
            <w:r>
              <w:rPr>
                <w:b w:val="0"/>
                <w:sz w:val="20"/>
              </w:rPr>
              <w:t>-</w:t>
            </w:r>
            <w:r w:rsidR="00987E96">
              <w:rPr>
                <w:b w:val="0"/>
                <w:sz w:val="20"/>
              </w:rPr>
              <w:t>0</w:t>
            </w:r>
            <w:r w:rsidR="00B83313">
              <w:rPr>
                <w:b w:val="0"/>
                <w:sz w:val="20"/>
              </w:rPr>
              <w:t>5-07</w:t>
            </w:r>
          </w:p>
        </w:tc>
      </w:tr>
      <w:tr w:rsidR="00CA09B2" w14:paraId="5BECEBC2" w14:textId="77777777">
        <w:trPr>
          <w:cantSplit/>
          <w:jc w:val="center"/>
        </w:trPr>
        <w:tc>
          <w:tcPr>
            <w:tcW w:w="9576" w:type="dxa"/>
            <w:gridSpan w:val="5"/>
            <w:vAlign w:val="center"/>
          </w:tcPr>
          <w:p w14:paraId="1F09F446" w14:textId="77777777" w:rsidR="00CA09B2" w:rsidRDefault="00CA09B2">
            <w:pPr>
              <w:pStyle w:val="T2"/>
              <w:spacing w:after="0"/>
              <w:ind w:left="0" w:right="0"/>
              <w:jc w:val="left"/>
              <w:rPr>
                <w:sz w:val="20"/>
              </w:rPr>
            </w:pPr>
            <w:r>
              <w:rPr>
                <w:sz w:val="20"/>
              </w:rPr>
              <w:t>Author(s):</w:t>
            </w:r>
          </w:p>
        </w:tc>
      </w:tr>
      <w:tr w:rsidR="00CA09B2" w14:paraId="33314203" w14:textId="77777777">
        <w:trPr>
          <w:jc w:val="center"/>
        </w:trPr>
        <w:tc>
          <w:tcPr>
            <w:tcW w:w="1336" w:type="dxa"/>
            <w:vAlign w:val="center"/>
          </w:tcPr>
          <w:p w14:paraId="2B1D5283" w14:textId="77777777" w:rsidR="00CA09B2" w:rsidRDefault="00CA09B2">
            <w:pPr>
              <w:pStyle w:val="T2"/>
              <w:spacing w:after="0"/>
              <w:ind w:left="0" w:right="0"/>
              <w:jc w:val="left"/>
              <w:rPr>
                <w:sz w:val="20"/>
              </w:rPr>
            </w:pPr>
            <w:r>
              <w:rPr>
                <w:sz w:val="20"/>
              </w:rPr>
              <w:t>Name</w:t>
            </w:r>
          </w:p>
        </w:tc>
        <w:tc>
          <w:tcPr>
            <w:tcW w:w="2064" w:type="dxa"/>
            <w:vAlign w:val="center"/>
          </w:tcPr>
          <w:p w14:paraId="1EF327AF" w14:textId="77777777" w:rsidR="00CA09B2" w:rsidRDefault="0062440B">
            <w:pPr>
              <w:pStyle w:val="T2"/>
              <w:spacing w:after="0"/>
              <w:ind w:left="0" w:right="0"/>
              <w:jc w:val="left"/>
              <w:rPr>
                <w:sz w:val="20"/>
              </w:rPr>
            </w:pPr>
            <w:r>
              <w:rPr>
                <w:sz w:val="20"/>
              </w:rPr>
              <w:t>Affiliation</w:t>
            </w:r>
          </w:p>
        </w:tc>
        <w:tc>
          <w:tcPr>
            <w:tcW w:w="2814" w:type="dxa"/>
            <w:vAlign w:val="center"/>
          </w:tcPr>
          <w:p w14:paraId="714631F9" w14:textId="77777777" w:rsidR="00CA09B2" w:rsidRDefault="00CA09B2">
            <w:pPr>
              <w:pStyle w:val="T2"/>
              <w:spacing w:after="0"/>
              <w:ind w:left="0" w:right="0"/>
              <w:jc w:val="left"/>
              <w:rPr>
                <w:sz w:val="20"/>
              </w:rPr>
            </w:pPr>
            <w:r>
              <w:rPr>
                <w:sz w:val="20"/>
              </w:rPr>
              <w:t>Address</w:t>
            </w:r>
          </w:p>
        </w:tc>
        <w:tc>
          <w:tcPr>
            <w:tcW w:w="1715" w:type="dxa"/>
            <w:vAlign w:val="center"/>
          </w:tcPr>
          <w:p w14:paraId="2CF80FA6" w14:textId="77777777" w:rsidR="00CA09B2" w:rsidRDefault="00CA09B2">
            <w:pPr>
              <w:pStyle w:val="T2"/>
              <w:spacing w:after="0"/>
              <w:ind w:left="0" w:right="0"/>
              <w:jc w:val="left"/>
              <w:rPr>
                <w:sz w:val="20"/>
              </w:rPr>
            </w:pPr>
            <w:r>
              <w:rPr>
                <w:sz w:val="20"/>
              </w:rPr>
              <w:t>Phone</w:t>
            </w:r>
          </w:p>
        </w:tc>
        <w:tc>
          <w:tcPr>
            <w:tcW w:w="1647" w:type="dxa"/>
            <w:vAlign w:val="center"/>
          </w:tcPr>
          <w:p w14:paraId="437D2640" w14:textId="77777777" w:rsidR="00CA09B2" w:rsidRDefault="00CA09B2">
            <w:pPr>
              <w:pStyle w:val="T2"/>
              <w:spacing w:after="0"/>
              <w:ind w:left="0" w:right="0"/>
              <w:jc w:val="left"/>
              <w:rPr>
                <w:sz w:val="20"/>
              </w:rPr>
            </w:pPr>
            <w:r>
              <w:rPr>
                <w:sz w:val="20"/>
              </w:rPr>
              <w:t>email</w:t>
            </w:r>
          </w:p>
        </w:tc>
      </w:tr>
      <w:tr w:rsidR="00CA09B2" w14:paraId="0A012785" w14:textId="77777777">
        <w:trPr>
          <w:jc w:val="center"/>
        </w:trPr>
        <w:tc>
          <w:tcPr>
            <w:tcW w:w="1336" w:type="dxa"/>
            <w:vAlign w:val="center"/>
          </w:tcPr>
          <w:p w14:paraId="03BE41FD" w14:textId="77777777" w:rsidR="00CA09B2" w:rsidRDefault="00715612">
            <w:pPr>
              <w:pStyle w:val="T2"/>
              <w:spacing w:after="0"/>
              <w:ind w:left="0" w:right="0"/>
              <w:rPr>
                <w:b w:val="0"/>
                <w:sz w:val="20"/>
              </w:rPr>
            </w:pPr>
            <w:r>
              <w:rPr>
                <w:b w:val="0"/>
                <w:sz w:val="20"/>
              </w:rPr>
              <w:t>Chris Hansen</w:t>
            </w:r>
          </w:p>
        </w:tc>
        <w:tc>
          <w:tcPr>
            <w:tcW w:w="2064" w:type="dxa"/>
            <w:vAlign w:val="center"/>
          </w:tcPr>
          <w:p w14:paraId="34F632AB" w14:textId="77777777" w:rsidR="00CA09B2" w:rsidRDefault="00715612">
            <w:pPr>
              <w:pStyle w:val="T2"/>
              <w:spacing w:after="0"/>
              <w:ind w:left="0" w:right="0"/>
              <w:rPr>
                <w:b w:val="0"/>
                <w:sz w:val="20"/>
              </w:rPr>
            </w:pPr>
            <w:proofErr w:type="spellStart"/>
            <w:r>
              <w:rPr>
                <w:b w:val="0"/>
                <w:sz w:val="20"/>
              </w:rPr>
              <w:t>Peraso</w:t>
            </w:r>
            <w:proofErr w:type="spellEnd"/>
          </w:p>
        </w:tc>
        <w:tc>
          <w:tcPr>
            <w:tcW w:w="2814" w:type="dxa"/>
            <w:vAlign w:val="center"/>
          </w:tcPr>
          <w:p w14:paraId="6402A6F5" w14:textId="77777777" w:rsidR="00CA09B2" w:rsidRDefault="00CA09B2">
            <w:pPr>
              <w:pStyle w:val="T2"/>
              <w:spacing w:after="0"/>
              <w:ind w:left="0" w:right="0"/>
              <w:rPr>
                <w:b w:val="0"/>
                <w:sz w:val="20"/>
              </w:rPr>
            </w:pPr>
          </w:p>
        </w:tc>
        <w:tc>
          <w:tcPr>
            <w:tcW w:w="1715" w:type="dxa"/>
            <w:vAlign w:val="center"/>
          </w:tcPr>
          <w:p w14:paraId="54CBE0DD" w14:textId="77777777" w:rsidR="00CA09B2" w:rsidRDefault="00CA09B2">
            <w:pPr>
              <w:pStyle w:val="T2"/>
              <w:spacing w:after="0"/>
              <w:ind w:left="0" w:right="0"/>
              <w:rPr>
                <w:b w:val="0"/>
                <w:sz w:val="20"/>
              </w:rPr>
            </w:pPr>
          </w:p>
        </w:tc>
        <w:tc>
          <w:tcPr>
            <w:tcW w:w="1647" w:type="dxa"/>
            <w:vAlign w:val="center"/>
          </w:tcPr>
          <w:p w14:paraId="2C7E72A6" w14:textId="77777777" w:rsidR="00CA09B2" w:rsidRDefault="00715612">
            <w:pPr>
              <w:pStyle w:val="T2"/>
              <w:spacing w:after="0"/>
              <w:ind w:left="0" w:right="0"/>
              <w:rPr>
                <w:b w:val="0"/>
                <w:sz w:val="16"/>
              </w:rPr>
            </w:pPr>
            <w:r>
              <w:rPr>
                <w:b w:val="0"/>
                <w:sz w:val="16"/>
              </w:rPr>
              <w:t>chris@covariantcorp.com</w:t>
            </w:r>
          </w:p>
        </w:tc>
      </w:tr>
      <w:tr w:rsidR="00CA09B2" w14:paraId="792C66E2" w14:textId="77777777">
        <w:trPr>
          <w:jc w:val="center"/>
        </w:trPr>
        <w:tc>
          <w:tcPr>
            <w:tcW w:w="1336" w:type="dxa"/>
            <w:vAlign w:val="center"/>
          </w:tcPr>
          <w:p w14:paraId="6955CB4B" w14:textId="77777777" w:rsidR="00CA09B2" w:rsidRDefault="00CA09B2">
            <w:pPr>
              <w:pStyle w:val="T2"/>
              <w:spacing w:after="0"/>
              <w:ind w:left="0" w:right="0"/>
              <w:rPr>
                <w:b w:val="0"/>
                <w:sz w:val="20"/>
              </w:rPr>
            </w:pPr>
          </w:p>
        </w:tc>
        <w:tc>
          <w:tcPr>
            <w:tcW w:w="2064" w:type="dxa"/>
            <w:vAlign w:val="center"/>
          </w:tcPr>
          <w:p w14:paraId="1B64DC02" w14:textId="77777777" w:rsidR="00CA09B2" w:rsidRDefault="00CA09B2">
            <w:pPr>
              <w:pStyle w:val="T2"/>
              <w:spacing w:after="0"/>
              <w:ind w:left="0" w:right="0"/>
              <w:rPr>
                <w:b w:val="0"/>
                <w:sz w:val="20"/>
              </w:rPr>
            </w:pPr>
          </w:p>
        </w:tc>
        <w:tc>
          <w:tcPr>
            <w:tcW w:w="2814" w:type="dxa"/>
            <w:vAlign w:val="center"/>
          </w:tcPr>
          <w:p w14:paraId="0758F173" w14:textId="77777777" w:rsidR="00CA09B2" w:rsidRDefault="00CA09B2">
            <w:pPr>
              <w:pStyle w:val="T2"/>
              <w:spacing w:after="0"/>
              <w:ind w:left="0" w:right="0"/>
              <w:rPr>
                <w:b w:val="0"/>
                <w:sz w:val="20"/>
              </w:rPr>
            </w:pPr>
          </w:p>
        </w:tc>
        <w:tc>
          <w:tcPr>
            <w:tcW w:w="1715" w:type="dxa"/>
            <w:vAlign w:val="center"/>
          </w:tcPr>
          <w:p w14:paraId="7A338F82" w14:textId="77777777" w:rsidR="00CA09B2" w:rsidRDefault="00CA09B2">
            <w:pPr>
              <w:pStyle w:val="T2"/>
              <w:spacing w:after="0"/>
              <w:ind w:left="0" w:right="0"/>
              <w:rPr>
                <w:b w:val="0"/>
                <w:sz w:val="20"/>
              </w:rPr>
            </w:pPr>
          </w:p>
        </w:tc>
        <w:tc>
          <w:tcPr>
            <w:tcW w:w="1647" w:type="dxa"/>
            <w:vAlign w:val="center"/>
          </w:tcPr>
          <w:p w14:paraId="27155A0D" w14:textId="77777777" w:rsidR="00CA09B2" w:rsidRDefault="00CA09B2">
            <w:pPr>
              <w:pStyle w:val="T2"/>
              <w:spacing w:after="0"/>
              <w:ind w:left="0" w:right="0"/>
              <w:rPr>
                <w:b w:val="0"/>
                <w:sz w:val="16"/>
              </w:rPr>
            </w:pPr>
          </w:p>
        </w:tc>
      </w:tr>
    </w:tbl>
    <w:p w14:paraId="3773D4DA" w14:textId="77777777" w:rsidR="00CA09B2" w:rsidRDefault="001D71CD">
      <w:pPr>
        <w:pStyle w:val="T1"/>
        <w:spacing w:after="120"/>
        <w:rPr>
          <w:sz w:val="22"/>
        </w:rPr>
      </w:pPr>
      <w:r>
        <w:rPr>
          <w:noProof/>
        </w:rPr>
        <w:pict w14:anchorId="0000B945">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0B39DD7" w14:textId="77777777" w:rsidR="00AA1AC3" w:rsidRDefault="00AA1AC3">
                  <w:pPr>
                    <w:pStyle w:val="T1"/>
                    <w:spacing w:after="120"/>
                  </w:pPr>
                  <w:r>
                    <w:t>Abstract</w:t>
                  </w:r>
                </w:p>
                <w:p w14:paraId="65BB3E3C" w14:textId="29443F5D" w:rsidR="00AA1AC3" w:rsidRDefault="00AA1AC3">
                  <w:pPr>
                    <w:jc w:val="both"/>
                  </w:pPr>
                  <w:r>
                    <w:t>Proposed resolutions to LB231 CIDs 1120, 1203</w:t>
                  </w:r>
                  <w:r w:rsidR="0042174A">
                    <w:t>,</w:t>
                  </w:r>
                  <w:r>
                    <w:t xml:space="preserve"> 1207, 1272, 1386, and 2279. </w:t>
                  </w:r>
                </w:p>
              </w:txbxContent>
            </v:textbox>
          </v:shape>
        </w:pict>
      </w:r>
    </w:p>
    <w:p w14:paraId="71B986A2" w14:textId="77777777" w:rsidR="00CA09B2" w:rsidRDefault="00CA09B2" w:rsidP="007C4AC0">
      <w:r>
        <w:br w:type="page"/>
      </w:r>
      <w:r w:rsidR="0041472E">
        <w:lastRenderedPageBreak/>
        <w:t xml:space="preserve">Comments from LB231 - </w:t>
      </w:r>
    </w:p>
    <w:p w14:paraId="756EF414" w14:textId="77777777" w:rsidR="0041472E" w:rsidRDefault="0041472E" w:rsidP="007C4AC0">
      <w:pPr>
        <w:rPr>
          <w:b/>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6"/>
        <w:gridCol w:w="1052"/>
        <w:gridCol w:w="2615"/>
        <w:gridCol w:w="2604"/>
      </w:tblGrid>
      <w:tr w:rsidR="002C21B2" w:rsidRPr="002C21B2" w14:paraId="299758C4" w14:textId="77777777" w:rsidTr="002C21B2">
        <w:trPr>
          <w:trHeight w:val="900"/>
        </w:trPr>
        <w:tc>
          <w:tcPr>
            <w:tcW w:w="600" w:type="dxa"/>
            <w:shd w:val="clear" w:color="auto" w:fill="auto"/>
            <w:hideMark/>
          </w:tcPr>
          <w:p w14:paraId="3852514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CID</w:t>
            </w:r>
          </w:p>
        </w:tc>
        <w:tc>
          <w:tcPr>
            <w:tcW w:w="1540" w:type="dxa"/>
            <w:shd w:val="clear" w:color="auto" w:fill="auto"/>
            <w:hideMark/>
          </w:tcPr>
          <w:p w14:paraId="4904A86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Commenter</w:t>
            </w:r>
          </w:p>
        </w:tc>
        <w:tc>
          <w:tcPr>
            <w:tcW w:w="920" w:type="dxa"/>
            <w:shd w:val="clear" w:color="auto" w:fill="auto"/>
            <w:hideMark/>
          </w:tcPr>
          <w:p w14:paraId="52BD0CD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Clause</w:t>
            </w:r>
          </w:p>
        </w:tc>
        <w:tc>
          <w:tcPr>
            <w:tcW w:w="2700" w:type="dxa"/>
            <w:shd w:val="clear" w:color="auto" w:fill="auto"/>
            <w:hideMark/>
          </w:tcPr>
          <w:p w14:paraId="39A2B8B9"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Comment</w:t>
            </w:r>
          </w:p>
        </w:tc>
        <w:tc>
          <w:tcPr>
            <w:tcW w:w="2700" w:type="dxa"/>
            <w:shd w:val="clear" w:color="auto" w:fill="auto"/>
            <w:hideMark/>
          </w:tcPr>
          <w:p w14:paraId="32956D85" w14:textId="77777777" w:rsidR="002C21B2" w:rsidRPr="002C21B2" w:rsidRDefault="002C21B2" w:rsidP="002C21B2">
            <w:pPr>
              <w:rPr>
                <w:rFonts w:ascii="Calibri" w:hAnsi="Calibri" w:cs="Calibri"/>
                <w:b/>
                <w:bCs/>
                <w:color w:val="000000"/>
                <w:szCs w:val="22"/>
                <w:lang w:val="en-US"/>
              </w:rPr>
            </w:pPr>
            <w:r w:rsidRPr="002C21B2">
              <w:rPr>
                <w:rFonts w:ascii="Calibri" w:hAnsi="Calibri" w:cs="Calibri"/>
                <w:b/>
                <w:bCs/>
                <w:color w:val="000000"/>
                <w:szCs w:val="22"/>
                <w:lang w:val="en-US"/>
              </w:rPr>
              <w:t>Proposed Change</w:t>
            </w:r>
          </w:p>
        </w:tc>
      </w:tr>
      <w:tr w:rsidR="002C21B2" w:rsidRPr="002C21B2" w14:paraId="3B42D3B9" w14:textId="77777777" w:rsidTr="002C21B2">
        <w:trPr>
          <w:trHeight w:val="3300"/>
        </w:trPr>
        <w:tc>
          <w:tcPr>
            <w:tcW w:w="600" w:type="dxa"/>
            <w:shd w:val="clear" w:color="auto" w:fill="auto"/>
            <w:hideMark/>
          </w:tcPr>
          <w:p w14:paraId="2E351BB0" w14:textId="77777777" w:rsidR="002C21B2" w:rsidRPr="002C21B2" w:rsidRDefault="002C21B2" w:rsidP="002C21B2">
            <w:pPr>
              <w:jc w:val="right"/>
              <w:rPr>
                <w:rFonts w:ascii="Calibri" w:hAnsi="Calibri" w:cs="Calibri"/>
                <w:color w:val="000000"/>
                <w:szCs w:val="22"/>
                <w:lang w:val="en-US"/>
              </w:rPr>
            </w:pPr>
            <w:r w:rsidRPr="002C21B2">
              <w:rPr>
                <w:rFonts w:ascii="Calibri" w:hAnsi="Calibri" w:cs="Calibri"/>
                <w:color w:val="000000"/>
                <w:szCs w:val="22"/>
                <w:lang w:val="en-US"/>
              </w:rPr>
              <w:t>1120</w:t>
            </w:r>
          </w:p>
        </w:tc>
        <w:tc>
          <w:tcPr>
            <w:tcW w:w="1540" w:type="dxa"/>
            <w:shd w:val="clear" w:color="auto" w:fill="auto"/>
            <w:hideMark/>
          </w:tcPr>
          <w:p w14:paraId="46740987"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Oren </w:t>
            </w:r>
            <w:proofErr w:type="spellStart"/>
            <w:r w:rsidRPr="002C21B2">
              <w:rPr>
                <w:rFonts w:ascii="Calibri" w:hAnsi="Calibri" w:cs="Calibri"/>
                <w:color w:val="000000"/>
                <w:szCs w:val="22"/>
                <w:lang w:val="en-US"/>
              </w:rPr>
              <w:t>Kedem</w:t>
            </w:r>
            <w:proofErr w:type="spellEnd"/>
          </w:p>
        </w:tc>
        <w:tc>
          <w:tcPr>
            <w:tcW w:w="920" w:type="dxa"/>
            <w:shd w:val="clear" w:color="auto" w:fill="auto"/>
            <w:hideMark/>
          </w:tcPr>
          <w:p w14:paraId="6C9E4AAB"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9.4.2.250</w:t>
            </w:r>
          </w:p>
        </w:tc>
        <w:tc>
          <w:tcPr>
            <w:tcW w:w="2700" w:type="dxa"/>
            <w:shd w:val="clear" w:color="auto" w:fill="auto"/>
            <w:hideMark/>
          </w:tcPr>
          <w:p w14:paraId="0FA37F0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The Maximum PHY Rate subfield contains the maximum PHY data rate, in units of 100 Mbps, that the STA supports in receive mode, over all supported channel bandwidths and number of spatial streams"</w:t>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r>
            <w:r w:rsidRPr="002C21B2">
              <w:rPr>
                <w:rFonts w:ascii="Calibri" w:hAnsi="Calibri" w:cs="Calibri"/>
                <w:color w:val="000000"/>
                <w:szCs w:val="22"/>
                <w:lang w:val="en-US"/>
              </w:rPr>
              <w:br/>
              <w:t>there is no usage for this field</w:t>
            </w:r>
          </w:p>
        </w:tc>
        <w:tc>
          <w:tcPr>
            <w:tcW w:w="2700" w:type="dxa"/>
            <w:shd w:val="clear" w:color="auto" w:fill="auto"/>
            <w:hideMark/>
          </w:tcPr>
          <w:p w14:paraId="0E4D0198" w14:textId="77777777" w:rsidR="002C21B2" w:rsidRPr="002C21B2" w:rsidRDefault="002C21B2" w:rsidP="002C21B2">
            <w:pPr>
              <w:rPr>
                <w:rFonts w:ascii="Calibri" w:hAnsi="Calibri" w:cs="Calibri"/>
                <w:color w:val="000000"/>
                <w:szCs w:val="22"/>
                <w:lang w:val="en-US"/>
              </w:rPr>
            </w:pPr>
            <w:r w:rsidRPr="002C21B2">
              <w:rPr>
                <w:rFonts w:ascii="Calibri" w:hAnsi="Calibri" w:cs="Calibri"/>
                <w:color w:val="000000"/>
                <w:szCs w:val="22"/>
                <w:lang w:val="en-US"/>
              </w:rPr>
              <w:t xml:space="preserve">Consider </w:t>
            </w:r>
            <w:proofErr w:type="gramStart"/>
            <w:r w:rsidRPr="002C21B2">
              <w:rPr>
                <w:rFonts w:ascii="Calibri" w:hAnsi="Calibri" w:cs="Calibri"/>
                <w:color w:val="000000"/>
                <w:szCs w:val="22"/>
                <w:lang w:val="en-US"/>
              </w:rPr>
              <w:t>to remove</w:t>
            </w:r>
            <w:proofErr w:type="gramEnd"/>
            <w:r w:rsidRPr="002C21B2">
              <w:rPr>
                <w:rFonts w:ascii="Calibri" w:hAnsi="Calibri" w:cs="Calibri"/>
                <w:color w:val="000000"/>
                <w:szCs w:val="22"/>
                <w:lang w:val="en-US"/>
              </w:rPr>
              <w:t xml:space="preserve"> field from Core capability</w:t>
            </w:r>
          </w:p>
        </w:tc>
      </w:tr>
    </w:tbl>
    <w:p w14:paraId="5BAD5792" w14:textId="77777777" w:rsidR="0041472E" w:rsidRDefault="0041472E" w:rsidP="007C4AC0">
      <w:pPr>
        <w:rPr>
          <w:b/>
          <w:sz w:val="24"/>
        </w:rPr>
      </w:pPr>
    </w:p>
    <w:p w14:paraId="2405725A" w14:textId="467EDA46" w:rsidR="00CA09B2" w:rsidRDefault="002C21B2">
      <w:r>
        <w:t>Resolution: Reject</w:t>
      </w:r>
    </w:p>
    <w:p w14:paraId="0B8894E3" w14:textId="11C479B2" w:rsidR="002C21B2" w:rsidRDefault="002C21B2"/>
    <w:p w14:paraId="397D621A" w14:textId="6512E63D" w:rsidR="002C21B2" w:rsidRDefault="002C21B2">
      <w:r>
        <w:t xml:space="preserve">Discussion: </w:t>
      </w:r>
      <w:r w:rsidRPr="002C21B2">
        <w:t>Implementations may have rate limitations, for example due to a data bus that place an upper limit on total PHY rate regardless of MCS</w:t>
      </w:r>
      <w:r>
        <w:t>.</w:t>
      </w:r>
    </w:p>
    <w:p w14:paraId="2117966B" w14:textId="20F23BB3" w:rsidR="002C21B2" w:rsidRDefault="002C21B2"/>
    <w:p w14:paraId="07E8F7AE" w14:textId="6716A8F1" w:rsidR="002C21B2" w:rsidRDefault="002C21B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85"/>
        <w:gridCol w:w="1219"/>
        <w:gridCol w:w="2557"/>
        <w:gridCol w:w="2535"/>
      </w:tblGrid>
      <w:tr w:rsidR="00DD27D4" w:rsidRPr="00DD27D4" w14:paraId="6121BE42" w14:textId="77777777" w:rsidTr="00D53CB5">
        <w:trPr>
          <w:trHeight w:val="4200"/>
        </w:trPr>
        <w:tc>
          <w:tcPr>
            <w:tcW w:w="598" w:type="dxa"/>
            <w:shd w:val="clear" w:color="auto" w:fill="auto"/>
            <w:hideMark/>
          </w:tcPr>
          <w:p w14:paraId="7ED5C724" w14:textId="77777777" w:rsidR="00DD27D4" w:rsidRPr="00DD27D4" w:rsidRDefault="00DD27D4" w:rsidP="00DD27D4">
            <w:pPr>
              <w:jc w:val="right"/>
              <w:rPr>
                <w:rFonts w:ascii="Calibri" w:hAnsi="Calibri" w:cs="Calibri"/>
                <w:color w:val="000000"/>
                <w:szCs w:val="22"/>
                <w:lang w:val="en-US"/>
              </w:rPr>
            </w:pPr>
            <w:r w:rsidRPr="00DD27D4">
              <w:rPr>
                <w:rFonts w:ascii="Calibri" w:hAnsi="Calibri" w:cs="Calibri"/>
                <w:color w:val="000000"/>
                <w:szCs w:val="22"/>
                <w:lang w:val="en-US"/>
              </w:rPr>
              <w:t>1203</w:t>
            </w:r>
          </w:p>
        </w:tc>
        <w:tc>
          <w:tcPr>
            <w:tcW w:w="1521" w:type="dxa"/>
            <w:shd w:val="clear" w:color="auto" w:fill="auto"/>
            <w:hideMark/>
          </w:tcPr>
          <w:p w14:paraId="6A45A91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Adrian Stephens</w:t>
            </w:r>
          </w:p>
        </w:tc>
        <w:tc>
          <w:tcPr>
            <w:tcW w:w="1033" w:type="dxa"/>
            <w:shd w:val="clear" w:color="auto" w:fill="auto"/>
            <w:hideMark/>
          </w:tcPr>
          <w:p w14:paraId="0D749852"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9.4.2.250.1</w:t>
            </w:r>
          </w:p>
        </w:tc>
        <w:tc>
          <w:tcPr>
            <w:tcW w:w="2657" w:type="dxa"/>
            <w:shd w:val="clear" w:color="auto" w:fill="auto"/>
            <w:hideMark/>
          </w:tcPr>
          <w:p w14:paraId="4D0447C6"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"non-AP or non-PCP EDMG STA"</w:t>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r>
            <w:r w:rsidRPr="00DD27D4">
              <w:rPr>
                <w:rFonts w:ascii="Calibri" w:hAnsi="Calibri" w:cs="Calibri"/>
                <w:color w:val="000000"/>
                <w:szCs w:val="22"/>
                <w:lang w:val="en-US"/>
              </w:rPr>
              <w:br/>
              <w:t xml:space="preserve">This is inherently ambiguous as it combines (or) and (and) operations and there is no clear operator precedence.   In this </w:t>
            </w:r>
            <w:proofErr w:type="gramStart"/>
            <w:r w:rsidRPr="00DD27D4">
              <w:rPr>
                <w:rFonts w:ascii="Calibri" w:hAnsi="Calibri" w:cs="Calibri"/>
                <w:color w:val="000000"/>
                <w:szCs w:val="22"/>
                <w:lang w:val="en-US"/>
              </w:rPr>
              <w:t>case,  is</w:t>
            </w:r>
            <w:proofErr w:type="gramEnd"/>
            <w:r w:rsidRPr="00DD27D4">
              <w:rPr>
                <w:rFonts w:ascii="Calibri" w:hAnsi="Calibri" w:cs="Calibri"/>
                <w:color w:val="000000"/>
                <w:szCs w:val="22"/>
                <w:lang w:val="en-US"/>
              </w:rPr>
              <w:t xml:space="preserve"> the non-AP STA also an EDMG STA?</w:t>
            </w:r>
            <w:r w:rsidRPr="00DD27D4">
              <w:rPr>
                <w:rFonts w:ascii="Calibri" w:hAnsi="Calibri" w:cs="Calibri"/>
                <w:color w:val="000000"/>
                <w:szCs w:val="22"/>
                <w:lang w:val="en-US"/>
              </w:rPr>
              <w:br/>
            </w:r>
            <w:r w:rsidRPr="00DD27D4">
              <w:rPr>
                <w:rFonts w:ascii="Calibri" w:hAnsi="Calibri" w:cs="Calibri"/>
                <w:color w:val="000000"/>
                <w:szCs w:val="22"/>
                <w:lang w:val="en-US"/>
              </w:rPr>
              <w:br/>
              <w:t>I suspect it is also incorrect, because AP and PCP EDMG STAs also transmit this element.</w:t>
            </w:r>
          </w:p>
        </w:tc>
        <w:tc>
          <w:tcPr>
            <w:tcW w:w="2651" w:type="dxa"/>
            <w:shd w:val="clear" w:color="auto" w:fill="auto"/>
            <w:hideMark/>
          </w:tcPr>
          <w:p w14:paraId="3842436F" w14:textId="77777777" w:rsidR="00DD27D4" w:rsidRPr="00DD27D4" w:rsidRDefault="00DD27D4" w:rsidP="00DD27D4">
            <w:pPr>
              <w:rPr>
                <w:rFonts w:ascii="Calibri" w:hAnsi="Calibri" w:cs="Calibri"/>
                <w:color w:val="000000"/>
                <w:szCs w:val="22"/>
                <w:lang w:val="en-US"/>
              </w:rPr>
            </w:pPr>
            <w:r w:rsidRPr="00DD27D4">
              <w:rPr>
                <w:rFonts w:ascii="Calibri" w:hAnsi="Calibri" w:cs="Calibri"/>
                <w:color w:val="000000"/>
                <w:szCs w:val="22"/>
                <w:lang w:val="en-US"/>
              </w:rPr>
              <w:t>Replace all such use with the expanded term "non-AP EDMG STA or non-PCP EDMG STA".</w:t>
            </w:r>
          </w:p>
        </w:tc>
      </w:tr>
    </w:tbl>
    <w:p w14:paraId="6B5C0AC7" w14:textId="55B4D5AE" w:rsidR="003A0AC9" w:rsidRDefault="003A0AC9"/>
    <w:p w14:paraId="15766AE6" w14:textId="0ED905D7" w:rsidR="00D53CB5" w:rsidRDefault="00D53CB5">
      <w:r>
        <w:t xml:space="preserve">Resolution: </w:t>
      </w:r>
      <w:r w:rsidR="00012151">
        <w:t>Revise</w:t>
      </w:r>
    </w:p>
    <w:p w14:paraId="36C1CC18" w14:textId="43BF7708" w:rsidR="00012151" w:rsidRDefault="00012151"/>
    <w:p w14:paraId="23463E3B" w14:textId="4A3B16F3" w:rsidR="00012151" w:rsidRDefault="00C01346">
      <w:r>
        <w:t xml:space="preserve">Discussion: Text is ambiguous and should be changed throughout 802.11ay.  It is true that AP EDMG STAs and PCP EDMG STAs transmit this element, however these STAs also declare they are EDMG STAs through the DMG Parameters field that is transmitted in Beacons. </w:t>
      </w:r>
    </w:p>
    <w:p w14:paraId="3068FBF8" w14:textId="46971A22" w:rsidR="00D53CB5" w:rsidRDefault="00D53CB5"/>
    <w:p w14:paraId="2DD2574E" w14:textId="79973306" w:rsidR="00D53CB5" w:rsidRDefault="00D53CB5">
      <w:pPr>
        <w:rPr>
          <w:rFonts w:ascii="Calibri" w:hAnsi="Calibri" w:cs="Calibri"/>
          <w:color w:val="000000"/>
          <w:szCs w:val="22"/>
          <w:lang w:val="en-US"/>
        </w:rPr>
      </w:pPr>
      <w:r>
        <w:rPr>
          <w:i/>
        </w:rPr>
        <w:lastRenderedPageBreak/>
        <w:t xml:space="preserve">Instruct the Editor to make a global change in the 802.11ay draft from </w:t>
      </w:r>
      <w:r w:rsidRPr="00DD27D4">
        <w:rPr>
          <w:rFonts w:ascii="Calibri" w:hAnsi="Calibri" w:cs="Calibri"/>
          <w:color w:val="000000"/>
          <w:szCs w:val="22"/>
          <w:lang w:val="en-US"/>
        </w:rPr>
        <w:t>"non-AP or non-PCP EDMG STA"</w:t>
      </w:r>
      <w:r>
        <w:rPr>
          <w:rFonts w:ascii="Calibri" w:hAnsi="Calibri" w:cs="Calibri"/>
          <w:color w:val="000000"/>
          <w:szCs w:val="22"/>
          <w:lang w:val="en-US"/>
        </w:rPr>
        <w:t xml:space="preserve"> </w:t>
      </w:r>
      <w:r>
        <w:rPr>
          <w:rFonts w:ascii="Calibri" w:hAnsi="Calibri" w:cs="Calibri"/>
          <w:i/>
          <w:color w:val="000000"/>
          <w:szCs w:val="22"/>
          <w:lang w:val="en-US"/>
        </w:rPr>
        <w:t xml:space="preserve">to </w:t>
      </w:r>
      <w:r w:rsidRPr="00DD27D4">
        <w:rPr>
          <w:rFonts w:ascii="Calibri" w:hAnsi="Calibri" w:cs="Calibri"/>
          <w:color w:val="000000"/>
          <w:szCs w:val="22"/>
          <w:lang w:val="en-US"/>
        </w:rPr>
        <w:t>"non-AP EDMG STA or non-PCP EDMG STA"</w:t>
      </w:r>
    </w:p>
    <w:p w14:paraId="388D7926" w14:textId="266D65F9" w:rsidR="00E14276" w:rsidRDefault="00E14276"/>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1"/>
        <w:gridCol w:w="1219"/>
        <w:gridCol w:w="2560"/>
        <w:gridCol w:w="2547"/>
      </w:tblGrid>
      <w:tr w:rsidR="00F1242F" w:rsidRPr="00E14276" w14:paraId="5311946F" w14:textId="77777777" w:rsidTr="00F1242F">
        <w:trPr>
          <w:trHeight w:val="1655"/>
        </w:trPr>
        <w:tc>
          <w:tcPr>
            <w:tcW w:w="663" w:type="dxa"/>
            <w:shd w:val="clear" w:color="auto" w:fill="auto"/>
          </w:tcPr>
          <w:p w14:paraId="00B74292" w14:textId="646F6CF9" w:rsidR="00F1242F" w:rsidRPr="00E14276" w:rsidRDefault="00F1242F" w:rsidP="00F1242F">
            <w:pPr>
              <w:jc w:val="right"/>
              <w:rPr>
                <w:rFonts w:ascii="Calibri" w:hAnsi="Calibri" w:cs="Calibri"/>
                <w:color w:val="000000"/>
                <w:szCs w:val="22"/>
                <w:lang w:val="en-US"/>
              </w:rPr>
            </w:pPr>
            <w:r>
              <w:rPr>
                <w:rFonts w:ascii="Calibri" w:hAnsi="Calibri" w:cs="Calibri"/>
                <w:color w:val="000000"/>
                <w:szCs w:val="22"/>
              </w:rPr>
              <w:t>1207</w:t>
            </w:r>
          </w:p>
        </w:tc>
        <w:tc>
          <w:tcPr>
            <w:tcW w:w="1471" w:type="dxa"/>
            <w:shd w:val="clear" w:color="auto" w:fill="auto"/>
          </w:tcPr>
          <w:p w14:paraId="118197CF" w14:textId="21B47163" w:rsidR="00F1242F" w:rsidRPr="00E14276" w:rsidRDefault="00F1242F" w:rsidP="00F1242F">
            <w:pPr>
              <w:rPr>
                <w:rFonts w:ascii="Calibri" w:hAnsi="Calibri" w:cs="Calibri"/>
                <w:color w:val="000000"/>
                <w:szCs w:val="22"/>
                <w:lang w:val="en-US"/>
              </w:rPr>
            </w:pPr>
            <w:r>
              <w:rPr>
                <w:rFonts w:ascii="Calibri" w:hAnsi="Calibri" w:cs="Calibri"/>
                <w:color w:val="000000"/>
                <w:szCs w:val="22"/>
              </w:rPr>
              <w:t>Adrian Stephens</w:t>
            </w:r>
          </w:p>
        </w:tc>
        <w:tc>
          <w:tcPr>
            <w:tcW w:w="1219" w:type="dxa"/>
            <w:shd w:val="clear" w:color="auto" w:fill="auto"/>
          </w:tcPr>
          <w:p w14:paraId="33A99F97" w14:textId="226EB025" w:rsidR="00F1242F" w:rsidRPr="00E14276" w:rsidRDefault="00F1242F" w:rsidP="00F1242F">
            <w:pPr>
              <w:rPr>
                <w:rFonts w:ascii="Calibri" w:hAnsi="Calibri" w:cs="Calibri"/>
                <w:color w:val="000000"/>
                <w:szCs w:val="22"/>
                <w:lang w:val="en-US"/>
              </w:rPr>
            </w:pPr>
            <w:r>
              <w:rPr>
                <w:rFonts w:ascii="Calibri" w:hAnsi="Calibri" w:cs="Calibri"/>
                <w:color w:val="000000"/>
                <w:szCs w:val="22"/>
              </w:rPr>
              <w:t>9.4.2.250.4</w:t>
            </w:r>
          </w:p>
        </w:tc>
        <w:tc>
          <w:tcPr>
            <w:tcW w:w="2560" w:type="dxa"/>
            <w:shd w:val="clear" w:color="auto" w:fill="auto"/>
          </w:tcPr>
          <w:p w14:paraId="0D5C3C76" w14:textId="0B68325E" w:rsidR="00F1242F" w:rsidRPr="00E14276" w:rsidRDefault="00F1242F" w:rsidP="00F1242F">
            <w:pPr>
              <w:rPr>
                <w:rFonts w:ascii="Calibri" w:hAnsi="Calibri" w:cs="Calibri"/>
                <w:color w:val="000000"/>
                <w:szCs w:val="22"/>
                <w:lang w:val="en-US"/>
              </w:rPr>
            </w:pPr>
            <w:r>
              <w:rPr>
                <w:rFonts w:ascii="Calibri" w:hAnsi="Calibri" w:cs="Calibri"/>
                <w:color w:val="000000"/>
                <w:szCs w:val="22"/>
              </w:rPr>
              <w:t>"PHY Capability field</w:t>
            </w:r>
            <w:proofErr w:type="gramStart"/>
            <w:r>
              <w:rPr>
                <w:rFonts w:ascii="Calibri" w:hAnsi="Calibri" w:cs="Calibri"/>
                <w:color w:val="000000"/>
                <w:szCs w:val="22"/>
              </w:rPr>
              <w:t>"  -</w:t>
            </w:r>
            <w:proofErr w:type="gramEnd"/>
            <w:r>
              <w:rPr>
                <w:rFonts w:ascii="Calibri" w:hAnsi="Calibri" w:cs="Calibri"/>
                <w:color w:val="000000"/>
                <w:szCs w:val="22"/>
              </w:rPr>
              <w:t xml:space="preserve"> this is an over-general field name,  as it is specific to EDMG STAs</w:t>
            </w:r>
          </w:p>
        </w:tc>
        <w:tc>
          <w:tcPr>
            <w:tcW w:w="2547" w:type="dxa"/>
            <w:shd w:val="clear" w:color="auto" w:fill="auto"/>
          </w:tcPr>
          <w:p w14:paraId="26883979" w14:textId="3760F918" w:rsidR="00F1242F" w:rsidRPr="00E14276" w:rsidRDefault="00F1242F" w:rsidP="00F1242F">
            <w:pPr>
              <w:rPr>
                <w:rFonts w:ascii="Calibri" w:hAnsi="Calibri" w:cs="Calibri"/>
                <w:color w:val="000000"/>
                <w:szCs w:val="22"/>
                <w:lang w:val="en-US"/>
              </w:rPr>
            </w:pPr>
            <w:r>
              <w:rPr>
                <w:rFonts w:ascii="Calibri" w:hAnsi="Calibri" w:cs="Calibri"/>
                <w:color w:val="000000"/>
                <w:szCs w:val="22"/>
              </w:rPr>
              <w:t>Insert "EDMG" in the name of the field.    Ditto for all the subfields of the EDMG capabilities element.</w:t>
            </w:r>
          </w:p>
        </w:tc>
      </w:tr>
    </w:tbl>
    <w:p w14:paraId="50B11EA3" w14:textId="0CEBEFA8" w:rsidR="00E14276" w:rsidRDefault="00E14276"/>
    <w:p w14:paraId="446120BA" w14:textId="13E6C5D7" w:rsidR="007871A9" w:rsidRDefault="00A61984">
      <w:r>
        <w:t xml:space="preserve">Resolution: </w:t>
      </w:r>
      <w:r w:rsidR="003D77E4">
        <w:t>Accept</w:t>
      </w:r>
    </w:p>
    <w:p w14:paraId="38DB0E49" w14:textId="46BFEAC6" w:rsidR="00627033" w:rsidRDefault="00627033"/>
    <w:p w14:paraId="7BCA0BA3" w14:textId="77777777" w:rsidR="00BB1A44" w:rsidRDefault="00BB1A44" w:rsidP="00BB1A44">
      <w:pPr>
        <w:pStyle w:val="IEEEStdsParagraph"/>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43"/>
        <w:gridCol w:w="1219"/>
        <w:gridCol w:w="2582"/>
        <w:gridCol w:w="2552"/>
      </w:tblGrid>
      <w:tr w:rsidR="00BB1A44" w:rsidRPr="00CA4446" w14:paraId="366C73FB" w14:textId="77777777" w:rsidTr="005C3B29">
        <w:trPr>
          <w:trHeight w:val="3300"/>
        </w:trPr>
        <w:tc>
          <w:tcPr>
            <w:tcW w:w="597" w:type="dxa"/>
            <w:shd w:val="clear" w:color="auto" w:fill="auto"/>
            <w:hideMark/>
          </w:tcPr>
          <w:p w14:paraId="112D672D" w14:textId="77777777" w:rsidR="00BB1A44" w:rsidRPr="00CA4446" w:rsidRDefault="00BB1A44" w:rsidP="005C3B29">
            <w:pPr>
              <w:jc w:val="right"/>
              <w:rPr>
                <w:rFonts w:ascii="Calibri" w:hAnsi="Calibri" w:cs="Calibri"/>
                <w:color w:val="000000"/>
                <w:szCs w:val="22"/>
                <w:lang w:val="en-US"/>
              </w:rPr>
            </w:pPr>
            <w:r w:rsidRPr="00CA4446">
              <w:rPr>
                <w:rFonts w:ascii="Calibri" w:hAnsi="Calibri" w:cs="Calibri"/>
                <w:color w:val="000000"/>
                <w:szCs w:val="22"/>
                <w:lang w:val="en-US"/>
              </w:rPr>
              <w:t>1272</w:t>
            </w:r>
          </w:p>
        </w:tc>
        <w:tc>
          <w:tcPr>
            <w:tcW w:w="1510" w:type="dxa"/>
            <w:shd w:val="clear" w:color="auto" w:fill="auto"/>
            <w:hideMark/>
          </w:tcPr>
          <w:p w14:paraId="15DBDFAC"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Yan Xin</w:t>
            </w:r>
          </w:p>
        </w:tc>
        <w:tc>
          <w:tcPr>
            <w:tcW w:w="1033" w:type="dxa"/>
            <w:shd w:val="clear" w:color="auto" w:fill="auto"/>
            <w:hideMark/>
          </w:tcPr>
          <w:p w14:paraId="2F209769"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9.4.2.250.2</w:t>
            </w:r>
          </w:p>
        </w:tc>
        <w:tc>
          <w:tcPr>
            <w:tcW w:w="2664" w:type="dxa"/>
            <w:shd w:val="clear" w:color="auto" w:fill="auto"/>
            <w:hideMark/>
          </w:tcPr>
          <w:p w14:paraId="105D6D64"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 xml:space="preserve">DL MU-MIMO is indicated for data </w:t>
            </w:r>
            <w:proofErr w:type="spellStart"/>
            <w:r w:rsidRPr="00CA4446">
              <w:rPr>
                <w:rFonts w:ascii="Calibri" w:hAnsi="Calibri" w:cs="Calibri"/>
                <w:color w:val="000000"/>
                <w:szCs w:val="22"/>
                <w:lang w:val="en-US"/>
              </w:rPr>
              <w:t>trasnmission</w:t>
            </w:r>
            <w:proofErr w:type="spellEnd"/>
            <w:r w:rsidRPr="00CA4446">
              <w:rPr>
                <w:rFonts w:ascii="Calibri" w:hAnsi="Calibri" w:cs="Calibri"/>
                <w:color w:val="000000"/>
                <w:szCs w:val="22"/>
                <w:lang w:val="en-US"/>
              </w:rPr>
              <w:t xml:space="preserve"> when MU-MIMO Supported subfield in Beamforming Capability filed is set to one.  It is not clear why UL MU-MIMO Supported subfield is defined. UL MU-MIMO phase is optionally a part of MU-MIMO beamforming.</w:t>
            </w:r>
          </w:p>
        </w:tc>
        <w:tc>
          <w:tcPr>
            <w:tcW w:w="2656" w:type="dxa"/>
            <w:shd w:val="clear" w:color="auto" w:fill="auto"/>
            <w:hideMark/>
          </w:tcPr>
          <w:p w14:paraId="6B3A4B6D" w14:textId="77777777" w:rsidR="00BB1A44" w:rsidRPr="00CA4446" w:rsidRDefault="00BB1A44" w:rsidP="005C3B29">
            <w:pPr>
              <w:rPr>
                <w:rFonts w:ascii="Calibri" w:hAnsi="Calibri" w:cs="Calibri"/>
                <w:color w:val="000000"/>
                <w:szCs w:val="22"/>
                <w:lang w:val="en-US"/>
              </w:rPr>
            </w:pPr>
            <w:r w:rsidRPr="00CA4446">
              <w:rPr>
                <w:rFonts w:ascii="Calibri" w:hAnsi="Calibri" w:cs="Calibri"/>
                <w:color w:val="000000"/>
                <w:szCs w:val="22"/>
                <w:lang w:val="en-US"/>
              </w:rPr>
              <w:t>clarify the definition of UL MU-MIMO Supported</w:t>
            </w:r>
          </w:p>
        </w:tc>
      </w:tr>
    </w:tbl>
    <w:p w14:paraId="79AA46DC" w14:textId="77777777" w:rsidR="00BB1A44" w:rsidRDefault="00BB1A44" w:rsidP="00BB1A44">
      <w:pPr>
        <w:pStyle w:val="IEEEStdsParagraph"/>
      </w:pPr>
    </w:p>
    <w:p w14:paraId="146D6E98" w14:textId="77777777" w:rsidR="00BB1A44" w:rsidRDefault="00BB1A44" w:rsidP="00BB1A44">
      <w:r>
        <w:t>Resolution: Reject</w:t>
      </w:r>
    </w:p>
    <w:p w14:paraId="45387CAF" w14:textId="77777777" w:rsidR="00BB1A44" w:rsidRDefault="00BB1A44" w:rsidP="00BB1A44"/>
    <w:p w14:paraId="231419A5" w14:textId="77777777" w:rsidR="00BB1A44" w:rsidRDefault="00BB1A44" w:rsidP="00BB1A44">
      <w:r>
        <w:t>Discussion: The current text is clear.  The UL MU-MIMO bit indicates support for an optional feature.</w:t>
      </w:r>
    </w:p>
    <w:p w14:paraId="5528A123" w14:textId="77777777" w:rsidR="00BB1A44" w:rsidRDefault="00BB1A44" w:rsidP="00BB1A44"/>
    <w:p w14:paraId="12BA9F86" w14:textId="77777777" w:rsidR="00BB1A44" w:rsidRDefault="00BB1A44" w:rsidP="00BB1A44"/>
    <w:p w14:paraId="4B9E891E" w14:textId="77777777" w:rsidR="00627033" w:rsidRDefault="00627033"/>
    <w:p w14:paraId="0D76FE17" w14:textId="26F8960F" w:rsidR="00A61984" w:rsidRDefault="00A6198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59"/>
        <w:gridCol w:w="1219"/>
        <w:gridCol w:w="2559"/>
        <w:gridCol w:w="2560"/>
      </w:tblGrid>
      <w:tr w:rsidR="00C20957" w:rsidRPr="00C20957" w14:paraId="0628F4E8" w14:textId="77777777" w:rsidTr="00CF0C1F">
        <w:trPr>
          <w:trHeight w:val="1500"/>
        </w:trPr>
        <w:tc>
          <w:tcPr>
            <w:tcW w:w="663" w:type="dxa"/>
            <w:shd w:val="clear" w:color="auto" w:fill="auto"/>
            <w:hideMark/>
          </w:tcPr>
          <w:p w14:paraId="543D0F49" w14:textId="77777777" w:rsidR="00C20957" w:rsidRPr="00C20957" w:rsidRDefault="00C20957" w:rsidP="00C20957">
            <w:pPr>
              <w:jc w:val="right"/>
              <w:rPr>
                <w:rFonts w:ascii="Calibri" w:hAnsi="Calibri" w:cs="Calibri"/>
                <w:color w:val="000000"/>
                <w:szCs w:val="22"/>
                <w:lang w:val="en-US"/>
              </w:rPr>
            </w:pPr>
            <w:r w:rsidRPr="00C20957">
              <w:rPr>
                <w:rFonts w:ascii="Calibri" w:hAnsi="Calibri" w:cs="Calibri"/>
                <w:color w:val="000000"/>
                <w:szCs w:val="22"/>
                <w:lang w:val="en-US"/>
              </w:rPr>
              <w:t>1386</w:t>
            </w:r>
          </w:p>
        </w:tc>
        <w:tc>
          <w:tcPr>
            <w:tcW w:w="1459" w:type="dxa"/>
            <w:shd w:val="clear" w:color="auto" w:fill="auto"/>
            <w:hideMark/>
          </w:tcPr>
          <w:p w14:paraId="45803C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Assaf Kasher</w:t>
            </w:r>
          </w:p>
        </w:tc>
        <w:tc>
          <w:tcPr>
            <w:tcW w:w="1219" w:type="dxa"/>
            <w:shd w:val="clear" w:color="auto" w:fill="auto"/>
            <w:hideMark/>
          </w:tcPr>
          <w:p w14:paraId="6390C629"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9.4.2.250.1</w:t>
            </w:r>
          </w:p>
        </w:tc>
        <w:tc>
          <w:tcPr>
            <w:tcW w:w="2559" w:type="dxa"/>
            <w:shd w:val="clear" w:color="auto" w:fill="auto"/>
            <w:hideMark/>
          </w:tcPr>
          <w:p w14:paraId="440F07DC"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The TRN parameters should be moved to the beamforming capabilities field</w:t>
            </w:r>
          </w:p>
        </w:tc>
        <w:tc>
          <w:tcPr>
            <w:tcW w:w="2560" w:type="dxa"/>
            <w:shd w:val="clear" w:color="auto" w:fill="auto"/>
            <w:hideMark/>
          </w:tcPr>
          <w:p w14:paraId="0FAD4B28" w14:textId="77777777" w:rsidR="00C20957" w:rsidRPr="00C20957" w:rsidRDefault="00C20957" w:rsidP="00C20957">
            <w:pPr>
              <w:rPr>
                <w:rFonts w:ascii="Calibri" w:hAnsi="Calibri" w:cs="Calibri"/>
                <w:color w:val="000000"/>
                <w:szCs w:val="22"/>
                <w:lang w:val="en-US"/>
              </w:rPr>
            </w:pPr>
            <w:r w:rsidRPr="00C20957">
              <w:rPr>
                <w:rFonts w:ascii="Calibri" w:hAnsi="Calibri" w:cs="Calibri"/>
                <w:color w:val="000000"/>
                <w:szCs w:val="22"/>
                <w:lang w:val="en-US"/>
              </w:rPr>
              <w:t>Move the TRN parameters to the Beamforming capability</w:t>
            </w:r>
          </w:p>
        </w:tc>
      </w:tr>
    </w:tbl>
    <w:p w14:paraId="77A93B29" w14:textId="3B045BE7" w:rsidR="00855742" w:rsidRDefault="00855742"/>
    <w:p w14:paraId="779E89D0" w14:textId="3B0DE450" w:rsidR="006419F9" w:rsidRDefault="006419F9" w:rsidP="006419F9">
      <w:r>
        <w:t>Resolution: Reject</w:t>
      </w:r>
    </w:p>
    <w:p w14:paraId="1819E335" w14:textId="77777777" w:rsidR="006419F9" w:rsidRDefault="006419F9" w:rsidP="006419F9"/>
    <w:p w14:paraId="342E186F" w14:textId="5F960FB1" w:rsidR="006419F9" w:rsidRDefault="006419F9" w:rsidP="006419F9">
      <w:r>
        <w:t xml:space="preserve">Discussion: All devices will employ TRN, so the TRN capabilities should remain in the core capabilities.  </w:t>
      </w:r>
    </w:p>
    <w:p w14:paraId="676C2C4B" w14:textId="452C7FA7" w:rsidR="006419F9" w:rsidRDefault="006419F9" w:rsidP="006419F9"/>
    <w:p w14:paraId="572A0707" w14:textId="77777777" w:rsidR="00396C7E" w:rsidRDefault="00396C7E" w:rsidP="006419F9"/>
    <w:p w14:paraId="3146790C" w14:textId="77777777" w:rsidR="006419F9" w:rsidRDefault="006419F9"/>
    <w:p w14:paraId="02B06313" w14:textId="43D579A3" w:rsidR="00CF0C1F" w:rsidRDefault="00CF0C1F"/>
    <w:p w14:paraId="2141AE4D" w14:textId="77777777" w:rsidR="00BB1A44" w:rsidRDefault="00BB1A44"/>
    <w:p w14:paraId="6D95382B" w14:textId="4CA6F3A8" w:rsidR="00CF0C1F" w:rsidRDefault="00CF0C1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0"/>
        <w:gridCol w:w="1219"/>
        <w:gridCol w:w="2553"/>
        <w:gridCol w:w="2555"/>
      </w:tblGrid>
      <w:tr w:rsidR="00F75E66" w:rsidRPr="00F75E66" w14:paraId="251FD4CE" w14:textId="77777777" w:rsidTr="00BD6A3E">
        <w:trPr>
          <w:trHeight w:val="1500"/>
        </w:trPr>
        <w:tc>
          <w:tcPr>
            <w:tcW w:w="663" w:type="dxa"/>
            <w:shd w:val="clear" w:color="auto" w:fill="auto"/>
            <w:hideMark/>
          </w:tcPr>
          <w:p w14:paraId="3AE5C6AA" w14:textId="77777777" w:rsidR="00F75E66" w:rsidRPr="00F75E66" w:rsidRDefault="00F75E66" w:rsidP="00F75E66">
            <w:pPr>
              <w:jc w:val="right"/>
              <w:rPr>
                <w:rFonts w:ascii="Calibri" w:hAnsi="Calibri" w:cs="Calibri"/>
                <w:color w:val="000000"/>
                <w:szCs w:val="22"/>
                <w:lang w:val="en-US"/>
              </w:rPr>
            </w:pPr>
            <w:r w:rsidRPr="00F75E66">
              <w:rPr>
                <w:rFonts w:ascii="Calibri" w:hAnsi="Calibri" w:cs="Calibri"/>
                <w:color w:val="000000"/>
                <w:szCs w:val="22"/>
                <w:lang w:val="en-US"/>
              </w:rPr>
              <w:lastRenderedPageBreak/>
              <w:t>2234</w:t>
            </w:r>
          </w:p>
        </w:tc>
        <w:tc>
          <w:tcPr>
            <w:tcW w:w="1470" w:type="dxa"/>
            <w:shd w:val="clear" w:color="auto" w:fill="auto"/>
            <w:hideMark/>
          </w:tcPr>
          <w:p w14:paraId="1C0338E8"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Li-Hsiang Sun</w:t>
            </w:r>
          </w:p>
        </w:tc>
        <w:tc>
          <w:tcPr>
            <w:tcW w:w="1219" w:type="dxa"/>
            <w:shd w:val="clear" w:color="auto" w:fill="auto"/>
            <w:hideMark/>
          </w:tcPr>
          <w:p w14:paraId="42AAEB41"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9.4.2.250.3</w:t>
            </w:r>
          </w:p>
        </w:tc>
        <w:tc>
          <w:tcPr>
            <w:tcW w:w="2553" w:type="dxa"/>
            <w:shd w:val="clear" w:color="auto" w:fill="auto"/>
            <w:hideMark/>
          </w:tcPr>
          <w:p w14:paraId="321007B0"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Value of the subfield should be the combined total number of RX and TX antennas of an EDMG STA minus 1</w:t>
            </w:r>
          </w:p>
        </w:tc>
        <w:tc>
          <w:tcPr>
            <w:tcW w:w="2555" w:type="dxa"/>
            <w:shd w:val="clear" w:color="auto" w:fill="auto"/>
            <w:hideMark/>
          </w:tcPr>
          <w:p w14:paraId="2C03B412" w14:textId="77777777" w:rsidR="00F75E66" w:rsidRPr="00F75E66" w:rsidRDefault="00F75E66" w:rsidP="00F75E66">
            <w:pPr>
              <w:rPr>
                <w:rFonts w:ascii="Calibri" w:hAnsi="Calibri" w:cs="Calibri"/>
                <w:color w:val="000000"/>
                <w:szCs w:val="22"/>
                <w:lang w:val="en-US"/>
              </w:rPr>
            </w:pPr>
            <w:r w:rsidRPr="00F75E66">
              <w:rPr>
                <w:rFonts w:ascii="Calibri" w:hAnsi="Calibri" w:cs="Calibri"/>
                <w:color w:val="000000"/>
                <w:szCs w:val="22"/>
                <w:lang w:val="en-US"/>
              </w:rPr>
              <w:t>change to the value of the Number of DMG Antenna subfield plus 1 defines ...</w:t>
            </w:r>
          </w:p>
        </w:tc>
      </w:tr>
    </w:tbl>
    <w:p w14:paraId="3BDE6267" w14:textId="0B21A736" w:rsidR="00561034" w:rsidRDefault="00561034"/>
    <w:p w14:paraId="25186B01" w14:textId="6571214E" w:rsidR="00F75E66" w:rsidRDefault="00F75E66">
      <w:r>
        <w:t>Resolution: Accept</w:t>
      </w:r>
      <w:r w:rsidR="007871A9">
        <w:t xml:space="preserve"> </w:t>
      </w:r>
    </w:p>
    <w:p w14:paraId="729BAA01" w14:textId="77777777" w:rsidR="00561034" w:rsidRDefault="00561034"/>
    <w:p w14:paraId="4FA8FF3A" w14:textId="77777777" w:rsidR="00CF0C1F" w:rsidRDefault="00CF0C1F"/>
    <w:p w14:paraId="45B4C272" w14:textId="2677A728" w:rsidR="00A61984" w:rsidRDefault="00A61984">
      <w:pPr>
        <w:rPr>
          <w:i/>
        </w:rPr>
      </w:pPr>
      <w:r>
        <w:rPr>
          <w:i/>
        </w:rPr>
        <w:t xml:space="preserve">Instruct the Editor to modify Section 9.4.2.250 as </w:t>
      </w:r>
      <w:r w:rsidR="00BD6A3E">
        <w:rPr>
          <w:i/>
        </w:rPr>
        <w:t>in the accepted and revised comments above.</w:t>
      </w:r>
      <w:bookmarkStart w:id="0" w:name="_GoBack"/>
      <w:bookmarkEnd w:id="0"/>
    </w:p>
    <w:sectPr w:rsidR="00A6198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0042" w14:textId="77777777" w:rsidR="001D71CD" w:rsidRDefault="001D71CD">
      <w:r>
        <w:separator/>
      </w:r>
    </w:p>
  </w:endnote>
  <w:endnote w:type="continuationSeparator" w:id="0">
    <w:p w14:paraId="30C07CB5" w14:textId="77777777" w:rsidR="001D71CD" w:rsidRDefault="001D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C9EB" w14:textId="77777777" w:rsidR="00AA1AC3" w:rsidRDefault="006C41D1">
    <w:pPr>
      <w:pStyle w:val="Footer"/>
      <w:tabs>
        <w:tab w:val="clear" w:pos="6480"/>
        <w:tab w:val="center" w:pos="4680"/>
        <w:tab w:val="right" w:pos="9360"/>
      </w:tabs>
    </w:pPr>
    <w:fldSimple w:instr=" SUBJECT  \* MERGEFORMAT ">
      <w:r w:rsidR="00AA1AC3">
        <w:t>Submission</w:t>
      </w:r>
    </w:fldSimple>
    <w:r w:rsidR="00AA1AC3">
      <w:tab/>
      <w:t xml:space="preserve">page </w:t>
    </w:r>
    <w:r w:rsidR="00AA1AC3">
      <w:fldChar w:fldCharType="begin"/>
    </w:r>
    <w:r w:rsidR="00AA1AC3">
      <w:instrText xml:space="preserve">page </w:instrText>
    </w:r>
    <w:r w:rsidR="00AA1AC3">
      <w:fldChar w:fldCharType="separate"/>
    </w:r>
    <w:r w:rsidR="00AA1AC3">
      <w:rPr>
        <w:noProof/>
      </w:rPr>
      <w:t>2</w:t>
    </w:r>
    <w:r w:rsidR="00AA1AC3">
      <w:fldChar w:fldCharType="end"/>
    </w:r>
    <w:r w:rsidR="00AA1AC3">
      <w:tab/>
    </w:r>
    <w:r w:rsidR="00AA1AC3">
      <w:fldChar w:fldCharType="begin"/>
    </w:r>
    <w:r w:rsidR="00AA1AC3">
      <w:instrText xml:space="preserve"> COMMENTS  \* MERGEFORMAT </w:instrText>
    </w:r>
    <w:r w:rsidR="00AA1AC3">
      <w:fldChar w:fldCharType="separate"/>
    </w:r>
    <w:r w:rsidR="00AA1AC3">
      <w:t xml:space="preserve">C. Hansen, </w:t>
    </w:r>
    <w:proofErr w:type="spellStart"/>
    <w:r w:rsidR="00AA1AC3">
      <w:t>Peraso</w:t>
    </w:r>
    <w:proofErr w:type="spellEnd"/>
    <w:r w:rsidR="00AA1AC3">
      <w:fldChar w:fldCharType="end"/>
    </w:r>
  </w:p>
  <w:p w14:paraId="5A4F05A6" w14:textId="77777777" w:rsidR="00AA1AC3" w:rsidRDefault="00AA1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66FB" w14:textId="77777777" w:rsidR="001D71CD" w:rsidRDefault="001D71CD">
      <w:r>
        <w:separator/>
      </w:r>
    </w:p>
  </w:footnote>
  <w:footnote w:type="continuationSeparator" w:id="0">
    <w:p w14:paraId="1E52DD2D" w14:textId="77777777" w:rsidR="001D71CD" w:rsidRDefault="001D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94C7" w14:textId="7EC66C80" w:rsidR="00AA1AC3" w:rsidRDefault="00AA1AC3">
    <w:pPr>
      <w:pStyle w:val="Header"/>
      <w:tabs>
        <w:tab w:val="clear" w:pos="6480"/>
        <w:tab w:val="center" w:pos="4680"/>
        <w:tab w:val="right" w:pos="9360"/>
      </w:tabs>
    </w:pPr>
    <w:r>
      <w:fldChar w:fldCharType="begin"/>
    </w:r>
    <w:r>
      <w:instrText xml:space="preserve"> KEYWORDS  \* MERGEFORMAT </w:instrText>
    </w:r>
    <w:r>
      <w:fldChar w:fldCharType="separate"/>
    </w:r>
    <w:r w:rsidR="002730C1">
      <w:t>May 2018</w:t>
    </w:r>
    <w:r>
      <w:fldChar w:fldCharType="end"/>
    </w:r>
    <w:r>
      <w:tab/>
    </w:r>
    <w:r>
      <w:tab/>
    </w:r>
    <w:fldSimple w:instr=" TITLE  \* MERGEFORMAT ">
      <w:r w:rsidR="00F00644">
        <w:t>doc.: IEEE 802.11-18/0679r2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D26AC310"/>
    <w:lvl w:ilvl="0">
      <w:start w:val="5"/>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 w15:restartNumberingAfterBreak="0">
    <w:nsid w:val="4E3C1D72"/>
    <w:multiLevelType w:val="singleLevel"/>
    <w:tmpl w:val="2936634E"/>
    <w:lvl w:ilvl="0">
      <w:start w:val="28"/>
      <w:numFmt w:val="decimal"/>
      <w:pStyle w:val="IEEEStdsRegularFigureCaption"/>
      <w:lvlText w:val="Figure %1"/>
      <w:lvlJc w:val="center"/>
      <w:pPr>
        <w:tabs>
          <w:tab w:val="num" w:pos="1008"/>
        </w:tabs>
        <w:ind w:left="0" w:firstLine="288"/>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3"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num w:numId="1">
    <w:abstractNumId w:val="3"/>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E2C"/>
    <w:rsid w:val="000074C5"/>
    <w:rsid w:val="00012151"/>
    <w:rsid w:val="00054502"/>
    <w:rsid w:val="00091CEC"/>
    <w:rsid w:val="00097585"/>
    <w:rsid w:val="000A1FD7"/>
    <w:rsid w:val="000B2EC7"/>
    <w:rsid w:val="000F590A"/>
    <w:rsid w:val="00141B92"/>
    <w:rsid w:val="00145C10"/>
    <w:rsid w:val="001D71CD"/>
    <w:rsid w:val="001D723B"/>
    <w:rsid w:val="001E15E8"/>
    <w:rsid w:val="002166B2"/>
    <w:rsid w:val="002320D7"/>
    <w:rsid w:val="00263BBE"/>
    <w:rsid w:val="002730C1"/>
    <w:rsid w:val="0029020B"/>
    <w:rsid w:val="002A7114"/>
    <w:rsid w:val="002C21B2"/>
    <w:rsid w:val="002D1E8F"/>
    <w:rsid w:val="002D44BE"/>
    <w:rsid w:val="002E2D10"/>
    <w:rsid w:val="0030716E"/>
    <w:rsid w:val="00396C7E"/>
    <w:rsid w:val="003A0AC9"/>
    <w:rsid w:val="003D77E4"/>
    <w:rsid w:val="0041472E"/>
    <w:rsid w:val="0042174A"/>
    <w:rsid w:val="00442037"/>
    <w:rsid w:val="0044440C"/>
    <w:rsid w:val="0049268D"/>
    <w:rsid w:val="004B064B"/>
    <w:rsid w:val="004D0EF6"/>
    <w:rsid w:val="004D23C1"/>
    <w:rsid w:val="00511EE4"/>
    <w:rsid w:val="00522120"/>
    <w:rsid w:val="005237CE"/>
    <w:rsid w:val="005318EF"/>
    <w:rsid w:val="00561034"/>
    <w:rsid w:val="005928D0"/>
    <w:rsid w:val="005C3B29"/>
    <w:rsid w:val="005C6E0F"/>
    <w:rsid w:val="005D1988"/>
    <w:rsid w:val="005D47DB"/>
    <w:rsid w:val="00601A3E"/>
    <w:rsid w:val="00604C7E"/>
    <w:rsid w:val="0061077F"/>
    <w:rsid w:val="0062440B"/>
    <w:rsid w:val="00627033"/>
    <w:rsid w:val="006419F9"/>
    <w:rsid w:val="006470D9"/>
    <w:rsid w:val="0069012F"/>
    <w:rsid w:val="00694AA6"/>
    <w:rsid w:val="006A1E2C"/>
    <w:rsid w:val="006C0727"/>
    <w:rsid w:val="006C172D"/>
    <w:rsid w:val="006C1800"/>
    <w:rsid w:val="006C269B"/>
    <w:rsid w:val="006C41D1"/>
    <w:rsid w:val="006D5C30"/>
    <w:rsid w:val="006E0B44"/>
    <w:rsid w:val="006E145F"/>
    <w:rsid w:val="006E6346"/>
    <w:rsid w:val="00715612"/>
    <w:rsid w:val="00770572"/>
    <w:rsid w:val="0078209F"/>
    <w:rsid w:val="007871A9"/>
    <w:rsid w:val="007C4AC0"/>
    <w:rsid w:val="0081308A"/>
    <w:rsid w:val="008154C5"/>
    <w:rsid w:val="00855742"/>
    <w:rsid w:val="008815BE"/>
    <w:rsid w:val="0089259B"/>
    <w:rsid w:val="00897F69"/>
    <w:rsid w:val="008B1497"/>
    <w:rsid w:val="008C7E22"/>
    <w:rsid w:val="008F47CF"/>
    <w:rsid w:val="00900674"/>
    <w:rsid w:val="00973E97"/>
    <w:rsid w:val="00984F76"/>
    <w:rsid w:val="009855C7"/>
    <w:rsid w:val="00987E96"/>
    <w:rsid w:val="009B056C"/>
    <w:rsid w:val="009B42BC"/>
    <w:rsid w:val="009D0C8A"/>
    <w:rsid w:val="009D106C"/>
    <w:rsid w:val="009E6CA5"/>
    <w:rsid w:val="009F2FBC"/>
    <w:rsid w:val="00A132AB"/>
    <w:rsid w:val="00A34582"/>
    <w:rsid w:val="00A61984"/>
    <w:rsid w:val="00A61D8B"/>
    <w:rsid w:val="00A65197"/>
    <w:rsid w:val="00A65DE7"/>
    <w:rsid w:val="00A7297F"/>
    <w:rsid w:val="00AA1AC3"/>
    <w:rsid w:val="00AA427C"/>
    <w:rsid w:val="00AA6288"/>
    <w:rsid w:val="00AE7540"/>
    <w:rsid w:val="00B5574E"/>
    <w:rsid w:val="00B83313"/>
    <w:rsid w:val="00BA7BD3"/>
    <w:rsid w:val="00BB1A44"/>
    <w:rsid w:val="00BB573C"/>
    <w:rsid w:val="00BD6A3E"/>
    <w:rsid w:val="00BE68C2"/>
    <w:rsid w:val="00C01346"/>
    <w:rsid w:val="00C06129"/>
    <w:rsid w:val="00C20957"/>
    <w:rsid w:val="00C37543"/>
    <w:rsid w:val="00C40695"/>
    <w:rsid w:val="00C75920"/>
    <w:rsid w:val="00C87336"/>
    <w:rsid w:val="00CA09B2"/>
    <w:rsid w:val="00CA4446"/>
    <w:rsid w:val="00CD1A36"/>
    <w:rsid w:val="00CF0C1F"/>
    <w:rsid w:val="00D53CB5"/>
    <w:rsid w:val="00DC5A7B"/>
    <w:rsid w:val="00DD27D4"/>
    <w:rsid w:val="00E14276"/>
    <w:rsid w:val="00E30018"/>
    <w:rsid w:val="00E72F6E"/>
    <w:rsid w:val="00EA379F"/>
    <w:rsid w:val="00EA6570"/>
    <w:rsid w:val="00EF7A28"/>
    <w:rsid w:val="00F00644"/>
    <w:rsid w:val="00F076FB"/>
    <w:rsid w:val="00F1242F"/>
    <w:rsid w:val="00F51CB0"/>
    <w:rsid w:val="00F625B8"/>
    <w:rsid w:val="00F75DFB"/>
    <w:rsid w:val="00F75E66"/>
    <w:rsid w:val="00F76256"/>
    <w:rsid w:val="00FC4795"/>
    <w:rsid w:val="00FE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8EB11"/>
  <w15:chartTrackingRefBased/>
  <w15:docId w15:val="{E3EB0305-75FB-4AA6-AF7B-2C03B51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A61984"/>
    <w:rPr>
      <w:lang w:eastAsia="ja-JP"/>
    </w:rPr>
  </w:style>
  <w:style w:type="paragraph" w:customStyle="1" w:styleId="IEEEStdsParagraph">
    <w:name w:val="IEEEStds Paragraph"/>
    <w:link w:val="IEEEStdsParagraphChar"/>
    <w:rsid w:val="00A61984"/>
    <w:pPr>
      <w:spacing w:after="240"/>
      <w:jc w:val="both"/>
    </w:pPr>
    <w:rPr>
      <w:lang w:eastAsia="ja-JP"/>
    </w:rPr>
  </w:style>
  <w:style w:type="paragraph" w:customStyle="1" w:styleId="IEEEStdsTableData-Center">
    <w:name w:val="IEEEStds Table Data - Center"/>
    <w:basedOn w:val="IEEEStdsParagraph"/>
    <w:rsid w:val="00A61984"/>
    <w:pPr>
      <w:keepNext/>
      <w:keepLines/>
      <w:spacing w:after="0"/>
      <w:jc w:val="center"/>
    </w:pPr>
    <w:rPr>
      <w:sz w:val="18"/>
    </w:rPr>
  </w:style>
  <w:style w:type="paragraph" w:customStyle="1" w:styleId="IEEEStdsLevel1Header">
    <w:name w:val="IEEEStds Level 1 Header"/>
    <w:basedOn w:val="IEEEStdsParagraph"/>
    <w:next w:val="IEEEStdsParagraph"/>
    <w:rsid w:val="00A61984"/>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2Header">
    <w:name w:val="IEEEStds Level 2 Header"/>
    <w:basedOn w:val="IEEEStdsLevel1Header"/>
    <w:next w:val="IEEEStdsParagraph"/>
    <w:rsid w:val="00A61984"/>
    <w:pPr>
      <w:numPr>
        <w:ilvl w:val="1"/>
      </w:numPr>
      <w:tabs>
        <w:tab w:val="num" w:pos="360"/>
      </w:tabs>
      <w:outlineLvl w:val="1"/>
    </w:pPr>
    <w:rPr>
      <w:sz w:val="22"/>
    </w:rPr>
  </w:style>
  <w:style w:type="paragraph" w:customStyle="1" w:styleId="IEEEStdsRegularTableCaption">
    <w:name w:val="IEEEStds Regular Table Caption"/>
    <w:basedOn w:val="IEEEStdsParagraph"/>
    <w:next w:val="IEEEStdsParagraph"/>
    <w:rsid w:val="00A61984"/>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A61984"/>
    <w:pPr>
      <w:keepLines/>
      <w:spacing w:before="120" w:after="120"/>
    </w:pPr>
    <w:rPr>
      <w:sz w:val="18"/>
    </w:rPr>
  </w:style>
  <w:style w:type="paragraph" w:customStyle="1" w:styleId="IEEEStdsRegularFigureCaption">
    <w:name w:val="IEEEStds Regular Figure Caption"/>
    <w:basedOn w:val="IEEEStdsParagraph"/>
    <w:next w:val="IEEEStdsParagraph"/>
    <w:rsid w:val="00A61984"/>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A61984"/>
    <w:pPr>
      <w:keepNext/>
      <w:keepLines/>
      <w:spacing w:after="0"/>
      <w:jc w:val="center"/>
    </w:pPr>
    <w:rPr>
      <w:b/>
      <w:sz w:val="18"/>
    </w:rPr>
  </w:style>
  <w:style w:type="paragraph" w:customStyle="1" w:styleId="IEEEStdsTableData-Left">
    <w:name w:val="IEEEStds Table Data - Left"/>
    <w:basedOn w:val="IEEEStdsParagraph"/>
    <w:rsid w:val="00A61984"/>
    <w:pPr>
      <w:keepNext/>
      <w:keepLines/>
      <w:spacing w:after="0"/>
      <w:jc w:val="left"/>
    </w:pPr>
    <w:rPr>
      <w:sz w:val="18"/>
    </w:rPr>
  </w:style>
  <w:style w:type="paragraph" w:customStyle="1" w:styleId="IEEEStdsUnorderedList">
    <w:name w:val="IEEEStds Unordered List"/>
    <w:rsid w:val="00A61984"/>
    <w:pPr>
      <w:numPr>
        <w:numId w:val="4"/>
      </w:numPr>
      <w:tabs>
        <w:tab w:val="left" w:pos="1080"/>
        <w:tab w:val="left" w:pos="1512"/>
        <w:tab w:val="left" w:pos="1958"/>
        <w:tab w:val="left" w:pos="2405"/>
      </w:tabs>
      <w:spacing w:before="60" w:after="60"/>
      <w:jc w:val="both"/>
    </w:pPr>
    <w:rPr>
      <w:rFonts w:eastAsia="MS Mincho"/>
      <w:noProof/>
      <w:lang w:eastAsia="ja-JP"/>
    </w:rPr>
  </w:style>
  <w:style w:type="paragraph" w:customStyle="1" w:styleId="IEEEStdsLevel3Header">
    <w:name w:val="IEEEStds Level 3 Header"/>
    <w:basedOn w:val="IEEEStdsLevel2Header"/>
    <w:next w:val="IEEEStdsParagraph"/>
    <w:rsid w:val="00A61984"/>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A61984"/>
    <w:pPr>
      <w:numPr>
        <w:ilvl w:val="3"/>
      </w:numPr>
      <w:tabs>
        <w:tab w:val="num" w:pos="360"/>
      </w:tabs>
      <w:outlineLvl w:val="3"/>
    </w:pPr>
  </w:style>
  <w:style w:type="paragraph" w:customStyle="1" w:styleId="IEEEStdsLevel5Header">
    <w:name w:val="IEEEStds Level 5 Header"/>
    <w:basedOn w:val="IEEEStdsLevel4Header"/>
    <w:next w:val="IEEEStdsParagraph"/>
    <w:rsid w:val="00A61984"/>
    <w:pPr>
      <w:numPr>
        <w:ilvl w:val="4"/>
      </w:numPr>
      <w:tabs>
        <w:tab w:val="num" w:pos="360"/>
      </w:tabs>
      <w:outlineLvl w:val="4"/>
    </w:pPr>
  </w:style>
  <w:style w:type="paragraph" w:customStyle="1" w:styleId="IEEEStdsLevel6Header">
    <w:name w:val="IEEEStds Level 6 Header"/>
    <w:basedOn w:val="IEEEStdsLevel5Header"/>
    <w:next w:val="IEEEStdsParagraph"/>
    <w:rsid w:val="00A61984"/>
    <w:pPr>
      <w:numPr>
        <w:ilvl w:val="5"/>
      </w:numPr>
      <w:tabs>
        <w:tab w:val="num" w:pos="360"/>
      </w:tabs>
      <w:outlineLvl w:val="5"/>
    </w:pPr>
  </w:style>
  <w:style w:type="paragraph" w:customStyle="1" w:styleId="IEEEStdsLevel7Header">
    <w:name w:val="IEEEStds Level 7 Header"/>
    <w:basedOn w:val="IEEEStdsLevel6Header"/>
    <w:next w:val="IEEEStdsParagraph"/>
    <w:rsid w:val="00A61984"/>
    <w:pPr>
      <w:numPr>
        <w:ilvl w:val="6"/>
      </w:numPr>
      <w:tabs>
        <w:tab w:val="num" w:pos="360"/>
      </w:tabs>
      <w:outlineLvl w:val="6"/>
    </w:pPr>
  </w:style>
  <w:style w:type="paragraph" w:customStyle="1" w:styleId="IEEEStdsLevel8Header">
    <w:name w:val="IEEEStds Level 8 Header"/>
    <w:basedOn w:val="IEEEStdsLevel7Header"/>
    <w:next w:val="IEEEStdsParagraph"/>
    <w:rsid w:val="00A61984"/>
    <w:pPr>
      <w:numPr>
        <w:ilvl w:val="7"/>
      </w:numPr>
      <w:tabs>
        <w:tab w:val="num" w:pos="360"/>
      </w:tabs>
      <w:outlineLvl w:val="7"/>
    </w:pPr>
  </w:style>
  <w:style w:type="paragraph" w:customStyle="1" w:styleId="IEEEStdsLevel9Header">
    <w:name w:val="IEEEStds Level 9 Header"/>
    <w:basedOn w:val="IEEEStdsLevel8Header"/>
    <w:next w:val="IEEEStdsParagraph"/>
    <w:rsid w:val="00A61984"/>
    <w:pPr>
      <w:numPr>
        <w:ilvl w:val="8"/>
      </w:numPr>
      <w:tabs>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9291">
      <w:bodyDiv w:val="1"/>
      <w:marLeft w:val="0"/>
      <w:marRight w:val="0"/>
      <w:marTop w:val="0"/>
      <w:marBottom w:val="0"/>
      <w:divBdr>
        <w:top w:val="none" w:sz="0" w:space="0" w:color="auto"/>
        <w:left w:val="none" w:sz="0" w:space="0" w:color="auto"/>
        <w:bottom w:val="none" w:sz="0" w:space="0" w:color="auto"/>
        <w:right w:val="none" w:sz="0" w:space="0" w:color="auto"/>
      </w:divBdr>
    </w:div>
    <w:div w:id="365374862">
      <w:bodyDiv w:val="1"/>
      <w:marLeft w:val="0"/>
      <w:marRight w:val="0"/>
      <w:marTop w:val="0"/>
      <w:marBottom w:val="0"/>
      <w:divBdr>
        <w:top w:val="none" w:sz="0" w:space="0" w:color="auto"/>
        <w:left w:val="none" w:sz="0" w:space="0" w:color="auto"/>
        <w:bottom w:val="none" w:sz="0" w:space="0" w:color="auto"/>
        <w:right w:val="none" w:sz="0" w:space="0" w:color="auto"/>
      </w:divBdr>
    </w:div>
    <w:div w:id="693194913">
      <w:bodyDiv w:val="1"/>
      <w:marLeft w:val="0"/>
      <w:marRight w:val="0"/>
      <w:marTop w:val="0"/>
      <w:marBottom w:val="0"/>
      <w:divBdr>
        <w:top w:val="none" w:sz="0" w:space="0" w:color="auto"/>
        <w:left w:val="none" w:sz="0" w:space="0" w:color="auto"/>
        <w:bottom w:val="none" w:sz="0" w:space="0" w:color="auto"/>
        <w:right w:val="none" w:sz="0" w:space="0" w:color="auto"/>
      </w:divBdr>
    </w:div>
    <w:div w:id="729115749">
      <w:bodyDiv w:val="1"/>
      <w:marLeft w:val="0"/>
      <w:marRight w:val="0"/>
      <w:marTop w:val="0"/>
      <w:marBottom w:val="0"/>
      <w:divBdr>
        <w:top w:val="none" w:sz="0" w:space="0" w:color="auto"/>
        <w:left w:val="none" w:sz="0" w:space="0" w:color="auto"/>
        <w:bottom w:val="none" w:sz="0" w:space="0" w:color="auto"/>
        <w:right w:val="none" w:sz="0" w:space="0" w:color="auto"/>
      </w:divBdr>
    </w:div>
    <w:div w:id="776798920">
      <w:bodyDiv w:val="1"/>
      <w:marLeft w:val="0"/>
      <w:marRight w:val="0"/>
      <w:marTop w:val="0"/>
      <w:marBottom w:val="0"/>
      <w:divBdr>
        <w:top w:val="none" w:sz="0" w:space="0" w:color="auto"/>
        <w:left w:val="none" w:sz="0" w:space="0" w:color="auto"/>
        <w:bottom w:val="none" w:sz="0" w:space="0" w:color="auto"/>
        <w:right w:val="none" w:sz="0" w:space="0" w:color="auto"/>
      </w:divBdr>
    </w:div>
    <w:div w:id="844512801">
      <w:bodyDiv w:val="1"/>
      <w:marLeft w:val="0"/>
      <w:marRight w:val="0"/>
      <w:marTop w:val="0"/>
      <w:marBottom w:val="0"/>
      <w:divBdr>
        <w:top w:val="none" w:sz="0" w:space="0" w:color="auto"/>
        <w:left w:val="none" w:sz="0" w:space="0" w:color="auto"/>
        <w:bottom w:val="none" w:sz="0" w:space="0" w:color="auto"/>
        <w:right w:val="none" w:sz="0" w:space="0" w:color="auto"/>
      </w:divBdr>
    </w:div>
    <w:div w:id="1008095269">
      <w:bodyDiv w:val="1"/>
      <w:marLeft w:val="0"/>
      <w:marRight w:val="0"/>
      <w:marTop w:val="0"/>
      <w:marBottom w:val="0"/>
      <w:divBdr>
        <w:top w:val="none" w:sz="0" w:space="0" w:color="auto"/>
        <w:left w:val="none" w:sz="0" w:space="0" w:color="auto"/>
        <w:bottom w:val="none" w:sz="0" w:space="0" w:color="auto"/>
        <w:right w:val="none" w:sz="0" w:space="0" w:color="auto"/>
      </w:divBdr>
    </w:div>
    <w:div w:id="1344941693">
      <w:bodyDiv w:val="1"/>
      <w:marLeft w:val="0"/>
      <w:marRight w:val="0"/>
      <w:marTop w:val="0"/>
      <w:marBottom w:val="0"/>
      <w:divBdr>
        <w:top w:val="none" w:sz="0" w:space="0" w:color="auto"/>
        <w:left w:val="none" w:sz="0" w:space="0" w:color="auto"/>
        <w:bottom w:val="none" w:sz="0" w:space="0" w:color="auto"/>
        <w:right w:val="none" w:sz="0" w:space="0" w:color="auto"/>
      </w:divBdr>
    </w:div>
    <w:div w:id="1730615057">
      <w:bodyDiv w:val="1"/>
      <w:marLeft w:val="0"/>
      <w:marRight w:val="0"/>
      <w:marTop w:val="0"/>
      <w:marBottom w:val="0"/>
      <w:divBdr>
        <w:top w:val="none" w:sz="0" w:space="0" w:color="auto"/>
        <w:left w:val="none" w:sz="0" w:space="0" w:color="auto"/>
        <w:bottom w:val="none" w:sz="0" w:space="0" w:color="auto"/>
        <w:right w:val="none" w:sz="0" w:space="0" w:color="auto"/>
      </w:divBdr>
    </w:div>
    <w:div w:id="1812549902">
      <w:bodyDiv w:val="1"/>
      <w:marLeft w:val="0"/>
      <w:marRight w:val="0"/>
      <w:marTop w:val="0"/>
      <w:marBottom w:val="0"/>
      <w:divBdr>
        <w:top w:val="none" w:sz="0" w:space="0" w:color="auto"/>
        <w:left w:val="none" w:sz="0" w:space="0" w:color="auto"/>
        <w:bottom w:val="none" w:sz="0" w:space="0" w:color="auto"/>
        <w:right w:val="none" w:sz="0" w:space="0" w:color="auto"/>
      </w:divBdr>
    </w:div>
    <w:div w:id="1890847668">
      <w:bodyDiv w:val="1"/>
      <w:marLeft w:val="0"/>
      <w:marRight w:val="0"/>
      <w:marTop w:val="0"/>
      <w:marBottom w:val="0"/>
      <w:divBdr>
        <w:top w:val="none" w:sz="0" w:space="0" w:color="auto"/>
        <w:left w:val="none" w:sz="0" w:space="0" w:color="auto"/>
        <w:bottom w:val="none" w:sz="0" w:space="0" w:color="auto"/>
        <w:right w:val="none" w:sz="0" w:space="0" w:color="auto"/>
      </w:divBdr>
    </w:div>
    <w:div w:id="20297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7C08-189A-445D-B05C-A70E1C62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TotalTime>
  <Pages>4</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802.11-18/0679r1</vt:lpstr>
    </vt:vector>
  </TitlesOfParts>
  <Company>Some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802.11-18/0679r2</dc:title>
  <dc:subject>Submission</dc:subject>
  <dc:creator>Christopher Hansen</dc:creator>
  <cp:keywords>May 2018</cp:keywords>
  <dc:description>C. Hansen, Peraso</dc:description>
  <cp:lastModifiedBy>Christopher Hansen</cp:lastModifiedBy>
  <cp:revision>11</cp:revision>
  <cp:lastPrinted>1900-01-01T08:00:00Z</cp:lastPrinted>
  <dcterms:created xsi:type="dcterms:W3CDTF">2018-05-07T15:37:00Z</dcterms:created>
  <dcterms:modified xsi:type="dcterms:W3CDTF">2018-05-07T18:25:00Z</dcterms:modified>
</cp:coreProperties>
</file>