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4A4B2190" w:rsidR="00CA09B2" w:rsidRDefault="00CA09B2" w:rsidP="00F03583">
            <w:pPr>
              <w:pStyle w:val="T2"/>
              <w:ind w:left="0"/>
              <w:rPr>
                <w:sz w:val="20"/>
              </w:rPr>
            </w:pPr>
            <w:r>
              <w:rPr>
                <w:sz w:val="20"/>
              </w:rPr>
              <w:t>Date:</w:t>
            </w:r>
            <w:r>
              <w:rPr>
                <w:b w:val="0"/>
                <w:sz w:val="20"/>
              </w:rPr>
              <w:t xml:space="preserve">  </w:t>
            </w:r>
            <w:r w:rsidR="00064B82">
              <w:rPr>
                <w:b w:val="0"/>
                <w:sz w:val="20"/>
              </w:rPr>
              <w:t>2018-08-</w:t>
            </w:r>
            <w:r w:rsidR="009079A6">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3A03AA" w:rsidRDefault="003A03AA">
                            <w:pPr>
                              <w:pStyle w:val="T1"/>
                              <w:spacing w:after="120"/>
                            </w:pPr>
                            <w:r>
                              <w:t>Abstract</w:t>
                            </w:r>
                            <w:bookmarkStart w:id="0" w:name="_GoBack"/>
                            <w:bookmarkEnd w:id="0"/>
                          </w:p>
                          <w:p w14:paraId="1C3BCE3F" w14:textId="77777777" w:rsidR="003A03AA" w:rsidRDefault="003A03AA" w:rsidP="00083FE0">
                            <w:pPr>
                              <w:jc w:val="both"/>
                            </w:pPr>
                          </w:p>
                          <w:p w14:paraId="4C4DB0CB" w14:textId="61E31764" w:rsidR="003A03AA" w:rsidRDefault="003A03AA"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3A03AA" w:rsidRDefault="003A03AA" w:rsidP="00083FE0">
                            <w:pPr>
                              <w:jc w:val="both"/>
                            </w:pPr>
                          </w:p>
                          <w:p w14:paraId="3C7C8D20" w14:textId="76D5A191" w:rsidR="003A03AA" w:rsidRDefault="003A03AA"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3A03AA" w:rsidRDefault="003A03AA" w:rsidP="006832AA">
                            <w:pPr>
                              <w:jc w:val="both"/>
                            </w:pPr>
                          </w:p>
                          <w:p w14:paraId="366971AF" w14:textId="77777777" w:rsidR="003A03AA" w:rsidRDefault="003A03AA" w:rsidP="006832AA">
                            <w:pPr>
                              <w:jc w:val="both"/>
                            </w:pPr>
                          </w:p>
                          <w:p w14:paraId="4E9EE86F" w14:textId="2E111C3D" w:rsidR="003A03AA" w:rsidRDefault="003A03AA">
                            <w:pPr>
                              <w:jc w:val="both"/>
                            </w:pPr>
                            <w:r>
                              <w:t xml:space="preserve">R0 – initial version.  CIDs ready for </w:t>
                            </w:r>
                            <w:proofErr w:type="spellStart"/>
                            <w:r>
                              <w:t>TGmd</w:t>
                            </w:r>
                            <w:proofErr w:type="spellEnd"/>
                            <w:r>
                              <w:t xml:space="preserve"> review: 1398, 1425, 1381, 1382, 1390.</w:t>
                            </w:r>
                          </w:p>
                          <w:p w14:paraId="6DB5FF06" w14:textId="77777777" w:rsidR="003A03AA" w:rsidRDefault="003A03AA"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3A03AA" w:rsidRDefault="003A03AA" w:rsidP="000F5627">
                            <w:pPr>
                              <w:jc w:val="both"/>
                            </w:pPr>
                            <w:r>
                              <w:t>Added proposed resolutions, ready for review, for CIDs: 1394, 1369, 1397, and 1354.</w:t>
                            </w:r>
                          </w:p>
                          <w:p w14:paraId="79A8E939" w14:textId="17954739" w:rsidR="003A03AA" w:rsidRDefault="003A03AA"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3A03AA" w:rsidRDefault="003A03AA" w:rsidP="000F5627">
                            <w:pPr>
                              <w:jc w:val="both"/>
                            </w:pPr>
                            <w:r>
                              <w:t xml:space="preserve">R3 </w:t>
                            </w:r>
                            <w:r w:rsidR="009079A6">
                              <w:t>–</w:t>
                            </w:r>
                            <w:r>
                              <w:t xml:space="preserve"> </w:t>
                            </w:r>
                            <w:r w:rsidR="009079A6">
                              <w:t xml:space="preserve">CIDs ready for </w:t>
                            </w:r>
                            <w:proofErr w:type="spellStart"/>
                            <w:r w:rsidR="009079A6">
                              <w:t>TGmd</w:t>
                            </w:r>
                            <w:proofErr w:type="spellEnd"/>
                            <w:r w:rsidR="009079A6">
                              <w:t xml:space="preserve"> review: 1281, 1400, 1401, 1403, 1405, 1414, 1008</w:t>
                            </w:r>
                            <w:r w:rsidR="00064B82">
                              <w:t>, 1282, 1018, 1033, 1114, 1305</w:t>
                            </w:r>
                          </w:p>
                          <w:p w14:paraId="48490256" w14:textId="3F278DCA" w:rsidR="003A03AA" w:rsidRDefault="00064B82">
                            <w:pPr>
                              <w:jc w:val="both"/>
                            </w:pPr>
                            <w:r>
                              <w:t xml:space="preserve">R4 – Reviewed CIDs </w:t>
                            </w:r>
                            <w:r>
                              <w:t>1281, 1400, 1401, 1403, 1405, 1414, 100</w:t>
                            </w:r>
                            <w:r>
                              <w:t>8, 1282, 1018, 1033, 1114, 1305.  All have approved resolutions.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3A03AA" w:rsidRDefault="003A03AA">
                      <w:pPr>
                        <w:pStyle w:val="T1"/>
                        <w:spacing w:after="120"/>
                      </w:pPr>
                      <w:r>
                        <w:t>Abstract</w:t>
                      </w:r>
                      <w:bookmarkStart w:id="1" w:name="_GoBack"/>
                      <w:bookmarkEnd w:id="1"/>
                    </w:p>
                    <w:p w14:paraId="1C3BCE3F" w14:textId="77777777" w:rsidR="003A03AA" w:rsidRDefault="003A03AA" w:rsidP="00083FE0">
                      <w:pPr>
                        <w:jc w:val="both"/>
                      </w:pPr>
                    </w:p>
                    <w:p w14:paraId="4C4DB0CB" w14:textId="61E31764" w:rsidR="003A03AA" w:rsidRDefault="003A03AA"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3A03AA" w:rsidRDefault="003A03AA" w:rsidP="00083FE0">
                      <w:pPr>
                        <w:jc w:val="both"/>
                      </w:pPr>
                    </w:p>
                    <w:p w14:paraId="3C7C8D20" w14:textId="76D5A191" w:rsidR="003A03AA" w:rsidRDefault="003A03AA"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3A03AA" w:rsidRDefault="003A03AA" w:rsidP="006832AA">
                      <w:pPr>
                        <w:jc w:val="both"/>
                      </w:pPr>
                    </w:p>
                    <w:p w14:paraId="366971AF" w14:textId="77777777" w:rsidR="003A03AA" w:rsidRDefault="003A03AA" w:rsidP="006832AA">
                      <w:pPr>
                        <w:jc w:val="both"/>
                      </w:pPr>
                    </w:p>
                    <w:p w14:paraId="4E9EE86F" w14:textId="2E111C3D" w:rsidR="003A03AA" w:rsidRDefault="003A03AA">
                      <w:pPr>
                        <w:jc w:val="both"/>
                      </w:pPr>
                      <w:r>
                        <w:t xml:space="preserve">R0 – initial version.  CIDs ready for </w:t>
                      </w:r>
                      <w:proofErr w:type="spellStart"/>
                      <w:r>
                        <w:t>TGmd</w:t>
                      </w:r>
                      <w:proofErr w:type="spellEnd"/>
                      <w:r>
                        <w:t xml:space="preserve"> review: 1398, 1425, 1381, 1382, 1390.</w:t>
                      </w:r>
                    </w:p>
                    <w:p w14:paraId="6DB5FF06" w14:textId="77777777" w:rsidR="003A03AA" w:rsidRDefault="003A03AA"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3A03AA" w:rsidRDefault="003A03AA" w:rsidP="000F5627">
                      <w:pPr>
                        <w:jc w:val="both"/>
                      </w:pPr>
                      <w:r>
                        <w:t>Added proposed resolutions, ready for review, for CIDs: 1394, 1369, 1397, and 1354.</w:t>
                      </w:r>
                    </w:p>
                    <w:p w14:paraId="79A8E939" w14:textId="17954739" w:rsidR="003A03AA" w:rsidRDefault="003A03AA"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3A03AA" w:rsidRDefault="003A03AA" w:rsidP="000F5627">
                      <w:pPr>
                        <w:jc w:val="both"/>
                      </w:pPr>
                      <w:r>
                        <w:t xml:space="preserve">R3 </w:t>
                      </w:r>
                      <w:r w:rsidR="009079A6">
                        <w:t>–</w:t>
                      </w:r>
                      <w:r>
                        <w:t xml:space="preserve"> </w:t>
                      </w:r>
                      <w:r w:rsidR="009079A6">
                        <w:t xml:space="preserve">CIDs ready for </w:t>
                      </w:r>
                      <w:proofErr w:type="spellStart"/>
                      <w:r w:rsidR="009079A6">
                        <w:t>TGmd</w:t>
                      </w:r>
                      <w:proofErr w:type="spellEnd"/>
                      <w:r w:rsidR="009079A6">
                        <w:t xml:space="preserve"> review: 1281, 1400, 1401, 1403, 1405, 1414, 1008</w:t>
                      </w:r>
                      <w:r w:rsidR="00064B82">
                        <w:t>, 1282, 1018, 1033, 1114, 1305</w:t>
                      </w:r>
                    </w:p>
                    <w:p w14:paraId="48490256" w14:textId="3F278DCA" w:rsidR="003A03AA" w:rsidRDefault="00064B82">
                      <w:pPr>
                        <w:jc w:val="both"/>
                      </w:pPr>
                      <w:r>
                        <w:t xml:space="preserve">R4 – Reviewed CIDs </w:t>
                      </w:r>
                      <w:r>
                        <w:t>1281, 1400, 1401, 1403, 1405, 1414, 100</w:t>
                      </w:r>
                      <w:r>
                        <w:t>8, 1282, 1018, 1033, 1114, 1305.  All have approved resolutions.</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72E48D3B" w:rsidR="000A7069" w:rsidRDefault="000A7069"/>
    <w:p w14:paraId="05A0DD14" w14:textId="6B9A6691" w:rsidR="006D21D4" w:rsidRDefault="006D21D4">
      <w:r>
        <w:br w:type="page"/>
      </w:r>
    </w:p>
    <w:p w14:paraId="1D5DAE81" w14:textId="77777777" w:rsidR="003A03AA" w:rsidRDefault="003A03AA"/>
    <w:p w14:paraId="06B88AC3" w14:textId="42058434" w:rsidR="00675E47" w:rsidRPr="004A4E87" w:rsidRDefault="00675E47">
      <w:pPr>
        <w:rPr>
          <w:b/>
          <w:sz w:val="40"/>
        </w:rPr>
      </w:pPr>
      <w:r w:rsidRPr="004A4E87">
        <w:rPr>
          <w:b/>
          <w:sz w:val="40"/>
        </w:rPr>
        <w:t>Not ready for review, yet:</w:t>
      </w:r>
    </w:p>
    <w:p w14:paraId="2860C9E0" w14:textId="77777777" w:rsidR="003E6F6E" w:rsidRDefault="003E6F6E"/>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655898D" w14:textId="77777777" w:rsidTr="007837C2">
        <w:trPr>
          <w:trHeight w:val="8190"/>
        </w:trPr>
        <w:tc>
          <w:tcPr>
            <w:tcW w:w="738" w:type="dxa"/>
            <w:hideMark/>
          </w:tcPr>
          <w:p w14:paraId="44573C4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78BCDC8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00655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B6773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6148177F"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E979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0CD8DAF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 non-DMG and non-S1G STA assigns the value of the AID in the range of 1 to 2007; the 5 MSBs of</w:t>
            </w:r>
            <w:r w:rsidRPr="007837C2">
              <w:rPr>
                <w:rFonts w:ascii="Arial" w:hAnsi="Arial" w:cs="Arial"/>
                <w:sz w:val="20"/>
                <w:lang w:eastAsia="ja-JP" w:bidi="he-IL"/>
              </w:rPr>
              <w:br/>
            </w:r>
            <w:r w:rsidRPr="007837C2">
              <w:rPr>
                <w:rFonts w:ascii="Arial" w:hAnsi="Arial" w:cs="Arial"/>
                <w:sz w:val="20"/>
                <w:lang w:eastAsia="ja-JP" w:bidi="he-IL"/>
              </w:rPr>
              <w:br/>
              <w:t>the AID field are reserved." with "A non-DMG and non-S1G STA assigns the value of the AID in the range of 1 to 2007. This value is placed in the 14 LSBs of the AID field, with the two MSBs of the AID field set to 1."</w:t>
            </w:r>
          </w:p>
        </w:tc>
      </w:tr>
    </w:tbl>
    <w:p w14:paraId="3B0CA0B6"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00DC46" w14:textId="77777777" w:rsidTr="007837C2">
        <w:trPr>
          <w:trHeight w:val="1785"/>
        </w:trPr>
        <w:tc>
          <w:tcPr>
            <w:tcW w:w="738" w:type="dxa"/>
            <w:hideMark/>
          </w:tcPr>
          <w:p w14:paraId="56FB6F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1338</w:t>
            </w:r>
          </w:p>
        </w:tc>
        <w:tc>
          <w:tcPr>
            <w:tcW w:w="990" w:type="dxa"/>
            <w:hideMark/>
          </w:tcPr>
          <w:p w14:paraId="174D22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051E3F1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466BD6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5B774E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3B9F0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3F5AAF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EEFB51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DBF18DA" w14:textId="77777777" w:rsidTr="007837C2">
        <w:trPr>
          <w:trHeight w:val="1020"/>
        </w:trPr>
        <w:tc>
          <w:tcPr>
            <w:tcW w:w="738" w:type="dxa"/>
            <w:hideMark/>
          </w:tcPr>
          <w:p w14:paraId="5D0F369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1343</w:t>
            </w:r>
          </w:p>
        </w:tc>
        <w:tc>
          <w:tcPr>
            <w:tcW w:w="990" w:type="dxa"/>
            <w:hideMark/>
          </w:tcPr>
          <w:p w14:paraId="3720290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67D29F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16314C9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0BD1C3AD"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67632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F716F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2845587C"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5944A2E" w14:textId="77777777" w:rsidTr="007837C2">
        <w:trPr>
          <w:trHeight w:val="6630"/>
        </w:trPr>
        <w:tc>
          <w:tcPr>
            <w:tcW w:w="738" w:type="dxa"/>
            <w:hideMark/>
          </w:tcPr>
          <w:p w14:paraId="77291AB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1349</w:t>
            </w:r>
          </w:p>
        </w:tc>
        <w:tc>
          <w:tcPr>
            <w:tcW w:w="990" w:type="dxa"/>
            <w:hideMark/>
          </w:tcPr>
          <w:p w14:paraId="147A7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3A796AF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F09365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8FA3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B9E459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GDD</w:t>
            </w:r>
            <w:proofErr w:type="gramEnd"/>
            <w:r w:rsidRPr="007837C2">
              <w:rPr>
                <w:rFonts w:ascii="Arial" w:hAnsi="Arial" w:cs="Arial"/>
                <w:sz w:val="20"/>
                <w:lang w:eastAsia="ja-JP" w:bidi="he-IL"/>
              </w:rPr>
              <w:t xml:space="preserve">  dependent  STA  shall  cease  all  transmission  when</w:t>
            </w:r>
            <w:r w:rsidRPr="007837C2">
              <w:rPr>
                <w:rFonts w:ascii="Arial" w:hAnsi="Arial" w:cs="Arial"/>
                <w:sz w:val="20"/>
                <w:lang w:eastAsia="ja-JP" w:bidi="he-IL"/>
              </w:rPr>
              <w:br/>
            </w:r>
            <w:r w:rsidRPr="007837C2">
              <w:rPr>
                <w:rFonts w:ascii="Arial" w:hAnsi="Arial" w:cs="Arial"/>
                <w:sz w:val="20"/>
                <w:lang w:eastAsia="ja-JP" w:bidi="he-IL"/>
              </w:rPr>
              <w:br/>
              <w:t>(#172)dot11GDDEnablementValidityTimer has expired" -- a MIB variable cannot expire</w:t>
            </w:r>
          </w:p>
        </w:tc>
        <w:tc>
          <w:tcPr>
            <w:tcW w:w="2724" w:type="dxa"/>
            <w:hideMark/>
          </w:tcPr>
          <w:p w14:paraId="51E0BBD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w:t>
            </w:r>
            <w:proofErr w:type="gramStart"/>
            <w:r w:rsidRPr="007837C2">
              <w:rPr>
                <w:rFonts w:ascii="Arial" w:hAnsi="Arial" w:cs="Arial"/>
                <w:sz w:val="20"/>
                <w:lang w:eastAsia="ja-JP" w:bidi="he-IL"/>
              </w:rPr>
              <w:t>A  GDD</w:t>
            </w:r>
            <w:proofErr w:type="gramEnd"/>
            <w:r w:rsidRPr="007837C2">
              <w:rPr>
                <w:rFonts w:ascii="Arial" w:hAnsi="Arial" w:cs="Arial"/>
                <w:sz w:val="20"/>
                <w:lang w:eastAsia="ja-JP" w:bidi="he-IL"/>
              </w:rPr>
              <w:t xml:space="preserve">  dependent  STA  shall  cease  all  transmission  when the GDD enablement validity timer has expired".  In the para above delete "</w:t>
            </w:r>
            <w:proofErr w:type="gramStart"/>
            <w:r w:rsidRPr="007837C2">
              <w:rPr>
                <w:rFonts w:ascii="Arial" w:hAnsi="Arial" w:cs="Arial"/>
                <w:sz w:val="20"/>
                <w:lang w:eastAsia="ja-JP" w:bidi="he-IL"/>
              </w:rPr>
              <w:t>by  decrementing</w:t>
            </w:r>
            <w:proofErr w:type="gramEnd"/>
            <w:r w:rsidRPr="007837C2">
              <w:rPr>
                <w:rFonts w:ascii="Arial" w:hAnsi="Arial" w:cs="Arial"/>
                <w:sz w:val="20"/>
                <w:lang w:eastAsia="ja-JP" w:bidi="he-IL"/>
              </w:rPr>
              <w:br/>
            </w:r>
            <w:r w:rsidRPr="007837C2">
              <w:rPr>
                <w:rFonts w:ascii="Arial" w:hAnsi="Arial" w:cs="Arial"/>
                <w:sz w:val="20"/>
                <w:lang w:eastAsia="ja-JP" w:bidi="he-IL"/>
              </w:rPr>
              <w:br/>
              <w:t>dot11GDDEnablementValidityTimer".  In Figure 11-51 change "dot11GDDEnablementValidityTimer has expired" to "GDD enablement validity timer has expired".  In 11.42.4.1 change "</w:t>
            </w:r>
            <w:proofErr w:type="gramStart"/>
            <w:r w:rsidRPr="007837C2">
              <w:rPr>
                <w:rFonts w:ascii="Arial" w:hAnsi="Arial" w:cs="Arial"/>
                <w:sz w:val="20"/>
                <w:lang w:eastAsia="ja-JP" w:bidi="he-IL"/>
              </w:rPr>
              <w:t>it  reinitializes</w:t>
            </w:r>
            <w:proofErr w:type="gramEnd"/>
            <w:r w:rsidRPr="007837C2">
              <w:rPr>
                <w:rFonts w:ascii="Arial" w:hAnsi="Arial" w:cs="Arial"/>
                <w:sz w:val="20"/>
                <w:lang w:eastAsia="ja-JP" w:bidi="he-IL"/>
              </w:rPr>
              <w:t xml:space="preserve">  the  dot11GDDEnablementValidityTimer  to" to "it reinitializes the GDD enablement validity timer".  In C.3 delete dot11GDDEnablementValidityTimer.  In Tables E-8 and E-11 delete the dot11GDDEnablementValidityTimer row</w:t>
            </w:r>
          </w:p>
        </w:tc>
      </w:tr>
    </w:tbl>
    <w:p w14:paraId="1907B63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7733E85" w14:textId="77777777" w:rsidTr="007837C2">
        <w:trPr>
          <w:trHeight w:val="2550"/>
        </w:trPr>
        <w:tc>
          <w:tcPr>
            <w:tcW w:w="738" w:type="dxa"/>
            <w:hideMark/>
          </w:tcPr>
          <w:p w14:paraId="14EE9D5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1273</w:t>
            </w:r>
          </w:p>
        </w:tc>
        <w:tc>
          <w:tcPr>
            <w:tcW w:w="990" w:type="dxa"/>
            <w:hideMark/>
          </w:tcPr>
          <w:p w14:paraId="0D405C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7918A86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42025CE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03E8559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BCBA2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3E2E76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7BB000F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976562" w14:textId="77777777" w:rsidTr="007837C2">
        <w:trPr>
          <w:trHeight w:val="1020"/>
        </w:trPr>
        <w:tc>
          <w:tcPr>
            <w:tcW w:w="738" w:type="dxa"/>
            <w:hideMark/>
          </w:tcPr>
          <w:p w14:paraId="3B32227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2FB1DF5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55D1AA8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6786DC8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49D4EF7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28F4A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4E1D140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069D3BAC"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7290E36" w14:textId="77777777" w:rsidTr="007837C2">
        <w:trPr>
          <w:trHeight w:val="4335"/>
        </w:trPr>
        <w:tc>
          <w:tcPr>
            <w:tcW w:w="738" w:type="dxa"/>
            <w:hideMark/>
          </w:tcPr>
          <w:p w14:paraId="67193A9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1415</w:t>
            </w:r>
          </w:p>
        </w:tc>
        <w:tc>
          <w:tcPr>
            <w:tcW w:w="990" w:type="dxa"/>
            <w:hideMark/>
          </w:tcPr>
          <w:p w14:paraId="48758EE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60F718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0263253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1696A7B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4A33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3DA4D26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Ack Policy subfield is 2 bits in length and identifies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to "The Ack Policy subfield is 2 bits in length and identifies, together with other information such as whether it is in the context of an S-MPDU and the value of bit 6 of the Frame Control field,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at the referenced location</w:t>
            </w:r>
          </w:p>
        </w:tc>
      </w:tr>
    </w:tbl>
    <w:p w14:paraId="104B13F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96C3889" w14:textId="77777777" w:rsidTr="007837C2">
        <w:trPr>
          <w:trHeight w:val="3060"/>
        </w:trPr>
        <w:tc>
          <w:tcPr>
            <w:tcW w:w="738" w:type="dxa"/>
            <w:hideMark/>
          </w:tcPr>
          <w:p w14:paraId="7D13286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1536</w:t>
            </w:r>
          </w:p>
        </w:tc>
        <w:tc>
          <w:tcPr>
            <w:tcW w:w="990" w:type="dxa"/>
            <w:hideMark/>
          </w:tcPr>
          <w:p w14:paraId="199DFA8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5CA096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7AB89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38DDEF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960B0D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sidRPr="007837C2">
              <w:rPr>
                <w:rFonts w:ascii="Arial" w:hAnsi="Arial" w:cs="Arial"/>
                <w:sz w:val="20"/>
                <w:lang w:eastAsia="ja-JP" w:bidi="he-IL"/>
              </w:rPr>
              <w:br/>
            </w:r>
            <w:r w:rsidRPr="007837C2">
              <w:rPr>
                <w:rFonts w:ascii="Arial" w:hAnsi="Arial" w:cs="Arial"/>
                <w:sz w:val="20"/>
                <w:lang w:eastAsia="ja-JP" w:bidi="he-IL"/>
              </w:rPr>
              <w:br/>
              <w:t>operating classes that, together with the channel number, indicate the primary channel is valid (see 11.42.8</w:t>
            </w:r>
            <w:r w:rsidRPr="007837C2">
              <w:rPr>
                <w:rFonts w:ascii="Arial" w:hAnsi="Arial" w:cs="Arial"/>
                <w:sz w:val="20"/>
                <w:lang w:eastAsia="ja-JP" w:bidi="he-IL"/>
              </w:rPr>
              <w:br/>
            </w:r>
            <w:r w:rsidRPr="007837C2">
              <w:rPr>
                <w:rFonts w:ascii="Arial" w:hAnsi="Arial" w:cs="Arial"/>
                <w:sz w:val="20"/>
                <w:lang w:eastAsia="ja-JP" w:bidi="he-IL"/>
              </w:rPr>
              <w:b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7D6CFE7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3F9FF83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C9A79A1" w14:textId="77777777" w:rsidTr="007837C2">
        <w:trPr>
          <w:trHeight w:val="4080"/>
        </w:trPr>
        <w:tc>
          <w:tcPr>
            <w:tcW w:w="738" w:type="dxa"/>
            <w:hideMark/>
          </w:tcPr>
          <w:p w14:paraId="27C1B6E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1485</w:t>
            </w:r>
          </w:p>
        </w:tc>
        <w:tc>
          <w:tcPr>
            <w:tcW w:w="990" w:type="dxa"/>
            <w:hideMark/>
          </w:tcPr>
          <w:p w14:paraId="7DB5D4B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43AEFB9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2AF70B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01C62EE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120845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individually  addressed</w:t>
            </w:r>
            <w:proofErr w:type="gramEnd"/>
            <w:r w:rsidRPr="007837C2">
              <w:rPr>
                <w:rFonts w:ascii="Arial" w:hAnsi="Arial" w:cs="Arial"/>
                <w:sz w:val="20"/>
                <w:lang w:eastAsia="ja-JP" w:bidi="he-IL"/>
              </w:rPr>
              <w:t xml:space="preserve">  Radio  Measurement  Request  frame  shall  respond  with  a  measurement  report</w:t>
            </w:r>
            <w:r w:rsidRPr="007837C2">
              <w:rPr>
                <w:rFonts w:ascii="Arial" w:hAnsi="Arial" w:cs="Arial"/>
                <w:sz w:val="20"/>
                <w:lang w:eastAsia="ja-JP" w:bidi="he-IL"/>
              </w:rPr>
              <w:br/>
            </w:r>
            <w:r w:rsidRPr="007837C2">
              <w:rPr>
                <w:rFonts w:ascii="Arial" w:hAnsi="Arial" w:cs="Arial"/>
                <w:sz w:val="20"/>
                <w:lang w:eastAsia="ja-JP" w:bidi="he-IL"/>
              </w:rPr>
              <w:br/>
              <w:t>indicating that it is refusing the measurement request. A STA shall not respond to measurement requests</w:t>
            </w:r>
            <w:r w:rsidRPr="007837C2">
              <w:rPr>
                <w:rFonts w:ascii="Arial" w:hAnsi="Arial" w:cs="Arial"/>
                <w:sz w:val="20"/>
                <w:lang w:eastAsia="ja-JP" w:bidi="he-IL"/>
              </w:rPr>
              <w:br/>
            </w:r>
            <w:r w:rsidRPr="007837C2">
              <w:rPr>
                <w:rFonts w:ascii="Arial" w:hAnsi="Arial" w:cs="Arial"/>
                <w:sz w:val="20"/>
                <w:lang w:eastAsia="ja-JP" w:bidi="he-IL"/>
              </w:rPr>
              <w:br/>
              <w:t>received in Radio Measurement Request frames in this manner." is self-contradictory</w:t>
            </w:r>
          </w:p>
        </w:tc>
        <w:tc>
          <w:tcPr>
            <w:tcW w:w="2724" w:type="dxa"/>
            <w:hideMark/>
          </w:tcPr>
          <w:p w14:paraId="47824B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57B261B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FD889E" w14:textId="77777777" w:rsidTr="007837C2">
        <w:trPr>
          <w:trHeight w:val="3315"/>
        </w:trPr>
        <w:tc>
          <w:tcPr>
            <w:tcW w:w="738" w:type="dxa"/>
            <w:hideMark/>
          </w:tcPr>
          <w:p w14:paraId="7D3901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1553</w:t>
            </w:r>
          </w:p>
        </w:tc>
        <w:tc>
          <w:tcPr>
            <w:tcW w:w="990" w:type="dxa"/>
            <w:hideMark/>
          </w:tcPr>
          <w:p w14:paraId="3D01790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7C8DF00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C3DB2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3326FB9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B0A7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591F4DE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1CF95A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552A9F1" w14:textId="77777777" w:rsidTr="007837C2">
        <w:trPr>
          <w:trHeight w:val="1020"/>
        </w:trPr>
        <w:tc>
          <w:tcPr>
            <w:tcW w:w="738" w:type="dxa"/>
            <w:hideMark/>
          </w:tcPr>
          <w:p w14:paraId="396ED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1554</w:t>
            </w:r>
          </w:p>
        </w:tc>
        <w:tc>
          <w:tcPr>
            <w:tcW w:w="990" w:type="dxa"/>
            <w:hideMark/>
          </w:tcPr>
          <w:p w14:paraId="1E3005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34D97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B995A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4966801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5DB4B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Figure 11-15 has an extraneous State 5.  (And editorial typo from an earlier draft of 802.11ai, perhaps.)</w:t>
            </w:r>
          </w:p>
        </w:tc>
        <w:tc>
          <w:tcPr>
            <w:tcW w:w="2724" w:type="dxa"/>
            <w:hideMark/>
          </w:tcPr>
          <w:p w14:paraId="18E507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Remove State 5 from Figure 11-15, restoring it to Figure 11-13 from the published 802.11ai-2016.</w:t>
            </w:r>
          </w:p>
        </w:tc>
      </w:tr>
    </w:tbl>
    <w:p w14:paraId="7AC6C2A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F8AFEAB" w14:textId="77777777" w:rsidTr="007837C2">
        <w:trPr>
          <w:trHeight w:val="765"/>
        </w:trPr>
        <w:tc>
          <w:tcPr>
            <w:tcW w:w="738" w:type="dxa"/>
            <w:hideMark/>
          </w:tcPr>
          <w:p w14:paraId="6F4E37A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1528</w:t>
            </w:r>
          </w:p>
        </w:tc>
        <w:tc>
          <w:tcPr>
            <w:tcW w:w="990" w:type="dxa"/>
            <w:hideMark/>
          </w:tcPr>
          <w:p w14:paraId="72D370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491BE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5334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06CCE97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8EC399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State 5</w:t>
            </w:r>
          </w:p>
        </w:tc>
        <w:tc>
          <w:tcPr>
            <w:tcW w:w="2724" w:type="dxa"/>
            <w:hideMark/>
          </w:tcPr>
          <w:p w14:paraId="3969811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State 5 box in Figure 11-15 and all arrows to/from it</w:t>
            </w:r>
          </w:p>
        </w:tc>
      </w:tr>
    </w:tbl>
    <w:p w14:paraId="38F107F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6438973" w14:textId="77777777" w:rsidTr="007837C2">
        <w:trPr>
          <w:trHeight w:val="1020"/>
        </w:trPr>
        <w:tc>
          <w:tcPr>
            <w:tcW w:w="738" w:type="dxa"/>
            <w:hideMark/>
          </w:tcPr>
          <w:p w14:paraId="3258A4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7194ED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7969607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5AA651A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939D0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09E654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279F531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CEF4D0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EBE811F" w14:textId="77777777" w:rsidTr="007837C2">
        <w:trPr>
          <w:trHeight w:val="3315"/>
        </w:trPr>
        <w:tc>
          <w:tcPr>
            <w:tcW w:w="738" w:type="dxa"/>
            <w:hideMark/>
          </w:tcPr>
          <w:p w14:paraId="07FCD06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1526</w:t>
            </w:r>
          </w:p>
        </w:tc>
        <w:tc>
          <w:tcPr>
            <w:tcW w:w="990" w:type="dxa"/>
            <w:hideMark/>
          </w:tcPr>
          <w:p w14:paraId="32E843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1365A6F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3DC2D2C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FEDB2A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15897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047D4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See 17/1243r6</w:t>
            </w:r>
          </w:p>
        </w:tc>
      </w:tr>
    </w:tbl>
    <w:p w14:paraId="0AF3342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16A66E" w14:textId="77777777" w:rsidTr="007837C2">
        <w:trPr>
          <w:trHeight w:val="2040"/>
        </w:trPr>
        <w:tc>
          <w:tcPr>
            <w:tcW w:w="738" w:type="dxa"/>
            <w:hideMark/>
          </w:tcPr>
          <w:p w14:paraId="2D6C63B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1572</w:t>
            </w:r>
          </w:p>
        </w:tc>
        <w:tc>
          <w:tcPr>
            <w:tcW w:w="990" w:type="dxa"/>
            <w:hideMark/>
          </w:tcPr>
          <w:p w14:paraId="4EE835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D6736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3B94577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27A4E36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39B77D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6E519D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1BD1627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58E2C7C" w14:textId="77777777" w:rsidTr="007837C2">
        <w:trPr>
          <w:trHeight w:val="1275"/>
        </w:trPr>
        <w:tc>
          <w:tcPr>
            <w:tcW w:w="738" w:type="dxa"/>
            <w:hideMark/>
          </w:tcPr>
          <w:p w14:paraId="1BFBB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6C642AA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9C5623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0454F90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1EBB5D3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E31F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84A4D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6C9D7DE9"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39C0A83" w14:textId="77777777" w:rsidTr="007837C2">
        <w:trPr>
          <w:trHeight w:val="510"/>
        </w:trPr>
        <w:tc>
          <w:tcPr>
            <w:tcW w:w="738" w:type="dxa"/>
            <w:hideMark/>
          </w:tcPr>
          <w:p w14:paraId="7A4D5A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1586</w:t>
            </w:r>
          </w:p>
        </w:tc>
        <w:tc>
          <w:tcPr>
            <w:tcW w:w="990" w:type="dxa"/>
            <w:hideMark/>
          </w:tcPr>
          <w:p w14:paraId="602FBC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1455.29</w:t>
            </w:r>
          </w:p>
        </w:tc>
        <w:tc>
          <w:tcPr>
            <w:tcW w:w="630" w:type="dxa"/>
            <w:hideMark/>
          </w:tcPr>
          <w:p w14:paraId="227065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29</w:t>
            </w:r>
          </w:p>
        </w:tc>
        <w:tc>
          <w:tcPr>
            <w:tcW w:w="1080" w:type="dxa"/>
            <w:hideMark/>
          </w:tcPr>
          <w:p w14:paraId="4CE3AAC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9.6.13.1</w:t>
            </w:r>
          </w:p>
        </w:tc>
        <w:tc>
          <w:tcPr>
            <w:tcW w:w="1260" w:type="dxa"/>
            <w:hideMark/>
          </w:tcPr>
          <w:p w14:paraId="2681647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7F88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"WNM-Notify Response</w:t>
            </w:r>
            <w:proofErr w:type="gramStart"/>
            <w:r w:rsidRPr="007837C2">
              <w:rPr>
                <w:rFonts w:ascii="Arial" w:hAnsi="Arial" w:cs="Arial"/>
                <w:sz w:val="20"/>
                <w:lang w:eastAsia="ja-JP" w:bidi="he-IL"/>
              </w:rPr>
              <w:t>"  in</w:t>
            </w:r>
            <w:proofErr w:type="gramEnd"/>
            <w:r w:rsidRPr="007837C2">
              <w:rPr>
                <w:rFonts w:ascii="Arial" w:hAnsi="Arial" w:cs="Arial"/>
                <w:sz w:val="20"/>
                <w:lang w:eastAsia="ja-JP" w:bidi="he-IL"/>
              </w:rPr>
              <w:t xml:space="preserve"> Table 9-396?</w:t>
            </w:r>
          </w:p>
        </w:tc>
        <w:tc>
          <w:tcPr>
            <w:tcW w:w="2724" w:type="dxa"/>
            <w:hideMark/>
          </w:tcPr>
          <w:p w14:paraId="2C91775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this row</w:t>
            </w:r>
          </w:p>
        </w:tc>
      </w:tr>
    </w:tbl>
    <w:p w14:paraId="59FABB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1E28026" w14:textId="77777777" w:rsidTr="007837C2">
        <w:trPr>
          <w:trHeight w:val="1785"/>
        </w:trPr>
        <w:tc>
          <w:tcPr>
            <w:tcW w:w="738" w:type="dxa"/>
            <w:hideMark/>
          </w:tcPr>
          <w:p w14:paraId="744C2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1593</w:t>
            </w:r>
          </w:p>
        </w:tc>
        <w:tc>
          <w:tcPr>
            <w:tcW w:w="990" w:type="dxa"/>
            <w:hideMark/>
          </w:tcPr>
          <w:p w14:paraId="09F72EE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ACE773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0DC0F8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5A23C1E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EB0D9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193103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146D44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86D440" w14:textId="77777777" w:rsidTr="007837C2">
        <w:trPr>
          <w:trHeight w:val="4080"/>
        </w:trPr>
        <w:tc>
          <w:tcPr>
            <w:tcW w:w="738" w:type="dxa"/>
            <w:hideMark/>
          </w:tcPr>
          <w:p w14:paraId="595B0E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1594</w:t>
            </w:r>
          </w:p>
        </w:tc>
        <w:tc>
          <w:tcPr>
            <w:tcW w:w="990" w:type="dxa"/>
            <w:hideMark/>
          </w:tcPr>
          <w:p w14:paraId="596E62D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7AD2139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68475B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2859D77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C31F8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0416ECC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69ECEF7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69E9619" w14:textId="77777777" w:rsidTr="007837C2">
        <w:trPr>
          <w:trHeight w:val="1530"/>
        </w:trPr>
        <w:tc>
          <w:tcPr>
            <w:tcW w:w="738" w:type="dxa"/>
            <w:hideMark/>
          </w:tcPr>
          <w:p w14:paraId="158997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1614</w:t>
            </w:r>
          </w:p>
        </w:tc>
        <w:tc>
          <w:tcPr>
            <w:tcW w:w="990" w:type="dxa"/>
            <w:hideMark/>
          </w:tcPr>
          <w:p w14:paraId="0797E0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88A2F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84F58F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75D082C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E57026B" w14:textId="77777777" w:rsidR="007837C2" w:rsidRPr="007837C2" w:rsidRDefault="007837C2" w:rsidP="00E742A2">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B047F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7857644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493D94" w14:textId="77777777" w:rsidTr="007837C2">
        <w:trPr>
          <w:trHeight w:val="1530"/>
        </w:trPr>
        <w:tc>
          <w:tcPr>
            <w:tcW w:w="738" w:type="dxa"/>
            <w:hideMark/>
          </w:tcPr>
          <w:p w14:paraId="4CF10E4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02D9CB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7856B9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32279FF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4A9865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8038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3411432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3A0A5D5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E84A80" w14:textId="77777777" w:rsidTr="007837C2">
        <w:trPr>
          <w:trHeight w:val="1020"/>
        </w:trPr>
        <w:tc>
          <w:tcPr>
            <w:tcW w:w="738" w:type="dxa"/>
            <w:hideMark/>
          </w:tcPr>
          <w:p w14:paraId="35CC22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1503</w:t>
            </w:r>
          </w:p>
        </w:tc>
        <w:tc>
          <w:tcPr>
            <w:tcW w:w="990" w:type="dxa"/>
            <w:hideMark/>
          </w:tcPr>
          <w:p w14:paraId="6341AF2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69E8A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1DFBD8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0643C0F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4A8B17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36ABFBD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0D1B0A8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A512DDA" w14:textId="77777777" w:rsidTr="007837C2">
        <w:trPr>
          <w:trHeight w:val="2295"/>
        </w:trPr>
        <w:tc>
          <w:tcPr>
            <w:tcW w:w="738" w:type="dxa"/>
            <w:hideMark/>
          </w:tcPr>
          <w:p w14:paraId="307F1E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564F04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3073DC4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67D78CA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7064472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D94512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1DF926C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03C81FC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55032A" w14:textId="77777777" w:rsidTr="007837C2">
        <w:trPr>
          <w:trHeight w:val="1020"/>
        </w:trPr>
        <w:tc>
          <w:tcPr>
            <w:tcW w:w="738" w:type="dxa"/>
            <w:hideMark/>
          </w:tcPr>
          <w:p w14:paraId="1758FFA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1448</w:t>
            </w:r>
          </w:p>
        </w:tc>
        <w:tc>
          <w:tcPr>
            <w:tcW w:w="990" w:type="dxa"/>
            <w:hideMark/>
          </w:tcPr>
          <w:p w14:paraId="2B898C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56D8A3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500C93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E462ADA"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600E3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2B3160A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000CF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A482D06" w14:textId="77777777" w:rsidTr="007837C2">
        <w:trPr>
          <w:trHeight w:val="1530"/>
        </w:trPr>
        <w:tc>
          <w:tcPr>
            <w:tcW w:w="738" w:type="dxa"/>
            <w:hideMark/>
          </w:tcPr>
          <w:p w14:paraId="786733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1449</w:t>
            </w:r>
          </w:p>
        </w:tc>
        <w:tc>
          <w:tcPr>
            <w:tcW w:w="990" w:type="dxa"/>
            <w:hideMark/>
          </w:tcPr>
          <w:p w14:paraId="62FE69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552186F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0244D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C14168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4D05B8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48532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5ED2B733"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5D950CD" w14:textId="77777777" w:rsidTr="007837C2">
        <w:trPr>
          <w:trHeight w:val="5355"/>
        </w:trPr>
        <w:tc>
          <w:tcPr>
            <w:tcW w:w="738" w:type="dxa"/>
            <w:hideMark/>
          </w:tcPr>
          <w:p w14:paraId="7DF40E4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1450</w:t>
            </w:r>
          </w:p>
        </w:tc>
        <w:tc>
          <w:tcPr>
            <w:tcW w:w="990" w:type="dxa"/>
            <w:hideMark/>
          </w:tcPr>
          <w:p w14:paraId="42699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8B95D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2A41D0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09C16D1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0EA2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Otherwise, the ESS and IBSS subfields are reserved.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is either unclear as to the setting for non-AP non-mesh non-IBSS STAs, or self-contradictory for IBSS and mesh STAs</w:t>
            </w:r>
          </w:p>
        </w:tc>
        <w:tc>
          <w:tcPr>
            <w:tcW w:w="2724" w:type="dxa"/>
            <w:hideMark/>
          </w:tcPr>
          <w:p w14:paraId="646EB31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to "An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Otherwise, the ESS and IBSS subfields are reserved."</w:t>
            </w:r>
          </w:p>
        </w:tc>
      </w:tr>
    </w:tbl>
    <w:p w14:paraId="01079A45"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04432A4" w14:textId="77777777" w:rsidTr="007837C2">
        <w:trPr>
          <w:trHeight w:val="5100"/>
        </w:trPr>
        <w:tc>
          <w:tcPr>
            <w:tcW w:w="738" w:type="dxa"/>
            <w:hideMark/>
          </w:tcPr>
          <w:p w14:paraId="7CFD7AF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38A7EE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1D7698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9D5C9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3EAECF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25420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507DAC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4F621240"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7D31DF6" w14:textId="77777777" w:rsidTr="007837C2">
        <w:trPr>
          <w:trHeight w:val="1020"/>
        </w:trPr>
        <w:tc>
          <w:tcPr>
            <w:tcW w:w="738" w:type="dxa"/>
            <w:hideMark/>
          </w:tcPr>
          <w:p w14:paraId="535778B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2B00D99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5AA9064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216356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782E3FA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4DC1A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2B005BE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284F5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BFE9DF" w14:textId="77777777" w:rsidTr="007837C2">
        <w:trPr>
          <w:trHeight w:val="2550"/>
        </w:trPr>
        <w:tc>
          <w:tcPr>
            <w:tcW w:w="738" w:type="dxa"/>
            <w:hideMark/>
          </w:tcPr>
          <w:p w14:paraId="09314D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1500</w:t>
            </w:r>
          </w:p>
        </w:tc>
        <w:tc>
          <w:tcPr>
            <w:tcW w:w="990" w:type="dxa"/>
            <w:hideMark/>
          </w:tcPr>
          <w:p w14:paraId="5BDA54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61F415B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6BF1CDC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722BAFB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BFC221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sidRPr="007837C2">
              <w:rPr>
                <w:rFonts w:ascii="Arial" w:hAnsi="Arial" w:cs="Arial"/>
                <w:sz w:val="20"/>
                <w:lang w:eastAsia="ja-JP" w:bidi="he-IL"/>
              </w:rPr>
              <w:br/>
            </w:r>
            <w:r w:rsidRPr="007837C2">
              <w:rPr>
                <w:rFonts w:ascii="Arial" w:hAnsi="Arial" w:cs="Arial"/>
                <w:sz w:val="20"/>
                <w:lang w:eastAsia="ja-JP" w:bidi="he-IL"/>
              </w:rPr>
              <w:br/>
              <w:t>with gaps allowed." -- it is not clear what "with gaps allowed" means.  It seems to suggest you can just put random filler between fields/elements</w:t>
            </w:r>
          </w:p>
        </w:tc>
        <w:tc>
          <w:tcPr>
            <w:tcW w:w="2724" w:type="dxa"/>
            <w:hideMark/>
          </w:tcPr>
          <w:p w14:paraId="72B5210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728EEBB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600C46A" w14:textId="77777777" w:rsidTr="007837C2">
        <w:trPr>
          <w:trHeight w:val="1020"/>
        </w:trPr>
        <w:tc>
          <w:tcPr>
            <w:tcW w:w="738" w:type="dxa"/>
            <w:hideMark/>
          </w:tcPr>
          <w:p w14:paraId="427BE7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4CFD03F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18D3D3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27273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7125101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93864B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237BF8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7B67967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D2EB98C" w14:textId="77777777" w:rsidTr="007837C2">
        <w:trPr>
          <w:trHeight w:val="1020"/>
        </w:trPr>
        <w:tc>
          <w:tcPr>
            <w:tcW w:w="738" w:type="dxa"/>
            <w:hideMark/>
          </w:tcPr>
          <w:p w14:paraId="467C0B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1504</w:t>
            </w:r>
          </w:p>
        </w:tc>
        <w:tc>
          <w:tcPr>
            <w:tcW w:w="990" w:type="dxa"/>
            <w:hideMark/>
          </w:tcPr>
          <w:p w14:paraId="186EAD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2232.02</w:t>
            </w:r>
          </w:p>
        </w:tc>
        <w:tc>
          <w:tcPr>
            <w:tcW w:w="630" w:type="dxa"/>
            <w:hideMark/>
          </w:tcPr>
          <w:p w14:paraId="69107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w:t>
            </w:r>
          </w:p>
        </w:tc>
        <w:tc>
          <w:tcPr>
            <w:tcW w:w="1080" w:type="dxa"/>
            <w:hideMark/>
          </w:tcPr>
          <w:p w14:paraId="381341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11.26.3</w:t>
            </w:r>
          </w:p>
        </w:tc>
        <w:tc>
          <w:tcPr>
            <w:tcW w:w="1260" w:type="dxa"/>
            <w:hideMark/>
          </w:tcPr>
          <w:p w14:paraId="24498A0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64591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(non-AP) </w:t>
            </w:r>
            <w:proofErr w:type="spellStart"/>
            <w:r w:rsidRPr="007837C2">
              <w:rPr>
                <w:rFonts w:ascii="Arial" w:hAnsi="Arial" w:cs="Arial"/>
                <w:sz w:val="20"/>
                <w:lang w:eastAsia="ja-JP" w:bidi="he-IL"/>
              </w:rPr>
              <w:t>PeerKey</w:t>
            </w:r>
            <w:proofErr w:type="spellEnd"/>
            <w:r w:rsidRPr="007837C2">
              <w:rPr>
                <w:rFonts w:ascii="Arial" w:hAnsi="Arial" w:cs="Arial"/>
                <w:sz w:val="20"/>
                <w:lang w:eastAsia="ja-JP" w:bidi="he-IL"/>
              </w:rPr>
              <w:t xml:space="preserve"> mechanism is obsolete, and the STKSA is not defined</w:t>
            </w:r>
          </w:p>
        </w:tc>
        <w:tc>
          <w:tcPr>
            <w:tcW w:w="2724" w:type="dxa"/>
            <w:hideMark/>
          </w:tcPr>
          <w:p w14:paraId="05FBEF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STKSA" at 11.26.3</w:t>
            </w:r>
          </w:p>
        </w:tc>
      </w:tr>
    </w:tbl>
    <w:p w14:paraId="37D239B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AADD06" w14:textId="77777777" w:rsidTr="007837C2">
        <w:trPr>
          <w:trHeight w:val="6630"/>
        </w:trPr>
        <w:tc>
          <w:tcPr>
            <w:tcW w:w="738" w:type="dxa"/>
            <w:hideMark/>
          </w:tcPr>
          <w:p w14:paraId="397EBD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1462</w:t>
            </w:r>
          </w:p>
        </w:tc>
        <w:tc>
          <w:tcPr>
            <w:tcW w:w="990" w:type="dxa"/>
            <w:hideMark/>
          </w:tcPr>
          <w:p w14:paraId="1EC75BA5"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61138542"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44EC174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26A18F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5A81C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5D4B37D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Pr="007837C2">
              <w:rPr>
                <w:rFonts w:ascii="Arial" w:hAnsi="Arial" w:cs="Arial"/>
                <w:sz w:val="20"/>
                <w:lang w:eastAsia="ja-JP" w:bidi="he-IL"/>
              </w:rPr>
              <w:br/>
            </w:r>
            <w:r w:rsidRPr="007837C2">
              <w:rPr>
                <w:rFonts w:ascii="Arial" w:hAnsi="Arial" w:cs="Arial"/>
                <w:sz w:val="20"/>
                <w:lang w:eastAsia="ja-JP" w:bidi="he-IL"/>
              </w:rPr>
              <w:br/>
              <w:t>Organization Identifier field is described in 9.2.2 (Conventions)." or "All fields use the bit convention from 9.2.2 (Conventions)." or " It is encoded following the conventions in 9.2.2</w:t>
            </w:r>
            <w:r w:rsidRPr="007837C2">
              <w:rPr>
                <w:rFonts w:ascii="Arial" w:hAnsi="Arial" w:cs="Arial"/>
                <w:sz w:val="20"/>
                <w:lang w:eastAsia="ja-JP" w:bidi="he-IL"/>
              </w:rPr>
              <w:br/>
            </w:r>
            <w:r w:rsidRPr="007837C2">
              <w:rPr>
                <w:rFonts w:ascii="Arial" w:hAnsi="Arial" w:cs="Arial"/>
                <w:sz w:val="20"/>
                <w:lang w:eastAsia="ja-JP" w:bidi="he-IL"/>
              </w:rPr>
              <w:b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and  is</w:t>
            </w:r>
            <w:proofErr w:type="gramEnd"/>
            <w:r w:rsidRPr="007837C2">
              <w:rPr>
                <w:rFonts w:ascii="Arial" w:hAnsi="Arial" w:cs="Arial"/>
                <w:sz w:val="20"/>
                <w:lang w:eastAsia="ja-JP" w:bidi="he-IL"/>
              </w:rPr>
              <w:t xml:space="preserve">  encoded  following  the</w:t>
            </w:r>
            <w:r w:rsidRPr="007837C2">
              <w:rPr>
                <w:rFonts w:ascii="Arial" w:hAnsi="Arial" w:cs="Arial"/>
                <w:sz w:val="20"/>
                <w:lang w:eastAsia="ja-JP" w:bidi="he-IL"/>
              </w:rPr>
              <w:br/>
            </w:r>
            <w:r w:rsidRPr="007837C2">
              <w:rPr>
                <w:rFonts w:ascii="Arial" w:hAnsi="Arial" w:cs="Arial"/>
                <w:sz w:val="20"/>
                <w:lang w:eastAsia="ja-JP" w:bidi="he-IL"/>
              </w:rPr>
              <w:br/>
              <w:t>conventions given in 9.2.2 (Conventions)"</w:t>
            </w:r>
          </w:p>
        </w:tc>
      </w:tr>
    </w:tbl>
    <w:p w14:paraId="5E26940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7A3960E" w14:textId="77777777" w:rsidTr="007837C2">
        <w:trPr>
          <w:trHeight w:val="2550"/>
        </w:trPr>
        <w:tc>
          <w:tcPr>
            <w:tcW w:w="738" w:type="dxa"/>
            <w:hideMark/>
          </w:tcPr>
          <w:p w14:paraId="143193E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7F71D3A"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4E290D17"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17E80F16" w14:textId="77777777" w:rsidR="007837C2" w:rsidRPr="007837C2" w:rsidRDefault="007837C2" w:rsidP="00E742A2">
            <w:pPr>
              <w:autoSpaceDE w:val="0"/>
              <w:autoSpaceDN w:val="0"/>
              <w:adjustRightInd w:val="0"/>
              <w:rPr>
                <w:rFonts w:ascii="Arial" w:hAnsi="Arial" w:cs="Arial"/>
                <w:sz w:val="20"/>
                <w:lang w:eastAsia="ja-JP" w:bidi="he-IL"/>
              </w:rPr>
            </w:pPr>
          </w:p>
        </w:tc>
        <w:tc>
          <w:tcPr>
            <w:tcW w:w="1260" w:type="dxa"/>
            <w:hideMark/>
          </w:tcPr>
          <w:p w14:paraId="5906B739"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613E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38A8326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r w:rsidR="00ED51C4" w:rsidRPr="007837C2" w14:paraId="73C1AEBC" w14:textId="77777777" w:rsidTr="009E3DEB">
        <w:trPr>
          <w:trHeight w:val="1785"/>
        </w:trPr>
        <w:tc>
          <w:tcPr>
            <w:tcW w:w="738" w:type="dxa"/>
            <w:hideMark/>
          </w:tcPr>
          <w:p w14:paraId="3144012B"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1396</w:t>
            </w:r>
          </w:p>
        </w:tc>
        <w:tc>
          <w:tcPr>
            <w:tcW w:w="990" w:type="dxa"/>
            <w:hideMark/>
          </w:tcPr>
          <w:p w14:paraId="18EDA1F2"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6F6A73CA"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E8F308"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40C0746A" w14:textId="77777777" w:rsidR="00ED51C4" w:rsidRPr="007837C2" w:rsidRDefault="00ED51C4" w:rsidP="009E3DEB">
            <w:pPr>
              <w:autoSpaceDE w:val="0"/>
              <w:autoSpaceDN w:val="0"/>
              <w:adjustRightInd w:val="0"/>
              <w:rPr>
                <w:rFonts w:ascii="Arial" w:hAnsi="Arial" w:cs="Arial"/>
                <w:sz w:val="20"/>
                <w:lang w:eastAsia="ja-JP" w:bidi="he-IL"/>
              </w:rPr>
            </w:pPr>
          </w:p>
        </w:tc>
        <w:tc>
          <w:tcPr>
            <w:tcW w:w="2880" w:type="dxa"/>
            <w:hideMark/>
          </w:tcPr>
          <w:p w14:paraId="323EDFAC"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117A92B"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68595383" w14:textId="77777777" w:rsidR="00ED51C4" w:rsidRDefault="00ED51C4" w:rsidP="00ED51C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978A1" w:rsidRPr="007837C2" w14:paraId="4D76EB25" w14:textId="77777777" w:rsidTr="009E3DEB">
        <w:trPr>
          <w:trHeight w:val="6630"/>
        </w:trPr>
        <w:tc>
          <w:tcPr>
            <w:tcW w:w="738" w:type="dxa"/>
            <w:hideMark/>
          </w:tcPr>
          <w:p w14:paraId="0A86B927"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1146</w:t>
            </w:r>
          </w:p>
        </w:tc>
        <w:tc>
          <w:tcPr>
            <w:tcW w:w="990" w:type="dxa"/>
            <w:hideMark/>
          </w:tcPr>
          <w:p w14:paraId="6D79B75A"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717BDBA6"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7A65522"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31CCD80" w14:textId="77777777" w:rsidR="005978A1" w:rsidRPr="007837C2" w:rsidRDefault="005978A1" w:rsidP="009E3DEB">
            <w:pPr>
              <w:autoSpaceDE w:val="0"/>
              <w:autoSpaceDN w:val="0"/>
              <w:adjustRightInd w:val="0"/>
              <w:rPr>
                <w:rFonts w:ascii="Arial" w:hAnsi="Arial" w:cs="Arial"/>
                <w:sz w:val="20"/>
                <w:lang w:eastAsia="ja-JP" w:bidi="he-IL"/>
              </w:rPr>
            </w:pPr>
          </w:p>
        </w:tc>
        <w:tc>
          <w:tcPr>
            <w:tcW w:w="2880" w:type="dxa"/>
            <w:hideMark/>
          </w:tcPr>
          <w:p w14:paraId="03045A4E"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9091BA8"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627CAF2" w14:textId="77777777" w:rsidR="005978A1" w:rsidRDefault="005978A1" w:rsidP="005978A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56FFF" w:rsidRPr="007837C2" w14:paraId="4206BE96" w14:textId="77777777" w:rsidTr="009E3DEB">
        <w:trPr>
          <w:trHeight w:val="2805"/>
        </w:trPr>
        <w:tc>
          <w:tcPr>
            <w:tcW w:w="738" w:type="dxa"/>
            <w:hideMark/>
          </w:tcPr>
          <w:p w14:paraId="18FCBB4D"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32AA434D"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48E4C201"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0AF382D3"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3AEE7FB1" w14:textId="77777777" w:rsidR="00956FFF" w:rsidRPr="007837C2" w:rsidRDefault="00956FFF" w:rsidP="009E3DEB">
            <w:pPr>
              <w:autoSpaceDE w:val="0"/>
              <w:autoSpaceDN w:val="0"/>
              <w:adjustRightInd w:val="0"/>
              <w:rPr>
                <w:rFonts w:ascii="Arial" w:hAnsi="Arial" w:cs="Arial"/>
                <w:sz w:val="20"/>
                <w:lang w:eastAsia="ja-JP" w:bidi="he-IL"/>
              </w:rPr>
            </w:pPr>
          </w:p>
        </w:tc>
        <w:tc>
          <w:tcPr>
            <w:tcW w:w="2880" w:type="dxa"/>
            <w:hideMark/>
          </w:tcPr>
          <w:p w14:paraId="6AA57520" w14:textId="77777777" w:rsidR="00956FFF" w:rsidRPr="007837C2" w:rsidRDefault="00956FFF" w:rsidP="009E3DEB">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688B45EF"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7CA5564" w14:textId="77777777" w:rsidR="00956FFF" w:rsidRDefault="00956FFF" w:rsidP="00956FFF"/>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E4CD1" w:rsidRPr="007837C2" w14:paraId="1AFDF8FB" w14:textId="77777777" w:rsidTr="009E3DEB">
        <w:trPr>
          <w:trHeight w:val="8190"/>
        </w:trPr>
        <w:tc>
          <w:tcPr>
            <w:tcW w:w="738" w:type="dxa"/>
            <w:hideMark/>
          </w:tcPr>
          <w:p w14:paraId="486F7681"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77221252"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7125BD5C"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FDE7013"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1260" w:type="dxa"/>
            <w:hideMark/>
          </w:tcPr>
          <w:p w14:paraId="237E7A45" w14:textId="77777777" w:rsidR="00EE4CD1" w:rsidRPr="007837C2" w:rsidRDefault="00EE4CD1" w:rsidP="009E3DEB">
            <w:pPr>
              <w:autoSpaceDE w:val="0"/>
              <w:autoSpaceDN w:val="0"/>
              <w:adjustRightInd w:val="0"/>
              <w:rPr>
                <w:rFonts w:ascii="Arial" w:hAnsi="Arial" w:cs="Arial"/>
                <w:sz w:val="20"/>
                <w:lang w:eastAsia="ja-JP" w:bidi="he-IL"/>
              </w:rPr>
            </w:pPr>
          </w:p>
        </w:tc>
        <w:tc>
          <w:tcPr>
            <w:tcW w:w="2880" w:type="dxa"/>
            <w:hideMark/>
          </w:tcPr>
          <w:p w14:paraId="46257C16"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724" w:type="dxa"/>
            <w:hideMark/>
          </w:tcPr>
          <w:p w14:paraId="27163BB9"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referenced subclause change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the  Capabilities  element,  the  Operation  element,  the  EDCA</w:t>
            </w:r>
            <w:r w:rsidRPr="007837C2">
              <w:rPr>
                <w:rFonts w:ascii="Arial" w:hAnsi="Arial" w:cs="Arial"/>
                <w:sz w:val="20"/>
                <w:lang w:eastAsia="ja-JP" w:bidi="he-IL"/>
              </w:rPr>
              <w:br/>
            </w:r>
            <w:r w:rsidRPr="007837C2">
              <w:rPr>
                <w:rFonts w:ascii="Arial" w:hAnsi="Arial" w:cs="Arial"/>
                <w:sz w:val="20"/>
                <w:lang w:eastAsia="ja-JP" w:bidi="he-IL"/>
              </w:rPr>
              <w:br/>
              <w:t>Parameter  Set  element,  Supported  Rates  and  BSS  Membership  Selectors  element,  Extended  Supported</w:t>
            </w:r>
            <w:r w:rsidRPr="007837C2">
              <w:rPr>
                <w:rFonts w:ascii="Arial" w:hAnsi="Arial" w:cs="Arial"/>
                <w:sz w:val="20"/>
                <w:lang w:eastAsia="ja-JP" w:bidi="he-IL"/>
              </w:rPr>
              <w:br/>
            </w:r>
            <w:r w:rsidRPr="007837C2">
              <w:rPr>
                <w:rFonts w:ascii="Arial" w:hAnsi="Arial" w:cs="Arial"/>
                <w:sz w:val="20"/>
                <w:lang w:eastAsia="ja-JP" w:bidi="he-IL"/>
              </w:rPr>
              <w:br/>
              <w:t>Rates and BSS Membership Selectors element, and Supported Channels element that are applicable to the</w:t>
            </w:r>
            <w:r w:rsidRPr="007837C2">
              <w:rPr>
                <w:rFonts w:ascii="Arial" w:hAnsi="Arial" w:cs="Arial"/>
                <w:sz w:val="20"/>
                <w:lang w:eastAsia="ja-JP" w:bidi="he-IL"/>
              </w:rPr>
              <w:br/>
            </w:r>
            <w:r w:rsidRPr="007837C2">
              <w:rPr>
                <w:rFonts w:ascii="Arial" w:hAnsi="Arial" w:cs="Arial"/>
                <w:sz w:val="20"/>
                <w:lang w:eastAsia="ja-JP" w:bidi="he-IL"/>
              </w:rPr>
              <w:br/>
              <w:t>band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br/>
              <w:t>Setup Response frames." to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all the  elements that are applicable to the</w:t>
            </w:r>
            <w:r w:rsidRPr="007837C2">
              <w:rPr>
                <w:rFonts w:ascii="Arial" w:hAnsi="Arial" w:cs="Arial"/>
                <w:sz w:val="20"/>
                <w:lang w:eastAsia="ja-JP" w:bidi="he-IL"/>
              </w:rPr>
              <w:br/>
            </w:r>
            <w:r w:rsidRPr="007837C2">
              <w:rPr>
                <w:rFonts w:ascii="Arial" w:hAnsi="Arial" w:cs="Arial"/>
                <w:sz w:val="20"/>
                <w:lang w:eastAsia="ja-JP" w:bidi="he-IL"/>
              </w:rPr>
              <w:br/>
              <w:t>band, PHY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lastRenderedPageBreak/>
              <w:br/>
              <w:t>Setup Response frames."</w:t>
            </w:r>
          </w:p>
        </w:tc>
      </w:tr>
    </w:tbl>
    <w:p w14:paraId="1C4587AF" w14:textId="77777777" w:rsidR="00EE4CD1" w:rsidRDefault="00EE4CD1" w:rsidP="00EE4CD1"/>
    <w:p w14:paraId="0BCDE42C" w14:textId="03C923C1" w:rsidR="00DA6337" w:rsidRDefault="00DA6337" w:rsidP="00BA31EC">
      <w:pPr>
        <w:rPr>
          <w:b/>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9E3DEB">
        <w:trPr>
          <w:trHeight w:val="1020"/>
        </w:trPr>
        <w:tc>
          <w:tcPr>
            <w:tcW w:w="738" w:type="dxa"/>
            <w:hideMark/>
          </w:tcPr>
          <w:p w14:paraId="0E753A9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9E3DEB">
        <w:trPr>
          <w:trHeight w:val="1020"/>
        </w:trPr>
        <w:tc>
          <w:tcPr>
            <w:tcW w:w="738" w:type="dxa"/>
            <w:hideMark/>
          </w:tcPr>
          <w:p w14:paraId="4C66721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9E3DEB">
        <w:trPr>
          <w:trHeight w:val="7395"/>
        </w:trPr>
        <w:tc>
          <w:tcPr>
            <w:tcW w:w="738" w:type="dxa"/>
            <w:hideMark/>
          </w:tcPr>
          <w:p w14:paraId="607FA289"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9E3DEB">
        <w:trPr>
          <w:trHeight w:val="1020"/>
        </w:trPr>
        <w:tc>
          <w:tcPr>
            <w:tcW w:w="738" w:type="dxa"/>
            <w:hideMark/>
          </w:tcPr>
          <w:p w14:paraId="01C3149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9E3DEB">
        <w:trPr>
          <w:trHeight w:val="4590"/>
        </w:trPr>
        <w:tc>
          <w:tcPr>
            <w:tcW w:w="738" w:type="dxa"/>
            <w:hideMark/>
          </w:tcPr>
          <w:p w14:paraId="3561302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9E3DEB">
        <w:trPr>
          <w:trHeight w:val="4590"/>
        </w:trPr>
        <w:tc>
          <w:tcPr>
            <w:tcW w:w="738" w:type="dxa"/>
            <w:hideMark/>
          </w:tcPr>
          <w:p w14:paraId="6DD87F81"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9E3DEB">
        <w:trPr>
          <w:trHeight w:val="3315"/>
        </w:trPr>
        <w:tc>
          <w:tcPr>
            <w:tcW w:w="738" w:type="dxa"/>
            <w:hideMark/>
          </w:tcPr>
          <w:p w14:paraId="21198AF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9E3DEB">
        <w:trPr>
          <w:trHeight w:val="1020"/>
        </w:trPr>
        <w:tc>
          <w:tcPr>
            <w:tcW w:w="738" w:type="dxa"/>
            <w:hideMark/>
          </w:tcPr>
          <w:p w14:paraId="6C8A223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9E3DEB">
        <w:trPr>
          <w:trHeight w:val="3570"/>
        </w:trPr>
        <w:tc>
          <w:tcPr>
            <w:tcW w:w="738" w:type="dxa"/>
            <w:hideMark/>
          </w:tcPr>
          <w:p w14:paraId="4A531CA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9E3DEB">
        <w:trPr>
          <w:trHeight w:val="1785"/>
        </w:trPr>
        <w:tc>
          <w:tcPr>
            <w:tcW w:w="738" w:type="dxa"/>
            <w:hideMark/>
          </w:tcPr>
          <w:p w14:paraId="0A4E2896"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9E3DEB">
        <w:trPr>
          <w:trHeight w:val="1530"/>
        </w:trPr>
        <w:tc>
          <w:tcPr>
            <w:tcW w:w="738" w:type="dxa"/>
            <w:hideMark/>
          </w:tcPr>
          <w:p w14:paraId="727CAACC"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9E3DEB">
        <w:trPr>
          <w:trHeight w:val="1275"/>
        </w:trPr>
        <w:tc>
          <w:tcPr>
            <w:tcW w:w="738" w:type="dxa"/>
            <w:hideMark/>
          </w:tcPr>
          <w:p w14:paraId="3633CC1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9E3DEB">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4A45103B" w14:textId="77777777"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77777777" w:rsidR="00064B82" w:rsidRDefault="00064B82" w:rsidP="00064B82"/>
    <w:p w14:paraId="08B4783C" w14:textId="77777777" w:rsidR="00166AFB" w:rsidRPr="00DD7D2C" w:rsidRDefault="00166AFB" w:rsidP="00166AFB"/>
    <w:sectPr w:rsidR="00166AFB" w:rsidRPr="00DD7D2C" w:rsidSect="009E579C">
      <w:headerReference w:type="default" r:id="rId42"/>
      <w:footerReference w:type="default" r:id="rId43"/>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AC1DD" w14:textId="77777777" w:rsidR="001B0589" w:rsidRDefault="001B0589">
      <w:r>
        <w:separator/>
      </w:r>
    </w:p>
  </w:endnote>
  <w:endnote w:type="continuationSeparator" w:id="0">
    <w:p w14:paraId="0E4F2B82" w14:textId="77777777" w:rsidR="001B0589" w:rsidRDefault="001B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3A03AA" w:rsidRDefault="003A03AA"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3A03AA" w:rsidRDefault="003A03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7FB5C" w14:textId="77777777" w:rsidR="001B0589" w:rsidRDefault="001B0589">
      <w:r>
        <w:separator/>
      </w:r>
    </w:p>
  </w:footnote>
  <w:footnote w:type="continuationSeparator" w:id="0">
    <w:p w14:paraId="719E1881" w14:textId="77777777" w:rsidR="001B0589" w:rsidRDefault="001B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5B66947" w:rsidR="003A03AA" w:rsidRDefault="00064B82" w:rsidP="005942A6">
    <w:pPr>
      <w:pStyle w:val="Header"/>
      <w:tabs>
        <w:tab w:val="clear" w:pos="6480"/>
        <w:tab w:val="center" w:pos="4680"/>
        <w:tab w:val="right" w:pos="9360"/>
      </w:tabs>
    </w:pPr>
    <w:r>
      <w:t>August</w:t>
    </w:r>
    <w:r w:rsidR="003A03AA">
      <w:t xml:space="preserve"> 2018</w:t>
    </w:r>
    <w:r w:rsidR="003A03AA">
      <w:tab/>
    </w:r>
    <w:r w:rsidR="003A03AA">
      <w:tab/>
    </w:r>
    <w:fldSimple w:instr=" TITLE  \* MERGEFORMAT ">
      <w:r w:rsidR="003A03AA">
        <w:t>doc.: IEEE 802.11-18/0669r</w:t>
      </w:r>
    </w:fldSimple>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1"/>
  </w:num>
  <w:num w:numId="5">
    <w:abstractNumId w:val="16"/>
  </w:num>
  <w:num w:numId="6">
    <w:abstractNumId w:val="15"/>
  </w:num>
  <w:num w:numId="7">
    <w:abstractNumId w:val="2"/>
  </w:num>
  <w:num w:numId="8">
    <w:abstractNumId w:val="6"/>
  </w:num>
  <w:num w:numId="9">
    <w:abstractNumId w:val="7"/>
  </w:num>
  <w:num w:numId="10">
    <w:abstractNumId w:val="10"/>
  </w:num>
  <w:num w:numId="11">
    <w:abstractNumId w:val="18"/>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51E8"/>
    <w:rsid w:val="00165A10"/>
    <w:rsid w:val="001668A6"/>
    <w:rsid w:val="00166AFB"/>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0E8"/>
    <w:rsid w:val="0020744B"/>
    <w:rsid w:val="0020785C"/>
    <w:rsid w:val="00210462"/>
    <w:rsid w:val="00210C7E"/>
    <w:rsid w:val="002112A6"/>
    <w:rsid w:val="002115FE"/>
    <w:rsid w:val="0021168D"/>
    <w:rsid w:val="00213D3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63A7B"/>
    <w:rsid w:val="00363BD7"/>
    <w:rsid w:val="00364632"/>
    <w:rsid w:val="00364917"/>
    <w:rsid w:val="00364D00"/>
    <w:rsid w:val="00365635"/>
    <w:rsid w:val="00370802"/>
    <w:rsid w:val="00370CA2"/>
    <w:rsid w:val="003721EC"/>
    <w:rsid w:val="00372F0B"/>
    <w:rsid w:val="00374309"/>
    <w:rsid w:val="003752A1"/>
    <w:rsid w:val="00377940"/>
    <w:rsid w:val="00382211"/>
    <w:rsid w:val="00382603"/>
    <w:rsid w:val="00382B03"/>
    <w:rsid w:val="00382F77"/>
    <w:rsid w:val="00383525"/>
    <w:rsid w:val="0038355C"/>
    <w:rsid w:val="0038543B"/>
    <w:rsid w:val="00385B13"/>
    <w:rsid w:val="00385BD3"/>
    <w:rsid w:val="003873F3"/>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52E6"/>
    <w:rsid w:val="003B56C6"/>
    <w:rsid w:val="003B72BF"/>
    <w:rsid w:val="003B7386"/>
    <w:rsid w:val="003C2E87"/>
    <w:rsid w:val="003C374B"/>
    <w:rsid w:val="003C40EE"/>
    <w:rsid w:val="003C497D"/>
    <w:rsid w:val="003C5230"/>
    <w:rsid w:val="003C63B2"/>
    <w:rsid w:val="003C7F5B"/>
    <w:rsid w:val="003D472D"/>
    <w:rsid w:val="003D47D5"/>
    <w:rsid w:val="003D4DE9"/>
    <w:rsid w:val="003D5563"/>
    <w:rsid w:val="003D5CFD"/>
    <w:rsid w:val="003D6689"/>
    <w:rsid w:val="003D74D3"/>
    <w:rsid w:val="003D75CA"/>
    <w:rsid w:val="003E02CE"/>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2476"/>
    <w:rsid w:val="00483ECF"/>
    <w:rsid w:val="004863B9"/>
    <w:rsid w:val="0048755B"/>
    <w:rsid w:val="0048783B"/>
    <w:rsid w:val="0049287F"/>
    <w:rsid w:val="004940D6"/>
    <w:rsid w:val="00494F31"/>
    <w:rsid w:val="004956B1"/>
    <w:rsid w:val="00495CAC"/>
    <w:rsid w:val="00496291"/>
    <w:rsid w:val="004964AA"/>
    <w:rsid w:val="004A0FFC"/>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9CB"/>
    <w:rsid w:val="00574D84"/>
    <w:rsid w:val="00575BB3"/>
    <w:rsid w:val="00576862"/>
    <w:rsid w:val="00577620"/>
    <w:rsid w:val="0057788B"/>
    <w:rsid w:val="00580602"/>
    <w:rsid w:val="00583AA3"/>
    <w:rsid w:val="00583C4B"/>
    <w:rsid w:val="005864BD"/>
    <w:rsid w:val="00587626"/>
    <w:rsid w:val="00590768"/>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4D38"/>
    <w:rsid w:val="006478DE"/>
    <w:rsid w:val="00647C0F"/>
    <w:rsid w:val="0065099A"/>
    <w:rsid w:val="0065177F"/>
    <w:rsid w:val="0065579B"/>
    <w:rsid w:val="0065586F"/>
    <w:rsid w:val="00656412"/>
    <w:rsid w:val="006565BB"/>
    <w:rsid w:val="00656ED6"/>
    <w:rsid w:val="006615A7"/>
    <w:rsid w:val="00662059"/>
    <w:rsid w:val="0066224A"/>
    <w:rsid w:val="00662DB5"/>
    <w:rsid w:val="00663DF7"/>
    <w:rsid w:val="00663F12"/>
    <w:rsid w:val="006648CD"/>
    <w:rsid w:val="00665FA0"/>
    <w:rsid w:val="00666A07"/>
    <w:rsid w:val="00666DDA"/>
    <w:rsid w:val="00667D36"/>
    <w:rsid w:val="00670449"/>
    <w:rsid w:val="006705DF"/>
    <w:rsid w:val="00672620"/>
    <w:rsid w:val="00674F4E"/>
    <w:rsid w:val="006751FF"/>
    <w:rsid w:val="00675E47"/>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3394"/>
    <w:rsid w:val="006F4BEC"/>
    <w:rsid w:val="006F4E55"/>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6DD6"/>
    <w:rsid w:val="007F73BE"/>
    <w:rsid w:val="00800276"/>
    <w:rsid w:val="00800EE0"/>
    <w:rsid w:val="00801239"/>
    <w:rsid w:val="00801394"/>
    <w:rsid w:val="00801722"/>
    <w:rsid w:val="00803200"/>
    <w:rsid w:val="00803DDF"/>
    <w:rsid w:val="00805F9F"/>
    <w:rsid w:val="0080643A"/>
    <w:rsid w:val="00806654"/>
    <w:rsid w:val="0081012D"/>
    <w:rsid w:val="00811716"/>
    <w:rsid w:val="00812978"/>
    <w:rsid w:val="00813655"/>
    <w:rsid w:val="008150D7"/>
    <w:rsid w:val="00815413"/>
    <w:rsid w:val="00815996"/>
    <w:rsid w:val="00816193"/>
    <w:rsid w:val="00816C42"/>
    <w:rsid w:val="00816F78"/>
    <w:rsid w:val="00820D51"/>
    <w:rsid w:val="00822F9D"/>
    <w:rsid w:val="008231B1"/>
    <w:rsid w:val="00824D1D"/>
    <w:rsid w:val="008250B2"/>
    <w:rsid w:val="0082558F"/>
    <w:rsid w:val="00825CF4"/>
    <w:rsid w:val="00826095"/>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52F9"/>
    <w:rsid w:val="008E553E"/>
    <w:rsid w:val="008E55C9"/>
    <w:rsid w:val="008E580D"/>
    <w:rsid w:val="008E5842"/>
    <w:rsid w:val="008E74C6"/>
    <w:rsid w:val="008E768C"/>
    <w:rsid w:val="008F1204"/>
    <w:rsid w:val="008F1CD8"/>
    <w:rsid w:val="008F4031"/>
    <w:rsid w:val="008F4615"/>
    <w:rsid w:val="008F70F0"/>
    <w:rsid w:val="009046BB"/>
    <w:rsid w:val="00904BA8"/>
    <w:rsid w:val="00904E12"/>
    <w:rsid w:val="00905DF3"/>
    <w:rsid w:val="0090643A"/>
    <w:rsid w:val="009079A6"/>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57CB"/>
    <w:rsid w:val="0092604C"/>
    <w:rsid w:val="0092615C"/>
    <w:rsid w:val="0093100C"/>
    <w:rsid w:val="00931B71"/>
    <w:rsid w:val="009327C3"/>
    <w:rsid w:val="00933615"/>
    <w:rsid w:val="009341A7"/>
    <w:rsid w:val="009347FD"/>
    <w:rsid w:val="00942DAD"/>
    <w:rsid w:val="00943FE1"/>
    <w:rsid w:val="009502A3"/>
    <w:rsid w:val="00950569"/>
    <w:rsid w:val="00950D9E"/>
    <w:rsid w:val="009519A2"/>
    <w:rsid w:val="00951B5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20B7"/>
    <w:rsid w:val="00A341D5"/>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1E6B"/>
    <w:rsid w:val="00AD276B"/>
    <w:rsid w:val="00AD4178"/>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2947"/>
    <w:rsid w:val="00B24E59"/>
    <w:rsid w:val="00B257C3"/>
    <w:rsid w:val="00B30BCC"/>
    <w:rsid w:val="00B314DE"/>
    <w:rsid w:val="00B34734"/>
    <w:rsid w:val="00B36A92"/>
    <w:rsid w:val="00B3759B"/>
    <w:rsid w:val="00B37F09"/>
    <w:rsid w:val="00B40B45"/>
    <w:rsid w:val="00B4120D"/>
    <w:rsid w:val="00B41C7F"/>
    <w:rsid w:val="00B44896"/>
    <w:rsid w:val="00B47DA9"/>
    <w:rsid w:val="00B509E4"/>
    <w:rsid w:val="00B51A39"/>
    <w:rsid w:val="00B527CC"/>
    <w:rsid w:val="00B5334C"/>
    <w:rsid w:val="00B53573"/>
    <w:rsid w:val="00B56746"/>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CA1"/>
    <w:rsid w:val="00BE1FB5"/>
    <w:rsid w:val="00BE310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422C"/>
    <w:rsid w:val="00C048EB"/>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A09B2"/>
    <w:rsid w:val="00CA0C09"/>
    <w:rsid w:val="00CA171A"/>
    <w:rsid w:val="00CA299A"/>
    <w:rsid w:val="00CA5D50"/>
    <w:rsid w:val="00CA6A68"/>
    <w:rsid w:val="00CA76AA"/>
    <w:rsid w:val="00CB0DCA"/>
    <w:rsid w:val="00CB1544"/>
    <w:rsid w:val="00CB1545"/>
    <w:rsid w:val="00CB1F05"/>
    <w:rsid w:val="00CB3574"/>
    <w:rsid w:val="00CB4049"/>
    <w:rsid w:val="00CB581A"/>
    <w:rsid w:val="00CB5BB4"/>
    <w:rsid w:val="00CB603C"/>
    <w:rsid w:val="00CB69EB"/>
    <w:rsid w:val="00CC2A07"/>
    <w:rsid w:val="00CC2FDA"/>
    <w:rsid w:val="00CC3B56"/>
    <w:rsid w:val="00CC752E"/>
    <w:rsid w:val="00CD320A"/>
    <w:rsid w:val="00CD4AF9"/>
    <w:rsid w:val="00CD4EE6"/>
    <w:rsid w:val="00CD4FC0"/>
    <w:rsid w:val="00CD547E"/>
    <w:rsid w:val="00CD7282"/>
    <w:rsid w:val="00CD778F"/>
    <w:rsid w:val="00CE1A33"/>
    <w:rsid w:val="00CE1C80"/>
    <w:rsid w:val="00CE1EF9"/>
    <w:rsid w:val="00CE2E8B"/>
    <w:rsid w:val="00CE4420"/>
    <w:rsid w:val="00CE575B"/>
    <w:rsid w:val="00CE5CF2"/>
    <w:rsid w:val="00CE6B54"/>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AA0"/>
    <w:rsid w:val="00D062BB"/>
    <w:rsid w:val="00D07873"/>
    <w:rsid w:val="00D118F4"/>
    <w:rsid w:val="00D11DC8"/>
    <w:rsid w:val="00D124EA"/>
    <w:rsid w:val="00D127FF"/>
    <w:rsid w:val="00D147B2"/>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4924"/>
    <w:rsid w:val="00D566C9"/>
    <w:rsid w:val="00D61644"/>
    <w:rsid w:val="00D64FE6"/>
    <w:rsid w:val="00D65BDA"/>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97B00"/>
    <w:rsid w:val="00DA0C75"/>
    <w:rsid w:val="00DA3020"/>
    <w:rsid w:val="00DA3683"/>
    <w:rsid w:val="00DA3DA2"/>
    <w:rsid w:val="00DA5373"/>
    <w:rsid w:val="00DA5419"/>
    <w:rsid w:val="00DA5431"/>
    <w:rsid w:val="00DA6337"/>
    <w:rsid w:val="00DA71C3"/>
    <w:rsid w:val="00DA7F0C"/>
    <w:rsid w:val="00DB0232"/>
    <w:rsid w:val="00DB1DB7"/>
    <w:rsid w:val="00DB1F4C"/>
    <w:rsid w:val="00DB1FF9"/>
    <w:rsid w:val="00DB63FC"/>
    <w:rsid w:val="00DC5469"/>
    <w:rsid w:val="00DC5A7B"/>
    <w:rsid w:val="00DD1DFC"/>
    <w:rsid w:val="00DD2545"/>
    <w:rsid w:val="00DD2A1B"/>
    <w:rsid w:val="00DD5686"/>
    <w:rsid w:val="00DD68AC"/>
    <w:rsid w:val="00DD7D2C"/>
    <w:rsid w:val="00DE104F"/>
    <w:rsid w:val="00DE1517"/>
    <w:rsid w:val="00DE170B"/>
    <w:rsid w:val="00DE22F0"/>
    <w:rsid w:val="00DE23AD"/>
    <w:rsid w:val="00DE263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CA2"/>
    <w:rsid w:val="00ED4981"/>
    <w:rsid w:val="00ED51C4"/>
    <w:rsid w:val="00ED53B8"/>
    <w:rsid w:val="00ED547A"/>
    <w:rsid w:val="00ED6DD1"/>
    <w:rsid w:val="00ED7604"/>
    <w:rsid w:val="00EE4CD1"/>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51B7"/>
    <w:rsid w:val="00F2692D"/>
    <w:rsid w:val="00F26B77"/>
    <w:rsid w:val="00F3159C"/>
    <w:rsid w:val="00F319CA"/>
    <w:rsid w:val="00F31DAE"/>
    <w:rsid w:val="00F31E9F"/>
    <w:rsid w:val="00F328B0"/>
    <w:rsid w:val="00F32B6E"/>
    <w:rsid w:val="00F3473A"/>
    <w:rsid w:val="00F406D5"/>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05F"/>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4FA3E-7471-4F61-9C2F-9CE0FCD7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62</TotalTime>
  <Pages>49</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3</cp:revision>
  <cp:lastPrinted>1901-01-01T04:00:00Z</cp:lastPrinted>
  <dcterms:created xsi:type="dcterms:W3CDTF">2018-08-01T18:05:00Z</dcterms:created>
  <dcterms:modified xsi:type="dcterms:W3CDTF">2018-08-01T19:07:00Z</dcterms:modified>
</cp:coreProperties>
</file>