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32F1427D" w:rsidR="00CA09B2" w:rsidRDefault="00C93C23" w:rsidP="00083FE0">
            <w:pPr>
              <w:pStyle w:val="T2"/>
            </w:pPr>
            <w:r>
              <w:t>MAC Comments for Discussion</w:t>
            </w:r>
            <w:r w:rsidR="00E2633B">
              <w:t xml:space="preserve"> </w:t>
            </w:r>
          </w:p>
        </w:tc>
      </w:tr>
      <w:tr w:rsidR="00CA09B2" w14:paraId="02966D81" w14:textId="77777777">
        <w:trPr>
          <w:trHeight w:val="359"/>
          <w:jc w:val="center"/>
        </w:trPr>
        <w:tc>
          <w:tcPr>
            <w:tcW w:w="9576" w:type="dxa"/>
            <w:gridSpan w:val="5"/>
            <w:vAlign w:val="center"/>
          </w:tcPr>
          <w:p w14:paraId="286D4255" w14:textId="025D4701" w:rsidR="00CA09B2" w:rsidRDefault="00CA09B2" w:rsidP="00F03583">
            <w:pPr>
              <w:pStyle w:val="T2"/>
              <w:ind w:left="0"/>
              <w:rPr>
                <w:sz w:val="20"/>
              </w:rPr>
            </w:pPr>
            <w:r>
              <w:rPr>
                <w:sz w:val="20"/>
              </w:rPr>
              <w:t>Date:</w:t>
            </w:r>
            <w:r>
              <w:rPr>
                <w:b w:val="0"/>
                <w:sz w:val="20"/>
              </w:rPr>
              <w:t xml:space="preserve">  </w:t>
            </w:r>
            <w:r w:rsidR="002070E8">
              <w:rPr>
                <w:b w:val="0"/>
                <w:sz w:val="20"/>
              </w:rPr>
              <w:t>2018-04-09</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64A204F7" w:rsidR="009C6869" w:rsidRDefault="00C93C23" w:rsidP="00894852">
            <w:pPr>
              <w:pStyle w:val="T2"/>
              <w:spacing w:after="0"/>
              <w:ind w:left="0" w:right="0"/>
              <w:rPr>
                <w:b w:val="0"/>
                <w:sz w:val="20"/>
              </w:rPr>
            </w:pPr>
            <w:r>
              <w:rPr>
                <w:b w:val="0"/>
                <w:sz w:val="20"/>
              </w:rPr>
              <w:t>Mark Hamilton</w:t>
            </w:r>
          </w:p>
        </w:tc>
        <w:tc>
          <w:tcPr>
            <w:tcW w:w="2126" w:type="dxa"/>
            <w:vAlign w:val="center"/>
          </w:tcPr>
          <w:p w14:paraId="588A44CF" w14:textId="2608AFEC" w:rsidR="009C6869" w:rsidRDefault="00C93C23" w:rsidP="00894852">
            <w:pPr>
              <w:pStyle w:val="T2"/>
              <w:spacing w:after="0"/>
              <w:ind w:left="0" w:right="0"/>
              <w:rPr>
                <w:b w:val="0"/>
                <w:sz w:val="20"/>
              </w:rPr>
            </w:pPr>
            <w:r>
              <w:rPr>
                <w:b w:val="0"/>
                <w:sz w:val="20"/>
              </w:rPr>
              <w:t>Ruckus/</w:t>
            </w:r>
            <w:r w:rsidR="002070E8">
              <w:rPr>
                <w:b w:val="0"/>
                <w:sz w:val="20"/>
              </w:rPr>
              <w:t>ARRIS</w:t>
            </w:r>
          </w:p>
        </w:tc>
        <w:tc>
          <w:tcPr>
            <w:tcW w:w="2420" w:type="dxa"/>
            <w:vAlign w:val="center"/>
          </w:tcPr>
          <w:p w14:paraId="0D80B03E" w14:textId="77777777" w:rsidR="009C6869" w:rsidRDefault="00C93C23" w:rsidP="00894852">
            <w:pPr>
              <w:pStyle w:val="T2"/>
              <w:spacing w:after="0"/>
              <w:ind w:left="0" w:right="0"/>
              <w:rPr>
                <w:b w:val="0"/>
                <w:sz w:val="20"/>
              </w:rPr>
            </w:pPr>
            <w:r>
              <w:rPr>
                <w:b w:val="0"/>
                <w:sz w:val="20"/>
              </w:rPr>
              <w:t>350 W Java Dr</w:t>
            </w:r>
          </w:p>
          <w:p w14:paraId="4B7EAEC3" w14:textId="19208E1B" w:rsidR="00C93C23" w:rsidRDefault="00C93C23" w:rsidP="00894852">
            <w:pPr>
              <w:pStyle w:val="T2"/>
              <w:spacing w:after="0"/>
              <w:ind w:left="0" w:right="0"/>
              <w:rPr>
                <w:b w:val="0"/>
                <w:sz w:val="20"/>
              </w:rPr>
            </w:pPr>
            <w:r>
              <w:rPr>
                <w:b w:val="0"/>
                <w:sz w:val="20"/>
              </w:rPr>
              <w:t>Sunnyvale, CA 94089</w:t>
            </w:r>
          </w:p>
        </w:tc>
        <w:tc>
          <w:tcPr>
            <w:tcW w:w="1715" w:type="dxa"/>
            <w:vAlign w:val="center"/>
          </w:tcPr>
          <w:p w14:paraId="56034874" w14:textId="44704A39" w:rsidR="009C6869" w:rsidRDefault="00C93C23" w:rsidP="00894852">
            <w:pPr>
              <w:pStyle w:val="T2"/>
              <w:spacing w:after="0"/>
              <w:ind w:left="0" w:right="0"/>
              <w:rPr>
                <w:b w:val="0"/>
                <w:sz w:val="20"/>
              </w:rPr>
            </w:pPr>
            <w:r>
              <w:rPr>
                <w:b w:val="0"/>
                <w:sz w:val="20"/>
              </w:rPr>
              <w:t>+1.303.818.8472</w:t>
            </w:r>
          </w:p>
        </w:tc>
        <w:tc>
          <w:tcPr>
            <w:tcW w:w="1647" w:type="dxa"/>
            <w:vAlign w:val="center"/>
          </w:tcPr>
          <w:p w14:paraId="56FF6D45" w14:textId="138400C5" w:rsidR="009C6869" w:rsidRDefault="00C93C23" w:rsidP="00894852">
            <w:pPr>
              <w:pStyle w:val="T2"/>
              <w:spacing w:after="0"/>
              <w:ind w:left="0" w:right="0"/>
              <w:rPr>
                <w:b w:val="0"/>
                <w:sz w:val="16"/>
              </w:rPr>
            </w:pPr>
            <w:r>
              <w:rPr>
                <w:b w:val="0"/>
                <w:sz w:val="16"/>
              </w:rPr>
              <w:t>mark.hamtilon2152@gmail.com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E742A2" w:rsidRDefault="00E742A2">
                            <w:pPr>
                              <w:pStyle w:val="T1"/>
                              <w:spacing w:after="120"/>
                            </w:pPr>
                            <w:r>
                              <w:t>Abstract</w:t>
                            </w:r>
                          </w:p>
                          <w:p w14:paraId="1C3BCE3F" w14:textId="77777777" w:rsidR="00E742A2" w:rsidRDefault="00E742A2" w:rsidP="00083FE0">
                            <w:pPr>
                              <w:jc w:val="both"/>
                            </w:pPr>
                          </w:p>
                          <w:p w14:paraId="4C4DB0CB" w14:textId="61E31764" w:rsidR="00E742A2" w:rsidRDefault="00E742A2" w:rsidP="003D4DE9">
                            <w:r>
                              <w:t xml:space="preserve">This submission contains comments on </w:t>
                            </w:r>
                            <w:proofErr w:type="spellStart"/>
                            <w:r>
                              <w:t>REVmd</w:t>
                            </w:r>
                            <w:proofErr w:type="spellEnd"/>
                            <w:r>
                              <w:t xml:space="preserve"> LB 232, assigned to Mark Hamilton</w:t>
                            </w:r>
                            <w:r w:rsidR="003D4DE9">
                              <w:t xml:space="preserve"> for preparation of proposed resolutions</w:t>
                            </w:r>
                            <w:r w:rsidR="004A4E87">
                              <w:t>.</w:t>
                            </w:r>
                          </w:p>
                          <w:p w14:paraId="2F94801A" w14:textId="2D193E6C" w:rsidR="00E742A2" w:rsidRDefault="00E742A2" w:rsidP="00083FE0">
                            <w:pPr>
                              <w:jc w:val="both"/>
                            </w:pPr>
                          </w:p>
                          <w:p w14:paraId="3C7C8D20" w14:textId="76D5A191" w:rsidR="00E742A2" w:rsidRDefault="00E742A2" w:rsidP="00083FE0">
                            <w:pPr>
                              <w:jc w:val="both"/>
                            </w:pPr>
                            <w:r>
                              <w:t xml:space="preserve">The first section contains comments with proposed resolutions ready for review or discussion by </w:t>
                            </w:r>
                            <w:proofErr w:type="spellStart"/>
                            <w:r>
                              <w:t>TGmd</w:t>
                            </w:r>
                            <w:proofErr w:type="spellEnd"/>
                            <w:r>
                              <w:t>.  The latter sections are com</w:t>
                            </w:r>
                            <w:bookmarkStart w:id="0" w:name="_GoBack"/>
                            <w:bookmarkEnd w:id="0"/>
                            <w:r>
                              <w:t>ments not ready for discussion yet, or already completed.</w:t>
                            </w:r>
                          </w:p>
                          <w:p w14:paraId="3A97AE21" w14:textId="77777777" w:rsidR="00E742A2" w:rsidRDefault="00E742A2" w:rsidP="006832AA">
                            <w:pPr>
                              <w:jc w:val="both"/>
                            </w:pPr>
                          </w:p>
                          <w:p w14:paraId="366971AF" w14:textId="77777777" w:rsidR="00E742A2" w:rsidRDefault="00E742A2" w:rsidP="006832AA">
                            <w:pPr>
                              <w:jc w:val="both"/>
                            </w:pPr>
                          </w:p>
                          <w:p w14:paraId="4E9EE86F" w14:textId="2E111C3D" w:rsidR="00E742A2" w:rsidRDefault="00E742A2">
                            <w:pPr>
                              <w:jc w:val="both"/>
                            </w:pPr>
                            <w:r>
                              <w:t>R0 – initial version</w:t>
                            </w:r>
                            <w:r w:rsidR="004A4E87">
                              <w:t xml:space="preserve">.  CIDs ready for </w:t>
                            </w:r>
                            <w:proofErr w:type="spellStart"/>
                            <w:r w:rsidR="004A4E87">
                              <w:t>TGmd</w:t>
                            </w:r>
                            <w:proofErr w:type="spellEnd"/>
                            <w:r w:rsidR="004A4E87">
                              <w:t xml:space="preserve"> review: 1398, 1425, 1381, 1382, 1390.</w:t>
                            </w:r>
                          </w:p>
                          <w:p w14:paraId="2B3A8594" w14:textId="6E4F362C" w:rsidR="00E742A2" w:rsidRDefault="00E742A2" w:rsidP="002070E8">
                            <w:pPr>
                              <w:jc w:val="both"/>
                            </w:pPr>
                            <w:r>
                              <w:t>R1 –</w:t>
                            </w:r>
                          </w:p>
                          <w:p w14:paraId="7AE22839" w14:textId="01981660" w:rsidR="00E742A2" w:rsidRDefault="00E742A2" w:rsidP="000F5627">
                            <w:pPr>
                              <w:jc w:val="both"/>
                            </w:pPr>
                            <w:r>
                              <w:t>.</w:t>
                            </w:r>
                          </w:p>
                          <w:p w14:paraId="48490256" w14:textId="4A889140" w:rsidR="00E742A2" w:rsidRDefault="00E742A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E742A2" w:rsidRDefault="00E742A2">
                      <w:pPr>
                        <w:pStyle w:val="T1"/>
                        <w:spacing w:after="120"/>
                      </w:pPr>
                      <w:r>
                        <w:t>Abstract</w:t>
                      </w:r>
                    </w:p>
                    <w:p w14:paraId="1C3BCE3F" w14:textId="77777777" w:rsidR="00E742A2" w:rsidRDefault="00E742A2" w:rsidP="00083FE0">
                      <w:pPr>
                        <w:jc w:val="both"/>
                      </w:pPr>
                    </w:p>
                    <w:p w14:paraId="4C4DB0CB" w14:textId="61E31764" w:rsidR="00E742A2" w:rsidRDefault="00E742A2" w:rsidP="003D4DE9">
                      <w:r>
                        <w:t xml:space="preserve">This submission contains comments on </w:t>
                      </w:r>
                      <w:proofErr w:type="spellStart"/>
                      <w:r>
                        <w:t>REVmd</w:t>
                      </w:r>
                      <w:proofErr w:type="spellEnd"/>
                      <w:r>
                        <w:t xml:space="preserve"> LB 232, assigned to Mark Hamilton</w:t>
                      </w:r>
                      <w:r w:rsidR="003D4DE9">
                        <w:t xml:space="preserve"> for preparation of proposed resolutions</w:t>
                      </w:r>
                      <w:r w:rsidR="004A4E87">
                        <w:t>.</w:t>
                      </w:r>
                    </w:p>
                    <w:p w14:paraId="2F94801A" w14:textId="2D193E6C" w:rsidR="00E742A2" w:rsidRDefault="00E742A2" w:rsidP="00083FE0">
                      <w:pPr>
                        <w:jc w:val="both"/>
                      </w:pPr>
                    </w:p>
                    <w:p w14:paraId="3C7C8D20" w14:textId="76D5A191" w:rsidR="00E742A2" w:rsidRDefault="00E742A2" w:rsidP="00083FE0">
                      <w:pPr>
                        <w:jc w:val="both"/>
                      </w:pPr>
                      <w:r>
                        <w:t xml:space="preserve">The first section contains comments with proposed resolutions ready for review or discussion by </w:t>
                      </w:r>
                      <w:proofErr w:type="spellStart"/>
                      <w:r>
                        <w:t>TGmd</w:t>
                      </w:r>
                      <w:proofErr w:type="spellEnd"/>
                      <w:r>
                        <w:t>.  The latter sections are com</w:t>
                      </w:r>
                      <w:bookmarkStart w:id="1" w:name="_GoBack"/>
                      <w:bookmarkEnd w:id="1"/>
                      <w:r>
                        <w:t>ments not ready for discussion yet, or already completed.</w:t>
                      </w:r>
                    </w:p>
                    <w:p w14:paraId="3A97AE21" w14:textId="77777777" w:rsidR="00E742A2" w:rsidRDefault="00E742A2" w:rsidP="006832AA">
                      <w:pPr>
                        <w:jc w:val="both"/>
                      </w:pPr>
                    </w:p>
                    <w:p w14:paraId="366971AF" w14:textId="77777777" w:rsidR="00E742A2" w:rsidRDefault="00E742A2" w:rsidP="006832AA">
                      <w:pPr>
                        <w:jc w:val="both"/>
                      </w:pPr>
                    </w:p>
                    <w:p w14:paraId="4E9EE86F" w14:textId="2E111C3D" w:rsidR="00E742A2" w:rsidRDefault="00E742A2">
                      <w:pPr>
                        <w:jc w:val="both"/>
                      </w:pPr>
                      <w:r>
                        <w:t>R0 – initial version</w:t>
                      </w:r>
                      <w:r w:rsidR="004A4E87">
                        <w:t xml:space="preserve">.  CIDs ready for </w:t>
                      </w:r>
                      <w:proofErr w:type="spellStart"/>
                      <w:r w:rsidR="004A4E87">
                        <w:t>TGmd</w:t>
                      </w:r>
                      <w:proofErr w:type="spellEnd"/>
                      <w:r w:rsidR="004A4E87">
                        <w:t xml:space="preserve"> review: 1398, 1425, 1381, 1382, 1390.</w:t>
                      </w:r>
                    </w:p>
                    <w:p w14:paraId="2B3A8594" w14:textId="6E4F362C" w:rsidR="00E742A2" w:rsidRDefault="00E742A2" w:rsidP="002070E8">
                      <w:pPr>
                        <w:jc w:val="both"/>
                      </w:pPr>
                      <w:r>
                        <w:t>R1 –</w:t>
                      </w:r>
                    </w:p>
                    <w:p w14:paraId="7AE22839" w14:textId="01981660" w:rsidR="00E742A2" w:rsidRDefault="00E742A2" w:rsidP="000F5627">
                      <w:pPr>
                        <w:jc w:val="both"/>
                      </w:pPr>
                      <w:r>
                        <w:t>.</w:t>
                      </w:r>
                    </w:p>
                    <w:p w14:paraId="48490256" w14:textId="4A889140" w:rsidR="00E742A2" w:rsidRDefault="00E742A2">
                      <w:pPr>
                        <w:jc w:val="both"/>
                      </w:pPr>
                    </w:p>
                  </w:txbxContent>
                </v:textbox>
              </v:shape>
            </w:pict>
          </mc:Fallback>
        </mc:AlternateContent>
      </w:r>
    </w:p>
    <w:p w14:paraId="541E20A5" w14:textId="77777777" w:rsidR="00CA09B2" w:rsidRDefault="00CA09B2">
      <w:r>
        <w:br w:type="page"/>
      </w:r>
    </w:p>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0F51719D" w14:textId="77777777" w:rsidTr="007837C2">
        <w:trPr>
          <w:trHeight w:val="524"/>
        </w:trPr>
        <w:tc>
          <w:tcPr>
            <w:tcW w:w="738" w:type="dxa"/>
            <w:hideMark/>
          </w:tcPr>
          <w:p w14:paraId="22055129" w14:textId="77777777" w:rsidR="007837C2" w:rsidRPr="007837C2" w:rsidRDefault="007837C2" w:rsidP="00E742A2">
            <w:pPr>
              <w:autoSpaceDE w:val="0"/>
              <w:autoSpaceDN w:val="0"/>
              <w:adjustRightInd w:val="0"/>
              <w:rPr>
                <w:rFonts w:ascii="Arial" w:hAnsi="Arial" w:cs="Arial"/>
                <w:b/>
                <w:bCs/>
                <w:sz w:val="20"/>
                <w:lang w:eastAsia="ja-JP" w:bidi="he-IL"/>
              </w:rPr>
            </w:pPr>
            <w:r w:rsidRPr="007837C2">
              <w:rPr>
                <w:rFonts w:ascii="Arial" w:hAnsi="Arial" w:cs="Arial"/>
                <w:b/>
                <w:bCs/>
                <w:sz w:val="20"/>
                <w:lang w:eastAsia="ja-JP" w:bidi="he-IL"/>
              </w:rPr>
              <w:lastRenderedPageBreak/>
              <w:t>CID</w:t>
            </w:r>
          </w:p>
        </w:tc>
        <w:tc>
          <w:tcPr>
            <w:tcW w:w="990" w:type="dxa"/>
            <w:hideMark/>
          </w:tcPr>
          <w:p w14:paraId="0CD343C5" w14:textId="77777777" w:rsidR="007837C2" w:rsidRPr="007837C2" w:rsidRDefault="007837C2" w:rsidP="00E742A2">
            <w:pPr>
              <w:autoSpaceDE w:val="0"/>
              <w:autoSpaceDN w:val="0"/>
              <w:adjustRightInd w:val="0"/>
              <w:rPr>
                <w:rFonts w:ascii="Arial" w:hAnsi="Arial" w:cs="Arial"/>
                <w:b/>
                <w:bCs/>
                <w:sz w:val="20"/>
                <w:lang w:eastAsia="ja-JP" w:bidi="he-IL"/>
              </w:rPr>
            </w:pPr>
            <w:r w:rsidRPr="007837C2">
              <w:rPr>
                <w:rFonts w:ascii="Arial" w:hAnsi="Arial" w:cs="Arial"/>
                <w:b/>
                <w:bCs/>
                <w:sz w:val="20"/>
                <w:lang w:eastAsia="ja-JP" w:bidi="he-IL"/>
              </w:rPr>
              <w:t>Page</w:t>
            </w:r>
          </w:p>
        </w:tc>
        <w:tc>
          <w:tcPr>
            <w:tcW w:w="630" w:type="dxa"/>
            <w:hideMark/>
          </w:tcPr>
          <w:p w14:paraId="1FDB9FB4" w14:textId="77777777" w:rsidR="007837C2" w:rsidRPr="007837C2" w:rsidRDefault="007837C2" w:rsidP="00E742A2">
            <w:pPr>
              <w:autoSpaceDE w:val="0"/>
              <w:autoSpaceDN w:val="0"/>
              <w:adjustRightInd w:val="0"/>
              <w:rPr>
                <w:rFonts w:ascii="Arial" w:hAnsi="Arial" w:cs="Arial"/>
                <w:b/>
                <w:bCs/>
                <w:sz w:val="20"/>
                <w:lang w:eastAsia="ja-JP" w:bidi="he-IL"/>
              </w:rPr>
            </w:pPr>
            <w:r w:rsidRPr="007837C2">
              <w:rPr>
                <w:rFonts w:ascii="Arial" w:hAnsi="Arial" w:cs="Arial"/>
                <w:b/>
                <w:bCs/>
                <w:sz w:val="20"/>
                <w:lang w:eastAsia="ja-JP" w:bidi="he-IL"/>
              </w:rPr>
              <w:t>Line</w:t>
            </w:r>
          </w:p>
        </w:tc>
        <w:tc>
          <w:tcPr>
            <w:tcW w:w="1080" w:type="dxa"/>
            <w:hideMark/>
          </w:tcPr>
          <w:p w14:paraId="478A8CA4" w14:textId="77777777" w:rsidR="007837C2" w:rsidRPr="007837C2" w:rsidRDefault="007837C2" w:rsidP="00E742A2">
            <w:pPr>
              <w:autoSpaceDE w:val="0"/>
              <w:autoSpaceDN w:val="0"/>
              <w:adjustRightInd w:val="0"/>
              <w:rPr>
                <w:rFonts w:ascii="Arial" w:hAnsi="Arial" w:cs="Arial"/>
                <w:b/>
                <w:bCs/>
                <w:sz w:val="20"/>
                <w:lang w:eastAsia="ja-JP" w:bidi="he-IL"/>
              </w:rPr>
            </w:pPr>
            <w:r w:rsidRPr="007837C2">
              <w:rPr>
                <w:rFonts w:ascii="Arial" w:hAnsi="Arial" w:cs="Arial"/>
                <w:b/>
                <w:bCs/>
                <w:sz w:val="20"/>
                <w:lang w:eastAsia="ja-JP" w:bidi="he-IL"/>
              </w:rPr>
              <w:t>Clause</w:t>
            </w:r>
          </w:p>
        </w:tc>
        <w:tc>
          <w:tcPr>
            <w:tcW w:w="1260" w:type="dxa"/>
            <w:hideMark/>
          </w:tcPr>
          <w:p w14:paraId="675F02A2" w14:textId="77777777" w:rsidR="007837C2" w:rsidRPr="007837C2" w:rsidRDefault="007837C2" w:rsidP="00E742A2">
            <w:pPr>
              <w:autoSpaceDE w:val="0"/>
              <w:autoSpaceDN w:val="0"/>
              <w:adjustRightInd w:val="0"/>
              <w:rPr>
                <w:rFonts w:ascii="Arial" w:hAnsi="Arial" w:cs="Arial"/>
                <w:b/>
                <w:bCs/>
                <w:sz w:val="20"/>
                <w:lang w:eastAsia="ja-JP" w:bidi="he-IL"/>
              </w:rPr>
            </w:pPr>
            <w:r w:rsidRPr="007837C2">
              <w:rPr>
                <w:rFonts w:ascii="Arial" w:hAnsi="Arial" w:cs="Arial"/>
                <w:b/>
                <w:bCs/>
                <w:sz w:val="20"/>
                <w:lang w:eastAsia="ja-JP" w:bidi="he-IL"/>
              </w:rPr>
              <w:t>Submission</w:t>
            </w:r>
          </w:p>
        </w:tc>
        <w:tc>
          <w:tcPr>
            <w:tcW w:w="2880" w:type="dxa"/>
            <w:hideMark/>
          </w:tcPr>
          <w:p w14:paraId="48B5701B" w14:textId="77777777" w:rsidR="007837C2" w:rsidRPr="007837C2" w:rsidRDefault="007837C2" w:rsidP="00E742A2">
            <w:pPr>
              <w:autoSpaceDE w:val="0"/>
              <w:autoSpaceDN w:val="0"/>
              <w:adjustRightInd w:val="0"/>
              <w:rPr>
                <w:rFonts w:ascii="Arial" w:hAnsi="Arial" w:cs="Arial"/>
                <w:b/>
                <w:bCs/>
                <w:sz w:val="20"/>
                <w:lang w:eastAsia="ja-JP" w:bidi="he-IL"/>
              </w:rPr>
            </w:pPr>
            <w:r w:rsidRPr="007837C2">
              <w:rPr>
                <w:rFonts w:ascii="Arial" w:hAnsi="Arial" w:cs="Arial"/>
                <w:b/>
                <w:bCs/>
                <w:sz w:val="20"/>
                <w:lang w:eastAsia="ja-JP" w:bidi="he-IL"/>
              </w:rPr>
              <w:t>Comment</w:t>
            </w:r>
          </w:p>
        </w:tc>
        <w:tc>
          <w:tcPr>
            <w:tcW w:w="2724" w:type="dxa"/>
            <w:hideMark/>
          </w:tcPr>
          <w:p w14:paraId="739AA8FA" w14:textId="77777777" w:rsidR="007837C2" w:rsidRPr="007837C2" w:rsidRDefault="007837C2" w:rsidP="00E742A2">
            <w:pPr>
              <w:autoSpaceDE w:val="0"/>
              <w:autoSpaceDN w:val="0"/>
              <w:adjustRightInd w:val="0"/>
              <w:rPr>
                <w:rFonts w:ascii="Arial" w:hAnsi="Arial" w:cs="Arial"/>
                <w:b/>
                <w:bCs/>
                <w:sz w:val="20"/>
                <w:lang w:eastAsia="ja-JP" w:bidi="he-IL"/>
              </w:rPr>
            </w:pPr>
            <w:r w:rsidRPr="007837C2">
              <w:rPr>
                <w:rFonts w:ascii="Arial" w:hAnsi="Arial" w:cs="Arial"/>
                <w:b/>
                <w:bCs/>
                <w:sz w:val="20"/>
                <w:lang w:eastAsia="ja-JP" w:bidi="he-IL"/>
              </w:rPr>
              <w:t>Proposed Change</w:t>
            </w:r>
          </w:p>
        </w:tc>
      </w:tr>
      <w:tr w:rsidR="007837C2" w:rsidRPr="007837C2" w14:paraId="6F4ECCBC" w14:textId="77777777" w:rsidTr="007837C2">
        <w:trPr>
          <w:trHeight w:val="803"/>
        </w:trPr>
        <w:tc>
          <w:tcPr>
            <w:tcW w:w="738" w:type="dxa"/>
            <w:hideMark/>
          </w:tcPr>
          <w:p w14:paraId="42805200"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1398</w:t>
            </w:r>
          </w:p>
        </w:tc>
        <w:tc>
          <w:tcPr>
            <w:tcW w:w="990" w:type="dxa"/>
            <w:hideMark/>
          </w:tcPr>
          <w:p w14:paraId="4D4BDA33"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2281.10</w:t>
            </w:r>
          </w:p>
        </w:tc>
        <w:tc>
          <w:tcPr>
            <w:tcW w:w="630" w:type="dxa"/>
            <w:hideMark/>
          </w:tcPr>
          <w:p w14:paraId="71FEA56D"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10</w:t>
            </w:r>
          </w:p>
        </w:tc>
        <w:tc>
          <w:tcPr>
            <w:tcW w:w="1080" w:type="dxa"/>
            <w:hideMark/>
          </w:tcPr>
          <w:p w14:paraId="511D2AB3"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11.4</w:t>
            </w:r>
          </w:p>
        </w:tc>
        <w:tc>
          <w:tcPr>
            <w:tcW w:w="1260" w:type="dxa"/>
            <w:hideMark/>
          </w:tcPr>
          <w:p w14:paraId="633C1BC3"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289A521B"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"Notify Channel Width frames and elements are used to" -- no such element</w:t>
            </w:r>
          </w:p>
        </w:tc>
        <w:tc>
          <w:tcPr>
            <w:tcW w:w="2724" w:type="dxa"/>
            <w:hideMark/>
          </w:tcPr>
          <w:p w14:paraId="434CAB27"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Delete "and elements" in the cited text at the referenced location</w:t>
            </w:r>
          </w:p>
        </w:tc>
      </w:tr>
    </w:tbl>
    <w:p w14:paraId="335ABE6A" w14:textId="12F26355" w:rsidR="00FB2AB1" w:rsidRDefault="00FB2AB1"/>
    <w:p w14:paraId="77D97D15" w14:textId="59D4463F" w:rsidR="003E6F6E" w:rsidRPr="003E6F6E" w:rsidRDefault="003E6F6E">
      <w:pPr>
        <w:rPr>
          <w:u w:val="single"/>
        </w:rPr>
      </w:pPr>
      <w:r w:rsidRPr="003E6F6E">
        <w:rPr>
          <w:u w:val="single"/>
        </w:rPr>
        <w:t>Discussion:</w:t>
      </w:r>
    </w:p>
    <w:p w14:paraId="3F97B461" w14:textId="77777777" w:rsidR="003E6F6E" w:rsidRDefault="003E6F6E"/>
    <w:p w14:paraId="0B3738AC" w14:textId="177A34D9" w:rsidR="003E6F6E" w:rsidRDefault="003E6F6E">
      <w:r w:rsidRPr="003E6F6E">
        <w:rPr>
          <w:noProof/>
          <w:bdr w:val="single" w:sz="4" w:space="0" w:color="auto"/>
        </w:rPr>
        <w:drawing>
          <wp:inline distT="0" distB="0" distL="0" distR="0" wp14:anchorId="3E705270" wp14:editId="13311B59">
            <wp:extent cx="6395085" cy="5609590"/>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5085" cy="5609590"/>
                    </a:xfrm>
                    <a:prstGeom prst="rect">
                      <a:avLst/>
                    </a:prstGeom>
                    <a:noFill/>
                    <a:ln>
                      <a:noFill/>
                    </a:ln>
                  </pic:spPr>
                </pic:pic>
              </a:graphicData>
            </a:graphic>
          </wp:inline>
        </w:drawing>
      </w:r>
    </w:p>
    <w:p w14:paraId="464A1437" w14:textId="75AB7BC1" w:rsidR="003E6F6E" w:rsidRDefault="003E6F6E"/>
    <w:p w14:paraId="4EB7A38F" w14:textId="1A58FF65" w:rsidR="003E6F6E" w:rsidRDefault="003E6F6E">
      <w:r>
        <w:t xml:space="preserve">The commenter is correct, there is no such element.  Perhaps this meant to </w:t>
      </w:r>
      <w:proofErr w:type="gramStart"/>
      <w:r>
        <w:t>say</w:t>
      </w:r>
      <w:proofErr w:type="gramEnd"/>
      <w:r>
        <w:t xml:space="preserve"> “Notify Channel Width frames and the contained Channel Width field”?  In any regard, it seems superfluous.  </w:t>
      </w:r>
    </w:p>
    <w:p w14:paraId="634A95B7" w14:textId="00B5492C" w:rsidR="003E6F6E" w:rsidRDefault="003E6F6E"/>
    <w:p w14:paraId="28B93DC5" w14:textId="57947614" w:rsidR="003E6F6E" w:rsidRPr="003E6F6E" w:rsidRDefault="003E6F6E">
      <w:pPr>
        <w:rPr>
          <w:u w:val="single"/>
        </w:rPr>
      </w:pPr>
      <w:r w:rsidRPr="00F14F25">
        <w:rPr>
          <w:highlight w:val="yellow"/>
          <w:u w:val="single"/>
        </w:rPr>
        <w:t>Proposed Resolution:</w:t>
      </w:r>
    </w:p>
    <w:p w14:paraId="623B87FE" w14:textId="77777777" w:rsidR="003E6F6E" w:rsidRDefault="003E6F6E"/>
    <w:p w14:paraId="45C4C84B" w14:textId="170332B7" w:rsidR="003E6F6E" w:rsidRDefault="003E6F6E">
      <w:r>
        <w:t>Accepted.</w:t>
      </w:r>
    </w:p>
    <w:p w14:paraId="70BD43BC" w14:textId="4293F7CA" w:rsidR="00F14F25" w:rsidRDefault="00F14F25"/>
    <w:p w14:paraId="4195DBB8" w14:textId="4068EA26" w:rsidR="00F14F25" w:rsidRDefault="00F14F25">
      <w:r>
        <w:t>Editor: note that the clause number is 11.40.</w:t>
      </w:r>
    </w:p>
    <w:p w14:paraId="6FB464E9" w14:textId="0F1A5B83" w:rsidR="0084094B" w:rsidRDefault="0084094B">
      <w:r>
        <w:br w:type="page"/>
      </w:r>
    </w:p>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7C1D5B74" w14:textId="77777777" w:rsidTr="007837C2">
        <w:trPr>
          <w:trHeight w:val="1785"/>
        </w:trPr>
        <w:tc>
          <w:tcPr>
            <w:tcW w:w="738" w:type="dxa"/>
            <w:hideMark/>
          </w:tcPr>
          <w:p w14:paraId="3D1132C5"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lastRenderedPageBreak/>
              <w:t>1425</w:t>
            </w:r>
          </w:p>
        </w:tc>
        <w:tc>
          <w:tcPr>
            <w:tcW w:w="990" w:type="dxa"/>
            <w:hideMark/>
          </w:tcPr>
          <w:p w14:paraId="46BBADD8"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1592.15</w:t>
            </w:r>
          </w:p>
        </w:tc>
        <w:tc>
          <w:tcPr>
            <w:tcW w:w="630" w:type="dxa"/>
            <w:hideMark/>
          </w:tcPr>
          <w:p w14:paraId="290905D8"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15</w:t>
            </w:r>
          </w:p>
        </w:tc>
        <w:tc>
          <w:tcPr>
            <w:tcW w:w="1080" w:type="dxa"/>
            <w:hideMark/>
          </w:tcPr>
          <w:p w14:paraId="5A320928"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10.3.2.10</w:t>
            </w:r>
          </w:p>
        </w:tc>
        <w:tc>
          <w:tcPr>
            <w:tcW w:w="1260" w:type="dxa"/>
            <w:hideMark/>
          </w:tcPr>
          <w:p w14:paraId="110B0276"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7627A0A6"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 xml:space="preserve">"A non-AP STA shall not transmit an Ack or </w:t>
            </w:r>
            <w:proofErr w:type="spellStart"/>
            <w:r w:rsidRPr="007837C2">
              <w:rPr>
                <w:rFonts w:ascii="Arial" w:hAnsi="Arial" w:cs="Arial"/>
                <w:sz w:val="20"/>
                <w:lang w:eastAsia="ja-JP" w:bidi="he-IL"/>
              </w:rPr>
              <w:t>BlockAck</w:t>
            </w:r>
            <w:proofErr w:type="spellEnd"/>
            <w:r w:rsidRPr="007837C2">
              <w:rPr>
                <w:rFonts w:ascii="Arial" w:hAnsi="Arial" w:cs="Arial"/>
                <w:sz w:val="20"/>
                <w:lang w:eastAsia="ja-JP" w:bidi="he-IL"/>
              </w:rPr>
              <w:t xml:space="preserve"> frame in response to a group addressed frame." -- an AP shouldn't ack group-addressed frames (i.e. RA = group) either</w:t>
            </w:r>
          </w:p>
        </w:tc>
        <w:tc>
          <w:tcPr>
            <w:tcW w:w="2724" w:type="dxa"/>
            <w:hideMark/>
          </w:tcPr>
          <w:p w14:paraId="694AF81D"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Delete "non-AP" in the cited text at the referenced location</w:t>
            </w:r>
          </w:p>
        </w:tc>
      </w:tr>
    </w:tbl>
    <w:p w14:paraId="2B3D364C" w14:textId="4581F6AC" w:rsidR="003E6F6E" w:rsidRDefault="003E6F6E"/>
    <w:p w14:paraId="25E101EC" w14:textId="0BB343EE" w:rsidR="00F14F25" w:rsidRPr="00F14F25" w:rsidRDefault="00F14F25">
      <w:pPr>
        <w:rPr>
          <w:u w:val="single"/>
        </w:rPr>
      </w:pPr>
      <w:r w:rsidRPr="00F14F25">
        <w:rPr>
          <w:u w:val="single"/>
        </w:rPr>
        <w:t>Discussion:</w:t>
      </w:r>
    </w:p>
    <w:p w14:paraId="7741C57E" w14:textId="0C2162E3" w:rsidR="00F14F25" w:rsidRDefault="00F14F25"/>
    <w:p w14:paraId="77DB614C" w14:textId="5FF8BAE0" w:rsidR="00F14F25" w:rsidRDefault="00F14F25">
      <w:r w:rsidRPr="00F14F25">
        <w:rPr>
          <w:noProof/>
          <w:bdr w:val="single" w:sz="4" w:space="0" w:color="auto"/>
        </w:rPr>
        <w:drawing>
          <wp:inline distT="0" distB="0" distL="0" distR="0" wp14:anchorId="37B82881" wp14:editId="06504CBB">
            <wp:extent cx="6395085" cy="1131570"/>
            <wp:effectExtent l="0" t="0" r="571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5085" cy="1131570"/>
                    </a:xfrm>
                    <a:prstGeom prst="rect">
                      <a:avLst/>
                    </a:prstGeom>
                    <a:noFill/>
                    <a:ln>
                      <a:noFill/>
                    </a:ln>
                  </pic:spPr>
                </pic:pic>
              </a:graphicData>
            </a:graphic>
          </wp:inline>
        </w:drawing>
      </w:r>
    </w:p>
    <w:p w14:paraId="64261497" w14:textId="77BA5945" w:rsidR="00F14F25" w:rsidRDefault="00F14F25"/>
    <w:p w14:paraId="42FFB20A" w14:textId="463F68C3" w:rsidR="00F14F25" w:rsidRDefault="00F14F25">
      <w:r>
        <w:t>It seems, from the following NOTE, that the intention is that an AP should never receive a group addressed frame (only group addressed MSDUs in individually addressed frames), so the response rule</w:t>
      </w:r>
      <w:r w:rsidR="0084094B">
        <w:t>s for an AP are moot.  Additionally, the filtering rules for Address 1 filtering should prevent an AP from passing any group addressed frame up the stack (to be acknowledged) as the dot11GroupAddressesTable should be null on an AP.  From 10.2.7:</w:t>
      </w:r>
    </w:p>
    <w:p w14:paraId="09A2D24A" w14:textId="43EC284B" w:rsidR="0084094B" w:rsidRDefault="0084094B"/>
    <w:p w14:paraId="55D2927F" w14:textId="2EA5C742" w:rsidR="0084094B" w:rsidRDefault="0084094B">
      <w:r w:rsidRPr="0084094B">
        <w:rPr>
          <w:noProof/>
          <w:bdr w:val="single" w:sz="4" w:space="0" w:color="auto"/>
        </w:rPr>
        <w:drawing>
          <wp:inline distT="0" distB="0" distL="0" distR="0" wp14:anchorId="4CE565A1" wp14:editId="38E1E9FF">
            <wp:extent cx="6400800" cy="12604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260475"/>
                    </a:xfrm>
                    <a:prstGeom prst="rect">
                      <a:avLst/>
                    </a:prstGeom>
                    <a:noFill/>
                    <a:ln>
                      <a:noFill/>
                    </a:ln>
                  </pic:spPr>
                </pic:pic>
              </a:graphicData>
            </a:graphic>
          </wp:inline>
        </w:drawing>
      </w:r>
    </w:p>
    <w:p w14:paraId="28D9F75C" w14:textId="6AF9D0AA" w:rsidR="0084094B" w:rsidRDefault="0084094B"/>
    <w:p w14:paraId="0CC70279" w14:textId="2B269F1E" w:rsidR="0084094B" w:rsidRDefault="0084094B">
      <w:r>
        <w:t>All that said, it doesn’t hurt to state that this rule applies to APs also, and does simply the sentence.</w:t>
      </w:r>
    </w:p>
    <w:p w14:paraId="03B2FC1F" w14:textId="1F5338BA" w:rsidR="0084094B" w:rsidRDefault="0084094B"/>
    <w:p w14:paraId="56B3F948" w14:textId="415ECF44" w:rsidR="0084094B" w:rsidRDefault="0084094B">
      <w:r w:rsidRPr="0084094B">
        <w:rPr>
          <w:highlight w:val="yellow"/>
          <w:u w:val="single"/>
        </w:rPr>
        <w:t>Proposed Resolution:</w:t>
      </w:r>
    </w:p>
    <w:p w14:paraId="6D424854" w14:textId="5110E441" w:rsidR="0084094B" w:rsidRDefault="0084094B"/>
    <w:p w14:paraId="10117319" w14:textId="20949260" w:rsidR="0084094B" w:rsidRDefault="0084094B">
      <w:r w:rsidRPr="0084094B">
        <w:t>Accepted.</w:t>
      </w:r>
    </w:p>
    <w:p w14:paraId="7EC037E0" w14:textId="620D4277" w:rsidR="00ED3CA2" w:rsidRDefault="00ED3CA2">
      <w:r>
        <w:br w:type="page"/>
      </w:r>
    </w:p>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47AF5EEA" w14:textId="77777777" w:rsidTr="007837C2">
        <w:trPr>
          <w:trHeight w:val="2550"/>
        </w:trPr>
        <w:tc>
          <w:tcPr>
            <w:tcW w:w="738" w:type="dxa"/>
            <w:hideMark/>
          </w:tcPr>
          <w:p w14:paraId="0D4A7910"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lastRenderedPageBreak/>
              <w:t>1381</w:t>
            </w:r>
          </w:p>
        </w:tc>
        <w:tc>
          <w:tcPr>
            <w:tcW w:w="990" w:type="dxa"/>
            <w:hideMark/>
          </w:tcPr>
          <w:p w14:paraId="79202C40"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2170.40</w:t>
            </w:r>
          </w:p>
        </w:tc>
        <w:tc>
          <w:tcPr>
            <w:tcW w:w="630" w:type="dxa"/>
            <w:hideMark/>
          </w:tcPr>
          <w:p w14:paraId="624E982C"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40</w:t>
            </w:r>
          </w:p>
        </w:tc>
        <w:tc>
          <w:tcPr>
            <w:tcW w:w="1080" w:type="dxa"/>
            <w:hideMark/>
          </w:tcPr>
          <w:p w14:paraId="7C30B2D0"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11.22.7.1</w:t>
            </w:r>
          </w:p>
        </w:tc>
        <w:tc>
          <w:tcPr>
            <w:tcW w:w="1260" w:type="dxa"/>
            <w:hideMark/>
          </w:tcPr>
          <w:p w14:paraId="7C3780E3"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77761F66"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w:t>
            </w:r>
            <w:proofErr w:type="gramStart"/>
            <w:r w:rsidRPr="007837C2">
              <w:rPr>
                <w:rFonts w:ascii="Arial" w:hAnsi="Arial" w:cs="Arial"/>
                <w:sz w:val="20"/>
                <w:lang w:eastAsia="ja-JP" w:bidi="he-IL"/>
              </w:rPr>
              <w:t>A  STA</w:t>
            </w:r>
            <w:proofErr w:type="gramEnd"/>
            <w:r w:rsidRPr="007837C2">
              <w:rPr>
                <w:rFonts w:ascii="Arial" w:hAnsi="Arial" w:cs="Arial"/>
                <w:sz w:val="20"/>
                <w:lang w:eastAsia="ja-JP" w:bidi="he-IL"/>
              </w:rPr>
              <w:br/>
            </w:r>
            <w:r w:rsidRPr="007837C2">
              <w:rPr>
                <w:rFonts w:ascii="Arial" w:hAnsi="Arial" w:cs="Arial"/>
                <w:sz w:val="20"/>
                <w:lang w:eastAsia="ja-JP" w:bidi="he-IL"/>
              </w:rPr>
              <w:br/>
              <w:t>whose dot11BSSTransitionActivated is true shall support BSS transition management and shall set to 1 the</w:t>
            </w:r>
            <w:r w:rsidRPr="007837C2">
              <w:rPr>
                <w:rFonts w:ascii="Arial" w:hAnsi="Arial" w:cs="Arial"/>
                <w:sz w:val="20"/>
                <w:lang w:eastAsia="ja-JP" w:bidi="he-IL"/>
              </w:rPr>
              <w:br/>
            </w:r>
            <w:r w:rsidRPr="007837C2">
              <w:rPr>
                <w:rFonts w:ascii="Arial" w:hAnsi="Arial" w:cs="Arial"/>
                <w:sz w:val="20"/>
                <w:lang w:eastAsia="ja-JP" w:bidi="he-IL"/>
              </w:rPr>
              <w:br/>
              <w:t>Transition field of the Extended Capabilities elements that it transmits" -- no such field</w:t>
            </w:r>
          </w:p>
        </w:tc>
        <w:tc>
          <w:tcPr>
            <w:tcW w:w="2724" w:type="dxa"/>
            <w:hideMark/>
          </w:tcPr>
          <w:p w14:paraId="099F849E"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In the cited text at the referenced location change "Transition" to "BSS Transition"</w:t>
            </w:r>
          </w:p>
        </w:tc>
      </w:tr>
    </w:tbl>
    <w:p w14:paraId="21EA127E" w14:textId="62C3E3EE" w:rsidR="00FD405F" w:rsidRDefault="00FD405F"/>
    <w:p w14:paraId="100C0B7D" w14:textId="4374154C" w:rsidR="00FD405F" w:rsidRPr="00FD405F" w:rsidRDefault="00FD405F">
      <w:pPr>
        <w:rPr>
          <w:u w:val="single"/>
        </w:rPr>
      </w:pPr>
      <w:r w:rsidRPr="00FD405F">
        <w:rPr>
          <w:u w:val="single"/>
        </w:rPr>
        <w:t>Discussion:</w:t>
      </w:r>
    </w:p>
    <w:p w14:paraId="5761CAAB" w14:textId="7B65D698" w:rsidR="00FD405F" w:rsidRDefault="00FD405F"/>
    <w:p w14:paraId="0CE68653" w14:textId="1A10CBC3" w:rsidR="00FD405F" w:rsidRDefault="00FD405F">
      <w:r w:rsidRPr="00FD405F">
        <w:rPr>
          <w:noProof/>
          <w:bdr w:val="single" w:sz="4" w:space="0" w:color="auto"/>
        </w:rPr>
        <w:drawing>
          <wp:inline distT="0" distB="0" distL="0" distR="0" wp14:anchorId="1165A566" wp14:editId="0386FE52">
            <wp:extent cx="6400800" cy="849630"/>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849630"/>
                    </a:xfrm>
                    <a:prstGeom prst="rect">
                      <a:avLst/>
                    </a:prstGeom>
                    <a:noFill/>
                    <a:ln>
                      <a:noFill/>
                    </a:ln>
                  </pic:spPr>
                </pic:pic>
              </a:graphicData>
            </a:graphic>
          </wp:inline>
        </w:drawing>
      </w:r>
    </w:p>
    <w:p w14:paraId="6470861F" w14:textId="77777777" w:rsidR="00FD405F" w:rsidRDefault="00FD405F"/>
    <w:p w14:paraId="24AD718D" w14:textId="1FEA555D" w:rsidR="00FD405F" w:rsidRDefault="00FD405F">
      <w:r>
        <w:t xml:space="preserve">Per the definition of the Extended </w:t>
      </w:r>
      <w:proofErr w:type="spellStart"/>
      <w:r>
        <w:t>Capabilites</w:t>
      </w:r>
      <w:proofErr w:type="spellEnd"/>
      <w:r>
        <w:t xml:space="preserve"> field:</w:t>
      </w:r>
    </w:p>
    <w:p w14:paraId="665B6E8C" w14:textId="6FB262D6" w:rsidR="00FD405F" w:rsidRDefault="00FD405F">
      <w:r>
        <w:rPr>
          <w:noProof/>
        </w:rPr>
        <w:drawing>
          <wp:inline distT="0" distB="0" distL="0" distR="0" wp14:anchorId="25347613" wp14:editId="5FF92711">
            <wp:extent cx="6400800" cy="9791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979170"/>
                    </a:xfrm>
                    <a:prstGeom prst="rect">
                      <a:avLst/>
                    </a:prstGeom>
                    <a:noFill/>
                    <a:ln>
                      <a:noFill/>
                    </a:ln>
                  </pic:spPr>
                </pic:pic>
              </a:graphicData>
            </a:graphic>
          </wp:inline>
        </w:drawing>
      </w:r>
    </w:p>
    <w:p w14:paraId="6939F449" w14:textId="77777777" w:rsidR="00FD405F" w:rsidRDefault="00FD405F"/>
    <w:p w14:paraId="2986AD98" w14:textId="32D67B03" w:rsidR="00FD405F" w:rsidRDefault="00FD405F">
      <w:proofErr w:type="spellStart"/>
      <w:r>
        <w:t>Bit</w:t>
      </w:r>
      <w:proofErr w:type="spellEnd"/>
      <w:r>
        <w:t xml:space="preserve"> 19 is in fact called “BSS Transition”.</w:t>
      </w:r>
    </w:p>
    <w:p w14:paraId="24F7E891" w14:textId="77777777" w:rsidR="00FD405F" w:rsidRDefault="00FD405F"/>
    <w:p w14:paraId="75B36555" w14:textId="7C70E83D" w:rsidR="00FD405F" w:rsidRDefault="00FD405F">
      <w:r>
        <w:rPr>
          <w:noProof/>
        </w:rPr>
        <w:drawing>
          <wp:inline distT="0" distB="0" distL="0" distR="0" wp14:anchorId="03121ECD" wp14:editId="3939E0C6">
            <wp:extent cx="6406515" cy="7620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6515" cy="762000"/>
                    </a:xfrm>
                    <a:prstGeom prst="rect">
                      <a:avLst/>
                    </a:prstGeom>
                    <a:noFill/>
                    <a:ln>
                      <a:noFill/>
                    </a:ln>
                  </pic:spPr>
                </pic:pic>
              </a:graphicData>
            </a:graphic>
          </wp:inline>
        </w:drawing>
      </w:r>
    </w:p>
    <w:p w14:paraId="1976B820" w14:textId="0B88BB87" w:rsidR="00FD405F" w:rsidRDefault="00FD405F"/>
    <w:p w14:paraId="178EF234" w14:textId="2BC6E930" w:rsidR="00FD405F" w:rsidRPr="003E7E62" w:rsidRDefault="00FD405F">
      <w:pPr>
        <w:rPr>
          <w:u w:val="single"/>
        </w:rPr>
      </w:pPr>
      <w:r w:rsidRPr="003E7E62">
        <w:rPr>
          <w:highlight w:val="yellow"/>
          <w:u w:val="single"/>
        </w:rPr>
        <w:t>Proposed Resolution:</w:t>
      </w:r>
    </w:p>
    <w:p w14:paraId="08EC8ECA" w14:textId="599980C3" w:rsidR="00FD405F" w:rsidRDefault="00FD405F"/>
    <w:p w14:paraId="70ED9D9E" w14:textId="249CC72A" w:rsidR="00FD405F" w:rsidRDefault="00FD405F">
      <w:r>
        <w:t>Accepted.</w:t>
      </w:r>
    </w:p>
    <w:p w14:paraId="2D9157F9" w14:textId="4DE605BF" w:rsidR="00FD405F" w:rsidRDefault="00FD405F">
      <w:r>
        <w:br w:type="page"/>
      </w:r>
    </w:p>
    <w:p w14:paraId="0C775AB7" w14:textId="77777777" w:rsidR="00FD405F" w:rsidRDefault="00FD405F"/>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5586D015" w14:textId="77777777" w:rsidTr="007837C2">
        <w:trPr>
          <w:trHeight w:val="2805"/>
        </w:trPr>
        <w:tc>
          <w:tcPr>
            <w:tcW w:w="738" w:type="dxa"/>
            <w:hideMark/>
          </w:tcPr>
          <w:p w14:paraId="2DD915B8"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1382</w:t>
            </w:r>
          </w:p>
        </w:tc>
        <w:tc>
          <w:tcPr>
            <w:tcW w:w="990" w:type="dxa"/>
            <w:hideMark/>
          </w:tcPr>
          <w:p w14:paraId="37E97A37"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2170.40</w:t>
            </w:r>
          </w:p>
        </w:tc>
        <w:tc>
          <w:tcPr>
            <w:tcW w:w="630" w:type="dxa"/>
            <w:hideMark/>
          </w:tcPr>
          <w:p w14:paraId="13025FC8"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40</w:t>
            </w:r>
          </w:p>
        </w:tc>
        <w:tc>
          <w:tcPr>
            <w:tcW w:w="1080" w:type="dxa"/>
            <w:hideMark/>
          </w:tcPr>
          <w:p w14:paraId="5D21404A"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11.22.7.1</w:t>
            </w:r>
          </w:p>
        </w:tc>
        <w:tc>
          <w:tcPr>
            <w:tcW w:w="1260" w:type="dxa"/>
            <w:hideMark/>
          </w:tcPr>
          <w:p w14:paraId="15831F09"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56DF6FB2"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w:t>
            </w:r>
            <w:proofErr w:type="gramStart"/>
            <w:r w:rsidRPr="007837C2">
              <w:rPr>
                <w:rFonts w:ascii="Arial" w:hAnsi="Arial" w:cs="Arial"/>
                <w:sz w:val="20"/>
                <w:lang w:eastAsia="ja-JP" w:bidi="he-IL"/>
              </w:rPr>
              <w:t>A  STA</w:t>
            </w:r>
            <w:proofErr w:type="gramEnd"/>
            <w:r w:rsidRPr="007837C2">
              <w:rPr>
                <w:rFonts w:ascii="Arial" w:hAnsi="Arial" w:cs="Arial"/>
                <w:sz w:val="20"/>
                <w:lang w:eastAsia="ja-JP" w:bidi="he-IL"/>
              </w:rPr>
              <w:br/>
            </w:r>
            <w:r w:rsidRPr="007837C2">
              <w:rPr>
                <w:rFonts w:ascii="Arial" w:hAnsi="Arial" w:cs="Arial"/>
                <w:sz w:val="20"/>
                <w:lang w:eastAsia="ja-JP" w:bidi="he-IL"/>
              </w:rPr>
              <w:br/>
              <w:t>whose dot11BSSTransitionActivated is true shall support BSS transition management and shall set to 1 the</w:t>
            </w:r>
            <w:r w:rsidRPr="007837C2">
              <w:rPr>
                <w:rFonts w:ascii="Arial" w:hAnsi="Arial" w:cs="Arial"/>
                <w:sz w:val="20"/>
                <w:lang w:eastAsia="ja-JP" w:bidi="he-IL"/>
              </w:rPr>
              <w:br/>
            </w:r>
            <w:r w:rsidRPr="007837C2">
              <w:rPr>
                <w:rFonts w:ascii="Arial" w:hAnsi="Arial" w:cs="Arial"/>
                <w:sz w:val="20"/>
                <w:lang w:eastAsia="ja-JP" w:bidi="he-IL"/>
              </w:rPr>
              <w:br/>
              <w:t>Transition field of the Extended Capabilities elements that it transmits" -- should also have implemented set to true</w:t>
            </w:r>
          </w:p>
        </w:tc>
        <w:tc>
          <w:tcPr>
            <w:tcW w:w="2724" w:type="dxa"/>
            <w:hideMark/>
          </w:tcPr>
          <w:p w14:paraId="54CCF2AE"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In the cited text at the referenced location add "shall have dot11BSSTransitionImplemented set to true," after "is true"</w:t>
            </w:r>
          </w:p>
        </w:tc>
      </w:tr>
    </w:tbl>
    <w:p w14:paraId="3A0FF3C3" w14:textId="4605C791" w:rsidR="003E6F6E" w:rsidRDefault="003E6F6E"/>
    <w:p w14:paraId="66C5D1E0" w14:textId="61EAF1C2" w:rsidR="00FD405F" w:rsidRPr="00FD405F" w:rsidRDefault="00FD405F">
      <w:pPr>
        <w:rPr>
          <w:u w:val="single"/>
        </w:rPr>
      </w:pPr>
      <w:r w:rsidRPr="00FD405F">
        <w:rPr>
          <w:u w:val="single"/>
        </w:rPr>
        <w:t>Discussion:</w:t>
      </w:r>
    </w:p>
    <w:p w14:paraId="0D466E50" w14:textId="7B38DB72" w:rsidR="005718D6" w:rsidRDefault="005718D6">
      <w:pPr>
        <w:rPr>
          <w:u w:val="single"/>
        </w:rPr>
      </w:pPr>
    </w:p>
    <w:p w14:paraId="4F479BA0" w14:textId="77777777" w:rsidR="005718D6" w:rsidRPr="005718D6" w:rsidRDefault="005718D6">
      <w:pPr>
        <w:rPr>
          <w:u w:val="single"/>
        </w:rPr>
      </w:pPr>
    </w:p>
    <w:p w14:paraId="02B07AB9" w14:textId="2367EBDB" w:rsidR="00FD405F" w:rsidRPr="00FD405F" w:rsidRDefault="00FD405F">
      <w:r w:rsidRPr="00FD405F">
        <w:rPr>
          <w:noProof/>
          <w:bdr w:val="single" w:sz="4" w:space="0" w:color="auto"/>
        </w:rPr>
        <w:drawing>
          <wp:inline distT="0" distB="0" distL="0" distR="0" wp14:anchorId="78053BF2" wp14:editId="1FECF25B">
            <wp:extent cx="6400800" cy="84963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849630"/>
                    </a:xfrm>
                    <a:prstGeom prst="rect">
                      <a:avLst/>
                    </a:prstGeom>
                    <a:noFill/>
                    <a:ln>
                      <a:noFill/>
                    </a:ln>
                  </pic:spPr>
                </pic:pic>
              </a:graphicData>
            </a:graphic>
          </wp:inline>
        </w:drawing>
      </w:r>
    </w:p>
    <w:p w14:paraId="64CFFD82" w14:textId="09A6B184" w:rsidR="00FD405F" w:rsidRDefault="00FD405F"/>
    <w:p w14:paraId="5AF4BCE3" w14:textId="40576D36" w:rsidR="00FD405F" w:rsidRDefault="005718D6">
      <w:r>
        <w:t xml:space="preserve">While logically both do need to be true, also, logically, there is no way </w:t>
      </w:r>
      <w:r w:rsidRPr="005718D6">
        <w:t>dot11BSSTransitionActivated</w:t>
      </w:r>
      <w:r>
        <w:t xml:space="preserve"> could be true if the feature were not implemented, hence </w:t>
      </w:r>
      <w:r w:rsidRPr="005718D6">
        <w:t>dot11BSSTransitionImplemented</w:t>
      </w:r>
      <w:r>
        <w:t xml:space="preserve"> must be true without needing to state so.</w:t>
      </w:r>
    </w:p>
    <w:p w14:paraId="75057553" w14:textId="6BD2FEC7" w:rsidR="005718D6" w:rsidRDefault="005718D6"/>
    <w:p w14:paraId="18850D1C" w14:textId="02E17593" w:rsidR="005718D6" w:rsidRPr="003E7E62" w:rsidRDefault="005718D6">
      <w:pPr>
        <w:rPr>
          <w:u w:val="single"/>
        </w:rPr>
      </w:pPr>
      <w:r w:rsidRPr="003E7E62">
        <w:rPr>
          <w:highlight w:val="yellow"/>
          <w:u w:val="single"/>
        </w:rPr>
        <w:t>Proposed Resolution:</w:t>
      </w:r>
    </w:p>
    <w:p w14:paraId="1E683237" w14:textId="7C339F0E" w:rsidR="005718D6" w:rsidRDefault="005718D6"/>
    <w:p w14:paraId="430FB620" w14:textId="46208F9B" w:rsidR="005718D6" w:rsidRDefault="005718D6" w:rsidP="005718D6">
      <w:r>
        <w:t xml:space="preserve">Rejected.  For </w:t>
      </w:r>
      <w:r w:rsidRPr="005718D6">
        <w:t>dot11BSSTransitionActivated</w:t>
      </w:r>
      <w:r>
        <w:t xml:space="preserve"> </w:t>
      </w:r>
      <w:r>
        <w:t xml:space="preserve">to be true, logically, </w:t>
      </w:r>
      <w:r w:rsidRPr="005718D6">
        <w:t>dot11BSSTransitionImplemented</w:t>
      </w:r>
      <w:r>
        <w:t xml:space="preserve"> must </w:t>
      </w:r>
      <w:r>
        <w:t xml:space="preserve">also </w:t>
      </w:r>
      <w:r>
        <w:t>be true without needing to state so.</w:t>
      </w:r>
    </w:p>
    <w:p w14:paraId="6369E86D" w14:textId="19EA7B68" w:rsidR="005718D6" w:rsidRDefault="005718D6"/>
    <w:p w14:paraId="05C79C8C" w14:textId="6BD44FEB" w:rsidR="005718D6" w:rsidRDefault="005718D6">
      <w:r>
        <w:br w:type="page"/>
      </w:r>
    </w:p>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2C6A3EA2" w14:textId="77777777" w:rsidTr="007837C2">
        <w:trPr>
          <w:trHeight w:val="2805"/>
        </w:trPr>
        <w:tc>
          <w:tcPr>
            <w:tcW w:w="738" w:type="dxa"/>
            <w:hideMark/>
          </w:tcPr>
          <w:p w14:paraId="2FE98B6C"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lastRenderedPageBreak/>
              <w:t>1390</w:t>
            </w:r>
          </w:p>
        </w:tc>
        <w:tc>
          <w:tcPr>
            <w:tcW w:w="990" w:type="dxa"/>
            <w:hideMark/>
          </w:tcPr>
          <w:p w14:paraId="7B929AA8"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1063.46</w:t>
            </w:r>
          </w:p>
        </w:tc>
        <w:tc>
          <w:tcPr>
            <w:tcW w:w="630" w:type="dxa"/>
            <w:hideMark/>
          </w:tcPr>
          <w:p w14:paraId="42442168"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46</w:t>
            </w:r>
          </w:p>
        </w:tc>
        <w:tc>
          <w:tcPr>
            <w:tcW w:w="1080" w:type="dxa"/>
            <w:hideMark/>
          </w:tcPr>
          <w:p w14:paraId="4AC26EB8"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9.4.2.36</w:t>
            </w:r>
          </w:p>
        </w:tc>
        <w:tc>
          <w:tcPr>
            <w:tcW w:w="1260" w:type="dxa"/>
            <w:hideMark/>
          </w:tcPr>
          <w:p w14:paraId="67BA83D6"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09F0D81A"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w:t>
            </w:r>
            <w:proofErr w:type="gramStart"/>
            <w:r w:rsidRPr="007837C2">
              <w:rPr>
                <w:rFonts w:ascii="Arial" w:hAnsi="Arial" w:cs="Arial"/>
                <w:sz w:val="20"/>
                <w:lang w:eastAsia="ja-JP" w:bidi="he-IL"/>
              </w:rPr>
              <w:t>The  Measurement</w:t>
            </w:r>
            <w:proofErr w:type="gramEnd"/>
            <w:r w:rsidRPr="007837C2">
              <w:rPr>
                <w:rFonts w:ascii="Arial" w:hAnsi="Arial" w:cs="Arial"/>
                <w:sz w:val="20"/>
                <w:lang w:eastAsia="ja-JP" w:bidi="he-IL"/>
              </w:rPr>
              <w:t xml:space="preserve">  Pilot  Transmission  subelement  has  the  same  format  as  the  Measurement  Pilot Transmission element (see 9.4.2.42 (Measurement Pilot Transmission element)). The Measurement Pilot Interval subelement is not included if" -- last Interval should be Transmission</w:t>
            </w:r>
          </w:p>
        </w:tc>
        <w:tc>
          <w:tcPr>
            <w:tcW w:w="2724" w:type="dxa"/>
            <w:hideMark/>
          </w:tcPr>
          <w:p w14:paraId="779F115E"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Change "Interval" to "Transmission" in the cited text at the referenced location</w:t>
            </w:r>
          </w:p>
        </w:tc>
      </w:tr>
    </w:tbl>
    <w:p w14:paraId="54ADB19F" w14:textId="6086A397" w:rsidR="003E6F6E" w:rsidRDefault="003E6F6E"/>
    <w:p w14:paraId="283EC75A" w14:textId="06615BC6" w:rsidR="003E7E62" w:rsidRPr="003E7E62" w:rsidRDefault="003E7E62">
      <w:pPr>
        <w:rPr>
          <w:u w:val="single"/>
        </w:rPr>
      </w:pPr>
      <w:r w:rsidRPr="003E7E62">
        <w:rPr>
          <w:u w:val="single"/>
        </w:rPr>
        <w:t>Discussion:</w:t>
      </w:r>
    </w:p>
    <w:p w14:paraId="600A7778" w14:textId="2A8C5E3F" w:rsidR="003E7E62" w:rsidRDefault="003E7E62"/>
    <w:p w14:paraId="660858BF" w14:textId="74B97517" w:rsidR="003E7E62" w:rsidRDefault="003E7E62">
      <w:r w:rsidRPr="003E7E62">
        <w:rPr>
          <w:noProof/>
          <w:bdr w:val="single" w:sz="4" w:space="0" w:color="auto"/>
        </w:rPr>
        <w:drawing>
          <wp:inline distT="0" distB="0" distL="0" distR="0" wp14:anchorId="1AB17685" wp14:editId="0ABD31FC">
            <wp:extent cx="6395085" cy="662305"/>
            <wp:effectExtent l="0" t="0" r="5715"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95085" cy="662305"/>
                    </a:xfrm>
                    <a:prstGeom prst="rect">
                      <a:avLst/>
                    </a:prstGeom>
                    <a:noFill/>
                    <a:ln>
                      <a:noFill/>
                    </a:ln>
                  </pic:spPr>
                </pic:pic>
              </a:graphicData>
            </a:graphic>
          </wp:inline>
        </w:drawing>
      </w:r>
    </w:p>
    <w:p w14:paraId="09CDE194" w14:textId="66A2D361" w:rsidR="003E7E62" w:rsidRDefault="003E7E62"/>
    <w:p w14:paraId="0F941685" w14:textId="0F51B12D" w:rsidR="003E7E62" w:rsidRDefault="003E7E62">
      <w:r>
        <w:t>Agree with commenter.</w:t>
      </w:r>
    </w:p>
    <w:p w14:paraId="4C06B96E" w14:textId="3C7B56BA" w:rsidR="003E7E62" w:rsidRDefault="003E7E62"/>
    <w:p w14:paraId="62BB0100" w14:textId="2B046E88" w:rsidR="003E7E62" w:rsidRPr="003E7E62" w:rsidRDefault="003E7E62">
      <w:pPr>
        <w:rPr>
          <w:u w:val="single"/>
        </w:rPr>
      </w:pPr>
      <w:r w:rsidRPr="003E7E62">
        <w:rPr>
          <w:highlight w:val="yellow"/>
          <w:u w:val="single"/>
        </w:rPr>
        <w:t>Proposed Resolution:</w:t>
      </w:r>
    </w:p>
    <w:p w14:paraId="641113DF" w14:textId="2AABB617" w:rsidR="003E7E62" w:rsidRDefault="003E7E62"/>
    <w:p w14:paraId="18754735" w14:textId="45EADE79" w:rsidR="003E7E62" w:rsidRDefault="003E7E62">
      <w:r>
        <w:t>Accepted.</w:t>
      </w:r>
    </w:p>
    <w:p w14:paraId="5E65A730" w14:textId="77777777" w:rsidR="003E7E62" w:rsidRDefault="003E7E62"/>
    <w:p w14:paraId="19CE98D5" w14:textId="0337976B" w:rsidR="003E7E62" w:rsidRDefault="003E7E62">
      <w:r>
        <w:br w:type="page"/>
      </w:r>
    </w:p>
    <w:p w14:paraId="06B88AC3" w14:textId="42058434" w:rsidR="00675E47" w:rsidRPr="004A4E87" w:rsidRDefault="00675E47">
      <w:pPr>
        <w:rPr>
          <w:b/>
          <w:sz w:val="40"/>
        </w:rPr>
      </w:pPr>
      <w:r w:rsidRPr="004A4E87">
        <w:rPr>
          <w:b/>
          <w:sz w:val="40"/>
        </w:rPr>
        <w:lastRenderedPageBreak/>
        <w:t>Not ready for review, yet:</w:t>
      </w:r>
    </w:p>
    <w:p w14:paraId="68AD98E1" w14:textId="77777777" w:rsidR="00675E47" w:rsidRDefault="00675E47"/>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6FADA8A2" w14:textId="77777777" w:rsidTr="007837C2">
        <w:trPr>
          <w:trHeight w:val="3060"/>
        </w:trPr>
        <w:tc>
          <w:tcPr>
            <w:tcW w:w="738" w:type="dxa"/>
            <w:hideMark/>
          </w:tcPr>
          <w:p w14:paraId="02F18D85"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1394</w:t>
            </w:r>
          </w:p>
        </w:tc>
        <w:tc>
          <w:tcPr>
            <w:tcW w:w="990" w:type="dxa"/>
            <w:hideMark/>
          </w:tcPr>
          <w:p w14:paraId="51DAE906"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1337.37</w:t>
            </w:r>
          </w:p>
        </w:tc>
        <w:tc>
          <w:tcPr>
            <w:tcW w:w="630" w:type="dxa"/>
            <w:hideMark/>
          </w:tcPr>
          <w:p w14:paraId="562A707B"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37</w:t>
            </w:r>
          </w:p>
        </w:tc>
        <w:tc>
          <w:tcPr>
            <w:tcW w:w="1080" w:type="dxa"/>
            <w:hideMark/>
          </w:tcPr>
          <w:p w14:paraId="352A0EB4"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9.4.3</w:t>
            </w:r>
          </w:p>
        </w:tc>
        <w:tc>
          <w:tcPr>
            <w:tcW w:w="1260" w:type="dxa"/>
            <w:hideMark/>
          </w:tcPr>
          <w:p w14:paraId="784F2351"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2C755B34"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All the statements of the form "The $blah field contains zero or more subelements. The subelement format and ordering of</w:t>
            </w:r>
            <w:r w:rsidRPr="007837C2">
              <w:rPr>
                <w:rFonts w:ascii="Arial" w:hAnsi="Arial" w:cs="Arial"/>
                <w:sz w:val="20"/>
                <w:lang w:eastAsia="ja-JP" w:bidi="he-IL"/>
              </w:rPr>
              <w:br/>
            </w:r>
            <w:r w:rsidRPr="007837C2">
              <w:rPr>
                <w:rFonts w:ascii="Arial" w:hAnsi="Arial" w:cs="Arial"/>
                <w:sz w:val="20"/>
                <w:lang w:eastAsia="ja-JP" w:bidi="he-IL"/>
              </w:rPr>
              <w:br/>
              <w:t>subelements are defined in 9.4.3 (Subelements)." are unclear as to whether you can have more than one subelement with the same Subelement ID</w:t>
            </w:r>
          </w:p>
        </w:tc>
        <w:tc>
          <w:tcPr>
            <w:tcW w:w="2724" w:type="dxa"/>
            <w:hideMark/>
          </w:tcPr>
          <w:p w14:paraId="2D389B61"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Add a para at the end of 9.4.3: "Unless stated otherwise, no more than one subelement with the same Subelement ID is present within an element."</w:t>
            </w:r>
          </w:p>
        </w:tc>
      </w:tr>
    </w:tbl>
    <w:p w14:paraId="2860C9E0" w14:textId="77777777" w:rsidR="003E6F6E" w:rsidRDefault="003E6F6E"/>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0FA39BBD" w14:textId="77777777" w:rsidTr="007837C2">
        <w:trPr>
          <w:trHeight w:val="2805"/>
        </w:trPr>
        <w:tc>
          <w:tcPr>
            <w:tcW w:w="738" w:type="dxa"/>
            <w:hideMark/>
          </w:tcPr>
          <w:p w14:paraId="742B4B3B"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1369</w:t>
            </w:r>
          </w:p>
        </w:tc>
        <w:tc>
          <w:tcPr>
            <w:tcW w:w="990" w:type="dxa"/>
            <w:hideMark/>
          </w:tcPr>
          <w:p w14:paraId="1299EEEF"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1964.60</w:t>
            </w:r>
          </w:p>
        </w:tc>
        <w:tc>
          <w:tcPr>
            <w:tcW w:w="630" w:type="dxa"/>
            <w:hideMark/>
          </w:tcPr>
          <w:p w14:paraId="366FFFD8"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60</w:t>
            </w:r>
          </w:p>
        </w:tc>
        <w:tc>
          <w:tcPr>
            <w:tcW w:w="1080" w:type="dxa"/>
            <w:hideMark/>
          </w:tcPr>
          <w:p w14:paraId="01B6E414"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11.1.7</w:t>
            </w:r>
          </w:p>
        </w:tc>
        <w:tc>
          <w:tcPr>
            <w:tcW w:w="1260" w:type="dxa"/>
            <w:hideMark/>
          </w:tcPr>
          <w:p w14:paraId="1D2F09AA"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01E9A349" w14:textId="77777777" w:rsidR="007837C2" w:rsidRPr="007837C2" w:rsidRDefault="007837C2" w:rsidP="00E742A2">
            <w:pPr>
              <w:autoSpaceDE w:val="0"/>
              <w:autoSpaceDN w:val="0"/>
              <w:adjustRightInd w:val="0"/>
              <w:rPr>
                <w:rFonts w:ascii="Arial" w:hAnsi="Arial" w:cs="Arial"/>
                <w:sz w:val="20"/>
                <w:lang w:eastAsia="ja-JP" w:bidi="he-IL"/>
              </w:rPr>
            </w:pPr>
            <w:proofErr w:type="gramStart"/>
            <w:r w:rsidRPr="007837C2">
              <w:rPr>
                <w:rFonts w:ascii="Arial" w:hAnsi="Arial" w:cs="Arial"/>
                <w:sz w:val="20"/>
                <w:lang w:eastAsia="ja-JP" w:bidi="he-IL"/>
              </w:rPr>
              <w:t>11.1.4.6  Operation</w:t>
            </w:r>
            <w:proofErr w:type="gramEnd"/>
            <w:r w:rsidRPr="007837C2">
              <w:rPr>
                <w:rFonts w:ascii="Arial" w:hAnsi="Arial" w:cs="Arial"/>
                <w:sz w:val="20"/>
                <w:lang w:eastAsia="ja-JP" w:bidi="he-IL"/>
              </w:rPr>
              <w:t xml:space="preserve"> of Supported Rates and BSS Membership Selectors element and</w:t>
            </w:r>
            <w:r w:rsidRPr="007837C2">
              <w:rPr>
                <w:rFonts w:ascii="Arial" w:hAnsi="Arial" w:cs="Arial"/>
                <w:sz w:val="20"/>
                <w:lang w:eastAsia="ja-JP" w:bidi="he-IL"/>
              </w:rPr>
              <w:br/>
            </w:r>
            <w:r w:rsidRPr="007837C2">
              <w:rPr>
                <w:rFonts w:ascii="Arial" w:hAnsi="Arial" w:cs="Arial"/>
                <w:sz w:val="20"/>
                <w:lang w:eastAsia="ja-JP" w:bidi="he-IL"/>
              </w:rPr>
              <w:br/>
              <w:t>Extended Supported Rates and BSS Membership Selectors element and 11.1.7 Supported rates and extended supported rates advertisement cover the same material</w:t>
            </w:r>
          </w:p>
        </w:tc>
        <w:tc>
          <w:tcPr>
            <w:tcW w:w="2724" w:type="dxa"/>
            <w:hideMark/>
          </w:tcPr>
          <w:p w14:paraId="7B29DA2B"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Delete Subclause 11.1.7</w:t>
            </w:r>
          </w:p>
        </w:tc>
      </w:tr>
    </w:tbl>
    <w:p w14:paraId="6D7A8DA8" w14:textId="77777777" w:rsidR="003E6F6E" w:rsidRDefault="003E6F6E"/>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431349D7" w14:textId="77777777" w:rsidTr="007837C2">
        <w:trPr>
          <w:trHeight w:val="2550"/>
        </w:trPr>
        <w:tc>
          <w:tcPr>
            <w:tcW w:w="738" w:type="dxa"/>
            <w:hideMark/>
          </w:tcPr>
          <w:p w14:paraId="129A4C4C"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1397</w:t>
            </w:r>
          </w:p>
        </w:tc>
        <w:tc>
          <w:tcPr>
            <w:tcW w:w="990" w:type="dxa"/>
            <w:hideMark/>
          </w:tcPr>
          <w:p w14:paraId="2C776EAB"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966.46</w:t>
            </w:r>
          </w:p>
        </w:tc>
        <w:tc>
          <w:tcPr>
            <w:tcW w:w="630" w:type="dxa"/>
            <w:hideMark/>
          </w:tcPr>
          <w:p w14:paraId="7CDD6877"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46</w:t>
            </w:r>
          </w:p>
        </w:tc>
        <w:tc>
          <w:tcPr>
            <w:tcW w:w="1080" w:type="dxa"/>
            <w:hideMark/>
          </w:tcPr>
          <w:p w14:paraId="54FD8EF8"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9.4.2.20.19</w:t>
            </w:r>
          </w:p>
        </w:tc>
        <w:tc>
          <w:tcPr>
            <w:tcW w:w="1260" w:type="dxa"/>
            <w:hideMark/>
          </w:tcPr>
          <w:p w14:paraId="626FC182"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0D544017"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 xml:space="preserve">"The Randomization Interval field specifies the upper bound of the random delay to be used prior to making the measurement, in units of TUs. See 11.11.3 (Measurement start time)." --- the </w:t>
            </w:r>
            <w:proofErr w:type="spellStart"/>
            <w:r w:rsidRPr="007837C2">
              <w:rPr>
                <w:rFonts w:ascii="Arial" w:hAnsi="Arial" w:cs="Arial"/>
                <w:sz w:val="20"/>
                <w:lang w:eastAsia="ja-JP" w:bidi="he-IL"/>
              </w:rPr>
              <w:t>xref</w:t>
            </w:r>
            <w:proofErr w:type="spellEnd"/>
            <w:r w:rsidRPr="007837C2">
              <w:rPr>
                <w:rFonts w:ascii="Arial" w:hAnsi="Arial" w:cs="Arial"/>
                <w:sz w:val="20"/>
                <w:lang w:eastAsia="ja-JP" w:bidi="he-IL"/>
              </w:rPr>
              <w:t xml:space="preserve"> is bogus as 11.11.3 is about radio measurement frames not FTM frames</w:t>
            </w:r>
          </w:p>
        </w:tc>
        <w:tc>
          <w:tcPr>
            <w:tcW w:w="2724" w:type="dxa"/>
            <w:hideMark/>
          </w:tcPr>
          <w:p w14:paraId="742B7ACF"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Delete "See 11.11.3 (Measurement start time)." in the cited text at the referenced location</w:t>
            </w:r>
          </w:p>
        </w:tc>
      </w:tr>
    </w:tbl>
    <w:p w14:paraId="7E8AA1B9" w14:textId="77777777" w:rsidR="003E6F6E" w:rsidRDefault="003E6F6E"/>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6ACB3F82" w14:textId="77777777" w:rsidTr="007837C2">
        <w:trPr>
          <w:trHeight w:val="2295"/>
        </w:trPr>
        <w:tc>
          <w:tcPr>
            <w:tcW w:w="738" w:type="dxa"/>
            <w:hideMark/>
          </w:tcPr>
          <w:p w14:paraId="560493A6"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1354</w:t>
            </w:r>
          </w:p>
        </w:tc>
        <w:tc>
          <w:tcPr>
            <w:tcW w:w="990" w:type="dxa"/>
            <w:hideMark/>
          </w:tcPr>
          <w:p w14:paraId="4060FDD0"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766.25</w:t>
            </w:r>
          </w:p>
        </w:tc>
        <w:tc>
          <w:tcPr>
            <w:tcW w:w="630" w:type="dxa"/>
            <w:hideMark/>
          </w:tcPr>
          <w:p w14:paraId="63F5EE1A"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25</w:t>
            </w:r>
          </w:p>
        </w:tc>
        <w:tc>
          <w:tcPr>
            <w:tcW w:w="1080" w:type="dxa"/>
            <w:hideMark/>
          </w:tcPr>
          <w:p w14:paraId="6CBC379B"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9.3.1.1</w:t>
            </w:r>
          </w:p>
        </w:tc>
        <w:tc>
          <w:tcPr>
            <w:tcW w:w="1260" w:type="dxa"/>
            <w:hideMark/>
          </w:tcPr>
          <w:p w14:paraId="00CCACA1"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7E90A888"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It is not very clear that Figure 9-22 normatively requires most FC subfields in Control frames to be 0</w:t>
            </w:r>
          </w:p>
        </w:tc>
        <w:tc>
          <w:tcPr>
            <w:tcW w:w="2724" w:type="dxa"/>
            <w:hideMark/>
          </w:tcPr>
          <w:p w14:paraId="0E9E5262"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Below the referenced figure add a "NOTE---The To DS, From DS, More Frag, Retry, Protected Frame and +HTC subfields in the Frame Control field within Control frames carried in a</w:t>
            </w:r>
            <w:r w:rsidRPr="007837C2">
              <w:rPr>
                <w:rFonts w:ascii="Arial" w:hAnsi="Arial" w:cs="Arial"/>
                <w:sz w:val="20"/>
                <w:lang w:eastAsia="ja-JP" w:bidi="he-IL"/>
              </w:rPr>
              <w:br/>
            </w:r>
            <w:r w:rsidRPr="007837C2">
              <w:rPr>
                <w:rFonts w:ascii="Arial" w:hAnsi="Arial" w:cs="Arial"/>
                <w:sz w:val="20"/>
                <w:lang w:eastAsia="ja-JP" w:bidi="he-IL"/>
              </w:rPr>
              <w:br/>
              <w:t>non-S1G PPDU are reserved."</w:t>
            </w:r>
          </w:p>
        </w:tc>
      </w:tr>
    </w:tbl>
    <w:p w14:paraId="627E2B1C" w14:textId="77777777" w:rsidR="003E6F6E" w:rsidRDefault="003E6F6E"/>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558CA10C" w14:textId="77777777" w:rsidTr="007837C2">
        <w:trPr>
          <w:trHeight w:val="1020"/>
        </w:trPr>
        <w:tc>
          <w:tcPr>
            <w:tcW w:w="738" w:type="dxa"/>
            <w:hideMark/>
          </w:tcPr>
          <w:p w14:paraId="12504A20"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1400</w:t>
            </w:r>
          </w:p>
        </w:tc>
        <w:tc>
          <w:tcPr>
            <w:tcW w:w="990" w:type="dxa"/>
            <w:hideMark/>
          </w:tcPr>
          <w:p w14:paraId="40FA4B8D"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2272.22</w:t>
            </w:r>
          </w:p>
        </w:tc>
        <w:tc>
          <w:tcPr>
            <w:tcW w:w="630" w:type="dxa"/>
            <w:hideMark/>
          </w:tcPr>
          <w:p w14:paraId="5D31374A"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22</w:t>
            </w:r>
          </w:p>
        </w:tc>
        <w:tc>
          <w:tcPr>
            <w:tcW w:w="1080" w:type="dxa"/>
            <w:hideMark/>
          </w:tcPr>
          <w:p w14:paraId="4422EE45"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11.38.1</w:t>
            </w:r>
          </w:p>
        </w:tc>
        <w:tc>
          <w:tcPr>
            <w:tcW w:w="1260" w:type="dxa"/>
            <w:hideMark/>
          </w:tcPr>
          <w:p w14:paraId="5AAACA47"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6EA0E290"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"the STA shall indicate support for MCSs 8(n-1) to 8(n-</w:t>
            </w:r>
            <w:proofErr w:type="gramStart"/>
            <w:r w:rsidRPr="007837C2">
              <w:rPr>
                <w:rFonts w:ascii="Arial" w:hAnsi="Arial" w:cs="Arial"/>
                <w:sz w:val="20"/>
                <w:lang w:eastAsia="ja-JP" w:bidi="he-IL"/>
              </w:rPr>
              <w:t>1)+</w:t>
            </w:r>
            <w:proofErr w:type="gramEnd"/>
            <w:r w:rsidRPr="007837C2">
              <w:rPr>
                <w:rFonts w:ascii="Arial" w:hAnsi="Arial" w:cs="Arial"/>
                <w:sz w:val="20"/>
                <w:lang w:eastAsia="ja-JP" w:bidi="he-IL"/>
              </w:rPr>
              <w:t>7" should be clearer as to what kind of MCS</w:t>
            </w:r>
          </w:p>
        </w:tc>
        <w:tc>
          <w:tcPr>
            <w:tcW w:w="2724" w:type="dxa"/>
            <w:hideMark/>
          </w:tcPr>
          <w:p w14:paraId="2D2091F8"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On lines 22 and 23 at the referenced page change "MCS" to "HT-MCS"</w:t>
            </w:r>
          </w:p>
        </w:tc>
      </w:tr>
    </w:tbl>
    <w:p w14:paraId="4300ADEF" w14:textId="77777777" w:rsidR="003E6F6E" w:rsidRDefault="003E6F6E"/>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167BECAB" w14:textId="77777777" w:rsidTr="007837C2">
        <w:trPr>
          <w:trHeight w:val="7395"/>
        </w:trPr>
        <w:tc>
          <w:tcPr>
            <w:tcW w:w="738" w:type="dxa"/>
            <w:hideMark/>
          </w:tcPr>
          <w:p w14:paraId="0F0B2DEB"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1401</w:t>
            </w:r>
          </w:p>
        </w:tc>
        <w:tc>
          <w:tcPr>
            <w:tcW w:w="990" w:type="dxa"/>
            <w:hideMark/>
          </w:tcPr>
          <w:p w14:paraId="6FAD048F"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1975.43</w:t>
            </w:r>
          </w:p>
        </w:tc>
        <w:tc>
          <w:tcPr>
            <w:tcW w:w="630" w:type="dxa"/>
            <w:hideMark/>
          </w:tcPr>
          <w:p w14:paraId="5B94DBA2"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43</w:t>
            </w:r>
          </w:p>
        </w:tc>
        <w:tc>
          <w:tcPr>
            <w:tcW w:w="1080" w:type="dxa"/>
            <w:hideMark/>
          </w:tcPr>
          <w:p w14:paraId="78BAAF17"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11.2.3.6</w:t>
            </w:r>
          </w:p>
        </w:tc>
        <w:tc>
          <w:tcPr>
            <w:tcW w:w="1260" w:type="dxa"/>
            <w:hideMark/>
          </w:tcPr>
          <w:p w14:paraId="5B940E08"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2C5EAE09"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w:t>
            </w:r>
            <w:proofErr w:type="gramStart"/>
            <w:r w:rsidRPr="007837C2">
              <w:rPr>
                <w:rFonts w:ascii="Arial" w:hAnsi="Arial" w:cs="Arial"/>
                <w:sz w:val="20"/>
                <w:lang w:eastAsia="ja-JP" w:bidi="he-IL"/>
              </w:rPr>
              <w:t>If  the</w:t>
            </w:r>
            <w:proofErr w:type="gramEnd"/>
            <w:r w:rsidRPr="007837C2">
              <w:rPr>
                <w:rFonts w:ascii="Arial" w:hAnsi="Arial" w:cs="Arial"/>
                <w:sz w:val="20"/>
                <w:lang w:eastAsia="ja-JP" w:bidi="he-IL"/>
              </w:rPr>
              <w:t xml:space="preserve">  STA  has  set  up  to  use</w:t>
            </w:r>
            <w:r w:rsidRPr="007837C2">
              <w:rPr>
                <w:rFonts w:ascii="Arial" w:hAnsi="Arial" w:cs="Arial"/>
                <w:sz w:val="20"/>
                <w:lang w:eastAsia="ja-JP" w:bidi="he-IL"/>
              </w:rPr>
              <w:br/>
            </w:r>
            <w:r w:rsidRPr="007837C2">
              <w:rPr>
                <w:rFonts w:ascii="Arial" w:hAnsi="Arial" w:cs="Arial"/>
                <w:sz w:val="20"/>
                <w:lang w:eastAsia="ja-JP" w:bidi="he-IL"/>
              </w:rPr>
              <w:br/>
              <w:t>unscheduled SPs, the AP shall buffer BUs using delivery-enabled ACs until it has received a trigger</w:t>
            </w:r>
            <w:r w:rsidRPr="007837C2">
              <w:rPr>
                <w:rFonts w:ascii="Arial" w:hAnsi="Arial" w:cs="Arial"/>
                <w:sz w:val="20"/>
                <w:lang w:eastAsia="ja-JP" w:bidi="he-IL"/>
              </w:rPr>
              <w:br/>
            </w:r>
            <w:r w:rsidRPr="007837C2">
              <w:rPr>
                <w:rFonts w:ascii="Arial" w:hAnsi="Arial" w:cs="Arial"/>
                <w:sz w:val="20"/>
                <w:lang w:eastAsia="ja-JP" w:bidi="he-IL"/>
              </w:rPr>
              <w:br/>
              <w:t>frame using a trigger-enabled AC from the non-AP STA, which indicates the start of an unscheduled</w:t>
            </w:r>
            <w:r w:rsidRPr="007837C2">
              <w:rPr>
                <w:rFonts w:ascii="Arial" w:hAnsi="Arial" w:cs="Arial"/>
                <w:sz w:val="20"/>
                <w:lang w:eastAsia="ja-JP" w:bidi="he-IL"/>
              </w:rPr>
              <w:br/>
            </w:r>
            <w:r w:rsidRPr="007837C2">
              <w:rPr>
                <w:rFonts w:ascii="Arial" w:hAnsi="Arial" w:cs="Arial"/>
                <w:sz w:val="20"/>
                <w:lang w:eastAsia="ja-JP" w:bidi="he-IL"/>
              </w:rPr>
              <w:br/>
              <w:t>SP. A trigger frame received by the AP from a STA that already has an unscheduled SP underway</w:t>
            </w:r>
            <w:r w:rsidRPr="007837C2">
              <w:rPr>
                <w:rFonts w:ascii="Arial" w:hAnsi="Arial" w:cs="Arial"/>
                <w:sz w:val="20"/>
                <w:lang w:eastAsia="ja-JP" w:bidi="he-IL"/>
              </w:rPr>
              <w:br/>
            </w:r>
            <w:r w:rsidRPr="007837C2">
              <w:rPr>
                <w:rFonts w:ascii="Arial" w:hAnsi="Arial" w:cs="Arial"/>
                <w:sz w:val="20"/>
                <w:lang w:eastAsia="ja-JP" w:bidi="he-IL"/>
              </w:rPr>
              <w:br/>
              <w:t>shall not trigger the start of a new unscheduled SP. The AP transmits BUs destined for the STA and</w:t>
            </w:r>
            <w:r w:rsidRPr="007837C2">
              <w:rPr>
                <w:rFonts w:ascii="Arial" w:hAnsi="Arial" w:cs="Arial"/>
                <w:sz w:val="20"/>
                <w:lang w:eastAsia="ja-JP" w:bidi="he-IL"/>
              </w:rPr>
              <w:br/>
            </w:r>
            <w:r w:rsidRPr="007837C2">
              <w:rPr>
                <w:rFonts w:ascii="Arial" w:hAnsi="Arial" w:cs="Arial"/>
                <w:sz w:val="20"/>
                <w:lang w:eastAsia="ja-JP" w:bidi="he-IL"/>
              </w:rPr>
              <w:br/>
            </w:r>
            <w:proofErr w:type="gramStart"/>
            <w:r w:rsidRPr="007837C2">
              <w:rPr>
                <w:rFonts w:ascii="Arial" w:hAnsi="Arial" w:cs="Arial"/>
                <w:sz w:val="20"/>
                <w:lang w:eastAsia="ja-JP" w:bidi="he-IL"/>
              </w:rPr>
              <w:t>using  delivery</w:t>
            </w:r>
            <w:proofErr w:type="gramEnd"/>
            <w:r w:rsidRPr="007837C2">
              <w:rPr>
                <w:rFonts w:ascii="Arial" w:hAnsi="Arial" w:cs="Arial"/>
                <w:sz w:val="20"/>
                <w:lang w:eastAsia="ja-JP" w:bidi="he-IL"/>
              </w:rPr>
              <w:t>-enabled  ACs  during  an  unscheduled  SP." -- 1) this seems to be the only specification of trigger frame handling for U-APSD at the AP, but "</w:t>
            </w:r>
            <w:proofErr w:type="spellStart"/>
            <w:r w:rsidRPr="007837C2">
              <w:rPr>
                <w:rFonts w:ascii="Arial" w:hAnsi="Arial" w:cs="Arial"/>
                <w:sz w:val="20"/>
                <w:lang w:eastAsia="ja-JP" w:bidi="he-IL"/>
              </w:rPr>
              <w:t>tramsmits</w:t>
            </w:r>
            <w:proofErr w:type="spellEnd"/>
            <w:r w:rsidRPr="007837C2">
              <w:rPr>
                <w:rFonts w:ascii="Arial" w:hAnsi="Arial" w:cs="Arial"/>
                <w:sz w:val="20"/>
                <w:lang w:eastAsia="ja-JP" w:bidi="he-IL"/>
              </w:rPr>
              <w:t xml:space="preserve"> BUs" is vague; 2) it is not clear whether/how/when MMPDUs are "using delivery-enabled ACs"</w:t>
            </w:r>
          </w:p>
        </w:tc>
        <w:tc>
          <w:tcPr>
            <w:tcW w:w="2724" w:type="dxa"/>
            <w:hideMark/>
          </w:tcPr>
          <w:p w14:paraId="4747545A"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After the cited text at the referenced location add "NOTE 1---Transmission of BUs during an unscheduled SP is constrained by the max SP length.</w:t>
            </w:r>
            <w:r w:rsidRPr="007837C2">
              <w:rPr>
                <w:rFonts w:ascii="Arial" w:hAnsi="Arial" w:cs="Arial"/>
                <w:sz w:val="20"/>
                <w:lang w:eastAsia="ja-JP" w:bidi="he-IL"/>
              </w:rPr>
              <w:br/>
            </w:r>
            <w:r w:rsidRPr="007837C2">
              <w:rPr>
                <w:rFonts w:ascii="Arial" w:hAnsi="Arial" w:cs="Arial"/>
                <w:sz w:val="20"/>
                <w:lang w:eastAsia="ja-JP" w:bidi="he-IL"/>
              </w:rPr>
              <w:br/>
              <w:t>NOTE 2---The AC for delivery of an MMPDU (see 10.2.3.2) determines whether it is transmitted using a delivery-enabled AC during an unscheduled SP."</w:t>
            </w:r>
          </w:p>
        </w:tc>
      </w:tr>
    </w:tbl>
    <w:p w14:paraId="3165D3F2" w14:textId="77777777" w:rsidR="003E6F6E" w:rsidRDefault="003E6F6E"/>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6EC29BE1" w14:textId="77777777" w:rsidTr="007837C2">
        <w:trPr>
          <w:trHeight w:val="1020"/>
        </w:trPr>
        <w:tc>
          <w:tcPr>
            <w:tcW w:w="738" w:type="dxa"/>
            <w:hideMark/>
          </w:tcPr>
          <w:p w14:paraId="2B332C25"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1403</w:t>
            </w:r>
          </w:p>
        </w:tc>
        <w:tc>
          <w:tcPr>
            <w:tcW w:w="990" w:type="dxa"/>
            <w:hideMark/>
          </w:tcPr>
          <w:p w14:paraId="594649C3"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2018.42</w:t>
            </w:r>
          </w:p>
        </w:tc>
        <w:tc>
          <w:tcPr>
            <w:tcW w:w="630" w:type="dxa"/>
            <w:hideMark/>
          </w:tcPr>
          <w:p w14:paraId="7888A935"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42</w:t>
            </w:r>
          </w:p>
        </w:tc>
        <w:tc>
          <w:tcPr>
            <w:tcW w:w="1080" w:type="dxa"/>
            <w:hideMark/>
          </w:tcPr>
          <w:p w14:paraId="2DD0619F"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11.3.4.3</w:t>
            </w:r>
          </w:p>
        </w:tc>
        <w:tc>
          <w:tcPr>
            <w:tcW w:w="1260" w:type="dxa"/>
            <w:hideMark/>
          </w:tcPr>
          <w:p w14:paraId="36F15133"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354760B0"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Missing clarification cf. 11.3.4.2</w:t>
            </w:r>
          </w:p>
        </w:tc>
        <w:tc>
          <w:tcPr>
            <w:tcW w:w="2724" w:type="dxa"/>
            <w:hideMark/>
          </w:tcPr>
          <w:p w14:paraId="0E55058D"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At the end of step g) add "; the state shall remain unchanged if it was other than State 1"</w:t>
            </w:r>
          </w:p>
        </w:tc>
      </w:tr>
    </w:tbl>
    <w:p w14:paraId="716FF0CF" w14:textId="77777777" w:rsidR="003E6F6E" w:rsidRDefault="003E6F6E"/>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615689DF" w14:textId="77777777" w:rsidTr="007837C2">
        <w:trPr>
          <w:trHeight w:val="4590"/>
        </w:trPr>
        <w:tc>
          <w:tcPr>
            <w:tcW w:w="738" w:type="dxa"/>
            <w:hideMark/>
          </w:tcPr>
          <w:p w14:paraId="3AE306A4"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lastRenderedPageBreak/>
              <w:t>1405</w:t>
            </w:r>
          </w:p>
        </w:tc>
        <w:tc>
          <w:tcPr>
            <w:tcW w:w="990" w:type="dxa"/>
            <w:hideMark/>
          </w:tcPr>
          <w:p w14:paraId="6E20843F"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1971.34</w:t>
            </w:r>
          </w:p>
        </w:tc>
        <w:tc>
          <w:tcPr>
            <w:tcW w:w="630" w:type="dxa"/>
            <w:hideMark/>
          </w:tcPr>
          <w:p w14:paraId="707E4F22"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34</w:t>
            </w:r>
          </w:p>
        </w:tc>
        <w:tc>
          <w:tcPr>
            <w:tcW w:w="1080" w:type="dxa"/>
            <w:hideMark/>
          </w:tcPr>
          <w:p w14:paraId="38AEBB12"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11.2.3.5.1</w:t>
            </w:r>
          </w:p>
        </w:tc>
        <w:tc>
          <w:tcPr>
            <w:tcW w:w="1260" w:type="dxa"/>
            <w:hideMark/>
          </w:tcPr>
          <w:p w14:paraId="14C1DAA7"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259F6A0A"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"An unscheduled SP ends after the AP has attempted to transmit at least one BU using a delivery-enabled AC and destined for the STA, but no more than the number indicated in the Max SP Length field of the QoS Capability element of the STA's (Re)Association Request frame if the field has a nonzero value." -- it doesn't necessarily end after the AP has attempted to transmit one BU.  It ends when the AP has transmitted an EOSP or the number of BUs reaches Max SP Length</w:t>
            </w:r>
          </w:p>
        </w:tc>
        <w:tc>
          <w:tcPr>
            <w:tcW w:w="2724" w:type="dxa"/>
            <w:hideMark/>
          </w:tcPr>
          <w:p w14:paraId="6FB3D746"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Change the cited text at the referenced location to "An unscheduled SP ends after the AP has attempted to transmit at least one BU using a delivery-enabled AC and destined for the STA, but no more than the number indicated in the Max SP Length field of the QoS Capability element of the STA's (Re)Association Request frame if the field has a nonzero value, where the last BU is transmitted in MPDUs with EOSP subfield set to 1."</w:t>
            </w:r>
          </w:p>
        </w:tc>
      </w:tr>
    </w:tbl>
    <w:p w14:paraId="27972536" w14:textId="77777777" w:rsidR="003E6F6E" w:rsidRDefault="003E6F6E"/>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4B343EB5" w14:textId="77777777" w:rsidTr="007837C2">
        <w:trPr>
          <w:trHeight w:val="4590"/>
        </w:trPr>
        <w:tc>
          <w:tcPr>
            <w:tcW w:w="738" w:type="dxa"/>
            <w:hideMark/>
          </w:tcPr>
          <w:p w14:paraId="4FF40A26"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1414</w:t>
            </w:r>
          </w:p>
        </w:tc>
        <w:tc>
          <w:tcPr>
            <w:tcW w:w="990" w:type="dxa"/>
            <w:hideMark/>
          </w:tcPr>
          <w:p w14:paraId="0E0E9D65"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2127.44</w:t>
            </w:r>
          </w:p>
        </w:tc>
        <w:tc>
          <w:tcPr>
            <w:tcW w:w="630" w:type="dxa"/>
            <w:hideMark/>
          </w:tcPr>
          <w:p w14:paraId="61B8EA2E"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44</w:t>
            </w:r>
          </w:p>
        </w:tc>
        <w:tc>
          <w:tcPr>
            <w:tcW w:w="1080" w:type="dxa"/>
            <w:hideMark/>
          </w:tcPr>
          <w:p w14:paraId="0DFCD349"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11.15.8</w:t>
            </w:r>
          </w:p>
        </w:tc>
        <w:tc>
          <w:tcPr>
            <w:tcW w:w="1260" w:type="dxa"/>
            <w:hideMark/>
          </w:tcPr>
          <w:p w14:paraId="46588F0F"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7D790CA0"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 xml:space="preserve">If the DSSS/CCK Mode in 40 MHz subfield is equal to 0 in a beacon/probe response, it is not clear whether the STA is required to set it to 0 in the association request.  The description is "An HT STA declares its capability to use DSSS/CCK rates while it has a 40 MHz operating channel width", which is vague (capability to use v. intent to use).  However, it seems clear that if the AP </w:t>
            </w:r>
            <w:proofErr w:type="gramStart"/>
            <w:r w:rsidRPr="007837C2">
              <w:rPr>
                <w:rFonts w:ascii="Arial" w:hAnsi="Arial" w:cs="Arial"/>
                <w:sz w:val="20"/>
                <w:lang w:eastAsia="ja-JP" w:bidi="he-IL"/>
              </w:rPr>
              <w:t>says  DSSS</w:t>
            </w:r>
            <w:proofErr w:type="gramEnd"/>
            <w:r w:rsidRPr="007837C2">
              <w:rPr>
                <w:rFonts w:ascii="Arial" w:hAnsi="Arial" w:cs="Arial"/>
                <w:sz w:val="20"/>
                <w:lang w:eastAsia="ja-JP" w:bidi="he-IL"/>
              </w:rPr>
              <w:t>/CCK  Mode  in  40  MHz is not allowed, the STA's signal of capability to transmit such is irrelevant</w:t>
            </w:r>
          </w:p>
        </w:tc>
        <w:tc>
          <w:tcPr>
            <w:tcW w:w="2724" w:type="dxa"/>
            <w:hideMark/>
          </w:tcPr>
          <w:p w14:paraId="27E65AC0"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Append "- The DSSS/CCK Mode in 40 MHz subfield transmitted by a (re)associating STA is ignored." at the end of the list in the para after the referenced location</w:t>
            </w:r>
          </w:p>
        </w:tc>
      </w:tr>
    </w:tbl>
    <w:p w14:paraId="0E3A46BB" w14:textId="77777777" w:rsidR="003E6F6E" w:rsidRDefault="003E6F6E"/>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7C9E7A72" w14:textId="77777777" w:rsidTr="007837C2">
        <w:trPr>
          <w:trHeight w:val="3315"/>
        </w:trPr>
        <w:tc>
          <w:tcPr>
            <w:tcW w:w="738" w:type="dxa"/>
            <w:hideMark/>
          </w:tcPr>
          <w:p w14:paraId="2E56801E"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1008</w:t>
            </w:r>
          </w:p>
        </w:tc>
        <w:tc>
          <w:tcPr>
            <w:tcW w:w="990" w:type="dxa"/>
            <w:hideMark/>
          </w:tcPr>
          <w:p w14:paraId="2DF3C96D"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1337.43</w:t>
            </w:r>
          </w:p>
        </w:tc>
        <w:tc>
          <w:tcPr>
            <w:tcW w:w="630" w:type="dxa"/>
            <w:hideMark/>
          </w:tcPr>
          <w:p w14:paraId="7C832E97"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43</w:t>
            </w:r>
          </w:p>
        </w:tc>
        <w:tc>
          <w:tcPr>
            <w:tcW w:w="1080" w:type="dxa"/>
            <w:hideMark/>
          </w:tcPr>
          <w:p w14:paraId="4F9F4872"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9.4.3</w:t>
            </w:r>
          </w:p>
        </w:tc>
        <w:tc>
          <w:tcPr>
            <w:tcW w:w="1260" w:type="dxa"/>
            <w:hideMark/>
          </w:tcPr>
          <w:p w14:paraId="024D5DFE"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571B5A98"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Definition of subelement is not aligned with actual use of it. In relation to Measurement request and Measurement report IE the statement that "Each subelement is assigned a subelement ID that is unique within the containing element or subelement." is not true. The sub elements are defined within the Measurement type.</w:t>
            </w:r>
          </w:p>
        </w:tc>
        <w:tc>
          <w:tcPr>
            <w:tcW w:w="2724" w:type="dxa"/>
            <w:hideMark/>
          </w:tcPr>
          <w:p w14:paraId="4F6F51B5"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Add to the sentence as follows:</w:t>
            </w:r>
            <w:r w:rsidRPr="007837C2">
              <w:rPr>
                <w:rFonts w:ascii="Arial" w:hAnsi="Arial" w:cs="Arial"/>
                <w:sz w:val="20"/>
                <w:lang w:eastAsia="ja-JP" w:bidi="he-IL"/>
              </w:rPr>
              <w:br/>
            </w:r>
            <w:r w:rsidRPr="007837C2">
              <w:rPr>
                <w:rFonts w:ascii="Arial" w:hAnsi="Arial" w:cs="Arial"/>
                <w:sz w:val="20"/>
                <w:lang w:eastAsia="ja-JP" w:bidi="he-IL"/>
              </w:rPr>
              <w:br/>
              <w:t>Each subelement is assigned a subelement ID that is unique within the containing element or subelement, or measurement type of the Measurement Request IE and Measurement Report IE.</w:t>
            </w:r>
          </w:p>
        </w:tc>
      </w:tr>
    </w:tbl>
    <w:p w14:paraId="2DE898D3" w14:textId="77777777" w:rsidR="003E6F6E" w:rsidRDefault="003E6F6E"/>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5F21E12A" w14:textId="77777777" w:rsidTr="007837C2">
        <w:trPr>
          <w:trHeight w:val="1785"/>
        </w:trPr>
        <w:tc>
          <w:tcPr>
            <w:tcW w:w="738" w:type="dxa"/>
            <w:hideMark/>
          </w:tcPr>
          <w:p w14:paraId="66CC649E"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lastRenderedPageBreak/>
              <w:t>1396</w:t>
            </w:r>
          </w:p>
        </w:tc>
        <w:tc>
          <w:tcPr>
            <w:tcW w:w="990" w:type="dxa"/>
            <w:hideMark/>
          </w:tcPr>
          <w:p w14:paraId="13C1AF9C"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1571.15</w:t>
            </w:r>
          </w:p>
        </w:tc>
        <w:tc>
          <w:tcPr>
            <w:tcW w:w="630" w:type="dxa"/>
            <w:hideMark/>
          </w:tcPr>
          <w:p w14:paraId="087AA8E0"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15</w:t>
            </w:r>
          </w:p>
        </w:tc>
        <w:tc>
          <w:tcPr>
            <w:tcW w:w="1080" w:type="dxa"/>
            <w:hideMark/>
          </w:tcPr>
          <w:p w14:paraId="64AD4B80"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10.2.6</w:t>
            </w:r>
          </w:p>
        </w:tc>
        <w:tc>
          <w:tcPr>
            <w:tcW w:w="1260" w:type="dxa"/>
            <w:hideMark/>
          </w:tcPr>
          <w:p w14:paraId="0CAC9E09"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4CFD26C1"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"A QoS Data frame with a TID matching an existing block ack agreement may be transmitted outside an</w:t>
            </w:r>
            <w:r w:rsidRPr="007837C2">
              <w:rPr>
                <w:rFonts w:ascii="Arial" w:hAnsi="Arial" w:cs="Arial"/>
                <w:sz w:val="20"/>
                <w:lang w:eastAsia="ja-JP" w:bidi="he-IL"/>
              </w:rPr>
              <w:br/>
            </w:r>
            <w:r w:rsidRPr="007837C2">
              <w:rPr>
                <w:rFonts w:ascii="Arial" w:hAnsi="Arial" w:cs="Arial"/>
                <w:sz w:val="20"/>
                <w:lang w:eastAsia="ja-JP" w:bidi="he-IL"/>
              </w:rPr>
              <w:br/>
              <w:t>A-MPDU with its Ack Policy subfield set to Normal Ack" -- also in an S-MPDU</w:t>
            </w:r>
          </w:p>
        </w:tc>
        <w:tc>
          <w:tcPr>
            <w:tcW w:w="2724" w:type="dxa"/>
            <w:hideMark/>
          </w:tcPr>
          <w:p w14:paraId="26C498AD"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Append ", or in an S-MPDU" to the cited text at the referenced location</w:t>
            </w:r>
          </w:p>
        </w:tc>
      </w:tr>
    </w:tbl>
    <w:p w14:paraId="008189FB" w14:textId="77777777" w:rsidR="003E6F6E" w:rsidRDefault="003E6F6E"/>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024A91CA" w14:textId="77777777" w:rsidTr="007837C2">
        <w:trPr>
          <w:trHeight w:val="1020"/>
        </w:trPr>
        <w:tc>
          <w:tcPr>
            <w:tcW w:w="738" w:type="dxa"/>
            <w:hideMark/>
          </w:tcPr>
          <w:p w14:paraId="31C7EA91"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1282</w:t>
            </w:r>
          </w:p>
        </w:tc>
        <w:tc>
          <w:tcPr>
            <w:tcW w:w="990" w:type="dxa"/>
            <w:hideMark/>
          </w:tcPr>
          <w:p w14:paraId="59CED49A"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847.19</w:t>
            </w:r>
          </w:p>
        </w:tc>
        <w:tc>
          <w:tcPr>
            <w:tcW w:w="630" w:type="dxa"/>
            <w:hideMark/>
          </w:tcPr>
          <w:p w14:paraId="6EBF0BC8"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19</w:t>
            </w:r>
          </w:p>
        </w:tc>
        <w:tc>
          <w:tcPr>
            <w:tcW w:w="1080" w:type="dxa"/>
            <w:hideMark/>
          </w:tcPr>
          <w:p w14:paraId="3233F0D1"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9.4.1.9</w:t>
            </w:r>
          </w:p>
        </w:tc>
        <w:tc>
          <w:tcPr>
            <w:tcW w:w="1260" w:type="dxa"/>
            <w:hideMark/>
          </w:tcPr>
          <w:p w14:paraId="233868D4"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785CB11D"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In Table 9-52, Status code 123 is double defined.</w:t>
            </w:r>
          </w:p>
        </w:tc>
        <w:tc>
          <w:tcPr>
            <w:tcW w:w="2724" w:type="dxa"/>
            <w:hideMark/>
          </w:tcPr>
          <w:p w14:paraId="1703A7D7"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Please change Status code "114-65535" to "114-122, 124-65535".</w:t>
            </w:r>
          </w:p>
        </w:tc>
      </w:tr>
    </w:tbl>
    <w:p w14:paraId="09CA8E1A" w14:textId="77777777" w:rsidR="003E6F6E" w:rsidRDefault="003E6F6E"/>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13518820" w14:textId="77777777" w:rsidTr="007837C2">
        <w:trPr>
          <w:trHeight w:val="3570"/>
        </w:trPr>
        <w:tc>
          <w:tcPr>
            <w:tcW w:w="738" w:type="dxa"/>
            <w:hideMark/>
          </w:tcPr>
          <w:p w14:paraId="01C7AC15"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1018</w:t>
            </w:r>
          </w:p>
        </w:tc>
        <w:tc>
          <w:tcPr>
            <w:tcW w:w="990" w:type="dxa"/>
            <w:hideMark/>
          </w:tcPr>
          <w:p w14:paraId="0F77746E"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1571.58</w:t>
            </w:r>
          </w:p>
        </w:tc>
        <w:tc>
          <w:tcPr>
            <w:tcW w:w="630" w:type="dxa"/>
            <w:hideMark/>
          </w:tcPr>
          <w:p w14:paraId="74BA6365"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58</w:t>
            </w:r>
          </w:p>
        </w:tc>
        <w:tc>
          <w:tcPr>
            <w:tcW w:w="1080" w:type="dxa"/>
            <w:hideMark/>
          </w:tcPr>
          <w:p w14:paraId="2D8405D0"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10.2.7</w:t>
            </w:r>
          </w:p>
        </w:tc>
        <w:tc>
          <w:tcPr>
            <w:tcW w:w="1260" w:type="dxa"/>
            <w:hideMark/>
          </w:tcPr>
          <w:p w14:paraId="29A36F0B"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3FB302E2"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This section talks about filtering group addressed frames from a STA and</w:t>
            </w:r>
            <w:r w:rsidRPr="007837C2">
              <w:rPr>
                <w:rFonts w:ascii="Arial" w:hAnsi="Arial" w:cs="Arial"/>
                <w:sz w:val="20"/>
                <w:lang w:eastAsia="ja-JP" w:bidi="he-IL"/>
              </w:rPr>
              <w:br/>
            </w:r>
            <w:r w:rsidRPr="007837C2">
              <w:rPr>
                <w:rFonts w:ascii="Arial" w:hAnsi="Arial" w:cs="Arial"/>
                <w:sz w:val="20"/>
                <w:lang w:eastAsia="ja-JP" w:bidi="he-IL"/>
              </w:rPr>
              <w:br/>
              <w:t>received by the STA relayed back from AP in an infrastructure BSS. It is not clear where</w:t>
            </w:r>
            <w:r w:rsidRPr="007837C2">
              <w:rPr>
                <w:rFonts w:ascii="Arial" w:hAnsi="Arial" w:cs="Arial"/>
                <w:sz w:val="20"/>
                <w:lang w:eastAsia="ja-JP" w:bidi="he-IL"/>
              </w:rPr>
              <w:br/>
            </w:r>
            <w:r w:rsidRPr="007837C2">
              <w:rPr>
                <w:rFonts w:ascii="Arial" w:hAnsi="Arial" w:cs="Arial"/>
                <w:sz w:val="20"/>
                <w:lang w:eastAsia="ja-JP" w:bidi="he-IL"/>
              </w:rPr>
              <w:br/>
              <w:t>this filtering happens. Is this along with address filtering on Address 1 or later? Where do this reside, say in Figure 5-1</w:t>
            </w:r>
            <w:r w:rsidRPr="007837C2">
              <w:rPr>
                <w:rFonts w:ascii="Arial" w:hAnsi="Arial" w:cs="Arial"/>
                <w:sz w:val="20"/>
                <w:lang w:eastAsia="ja-JP" w:bidi="he-IL"/>
              </w:rPr>
              <w:br/>
            </w:r>
            <w:r w:rsidRPr="007837C2">
              <w:rPr>
                <w:rFonts w:ascii="Arial" w:hAnsi="Arial" w:cs="Arial"/>
                <w:sz w:val="20"/>
                <w:lang w:eastAsia="ja-JP" w:bidi="he-IL"/>
              </w:rPr>
              <w:br/>
              <w:t>MAC data plane architecture?</w:t>
            </w:r>
          </w:p>
        </w:tc>
        <w:tc>
          <w:tcPr>
            <w:tcW w:w="2724" w:type="dxa"/>
            <w:hideMark/>
          </w:tcPr>
          <w:p w14:paraId="51826B0C"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It should be done after replay detection for AES and perhaps after MSDU MIC check for TKIP</w:t>
            </w:r>
          </w:p>
        </w:tc>
      </w:tr>
    </w:tbl>
    <w:p w14:paraId="73F38C89" w14:textId="77777777" w:rsidR="003E6F6E" w:rsidRDefault="003E6F6E"/>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53D012EF" w14:textId="77777777" w:rsidTr="007837C2">
        <w:trPr>
          <w:trHeight w:val="1785"/>
        </w:trPr>
        <w:tc>
          <w:tcPr>
            <w:tcW w:w="738" w:type="dxa"/>
            <w:hideMark/>
          </w:tcPr>
          <w:p w14:paraId="39DFE228"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1033</w:t>
            </w:r>
          </w:p>
        </w:tc>
        <w:tc>
          <w:tcPr>
            <w:tcW w:w="990" w:type="dxa"/>
            <w:hideMark/>
          </w:tcPr>
          <w:p w14:paraId="2E9CE4FF"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1945.01</w:t>
            </w:r>
          </w:p>
        </w:tc>
        <w:tc>
          <w:tcPr>
            <w:tcW w:w="630" w:type="dxa"/>
            <w:hideMark/>
          </w:tcPr>
          <w:p w14:paraId="5409D018"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w:t>
            </w:r>
          </w:p>
        </w:tc>
        <w:tc>
          <w:tcPr>
            <w:tcW w:w="1080" w:type="dxa"/>
            <w:hideMark/>
          </w:tcPr>
          <w:p w14:paraId="1781112C"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11.1.3.9</w:t>
            </w:r>
          </w:p>
        </w:tc>
        <w:tc>
          <w:tcPr>
            <w:tcW w:w="1260" w:type="dxa"/>
            <w:hideMark/>
          </w:tcPr>
          <w:p w14:paraId="4692FB66"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5299D654"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The sentence "In the case of an infrastructure BSS, the STA's TSF timer shall then be set to the adjusted value of the timestamp." on Line 1 is redundant, because the sentence on Line 9 covers it.</w:t>
            </w:r>
          </w:p>
        </w:tc>
        <w:tc>
          <w:tcPr>
            <w:tcW w:w="2724" w:type="dxa"/>
            <w:hideMark/>
          </w:tcPr>
          <w:p w14:paraId="72C03C24"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Delete the cited sentence on Line 1.</w:t>
            </w:r>
          </w:p>
        </w:tc>
      </w:tr>
    </w:tbl>
    <w:p w14:paraId="0057CF5F" w14:textId="77777777" w:rsidR="003E6F6E" w:rsidRDefault="003E6F6E"/>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7C5966B1" w14:textId="77777777" w:rsidTr="007837C2">
        <w:trPr>
          <w:trHeight w:val="1530"/>
        </w:trPr>
        <w:tc>
          <w:tcPr>
            <w:tcW w:w="738" w:type="dxa"/>
            <w:hideMark/>
          </w:tcPr>
          <w:p w14:paraId="70733D5A"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1114</w:t>
            </w:r>
          </w:p>
        </w:tc>
        <w:tc>
          <w:tcPr>
            <w:tcW w:w="990" w:type="dxa"/>
            <w:hideMark/>
          </w:tcPr>
          <w:p w14:paraId="24F967B0"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783.30</w:t>
            </w:r>
          </w:p>
        </w:tc>
        <w:tc>
          <w:tcPr>
            <w:tcW w:w="630" w:type="dxa"/>
            <w:hideMark/>
          </w:tcPr>
          <w:p w14:paraId="0F0B89CE"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30</w:t>
            </w:r>
          </w:p>
        </w:tc>
        <w:tc>
          <w:tcPr>
            <w:tcW w:w="1080" w:type="dxa"/>
            <w:hideMark/>
          </w:tcPr>
          <w:p w14:paraId="48B26686"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9.3.1.19</w:t>
            </w:r>
          </w:p>
        </w:tc>
        <w:tc>
          <w:tcPr>
            <w:tcW w:w="1260" w:type="dxa"/>
            <w:hideMark/>
          </w:tcPr>
          <w:p w14:paraId="0E998EEB"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6232EE69"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With the 11ah changes, this statement is now incomplete.</w:t>
            </w:r>
          </w:p>
        </w:tc>
        <w:tc>
          <w:tcPr>
            <w:tcW w:w="2724" w:type="dxa"/>
            <w:hideMark/>
          </w:tcPr>
          <w:p w14:paraId="56F1265B"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 xml:space="preserve">Change to "If the VHT NDP </w:t>
            </w:r>
            <w:proofErr w:type="spellStart"/>
            <w:r w:rsidRPr="007837C2">
              <w:rPr>
                <w:rFonts w:ascii="Arial" w:hAnsi="Arial" w:cs="Arial"/>
                <w:sz w:val="20"/>
                <w:lang w:eastAsia="ja-JP" w:bidi="he-IL"/>
              </w:rPr>
              <w:t>Announcment</w:t>
            </w:r>
            <w:proofErr w:type="spellEnd"/>
            <w:r w:rsidRPr="007837C2">
              <w:rPr>
                <w:rFonts w:ascii="Arial" w:hAnsi="Arial" w:cs="Arial"/>
                <w:sz w:val="20"/>
                <w:lang w:eastAsia="ja-JP" w:bidi="he-IL"/>
              </w:rPr>
              <w:t xml:space="preserve"> frame is transmitted by a non-S1G STA, then the format of the STA Info field is shown in Figure 9-55."</w:t>
            </w:r>
          </w:p>
        </w:tc>
      </w:tr>
    </w:tbl>
    <w:p w14:paraId="2C199ABA" w14:textId="77777777" w:rsidR="003E6F6E" w:rsidRDefault="003E6F6E"/>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02BAF6B8" w14:textId="77777777" w:rsidTr="007837C2">
        <w:trPr>
          <w:trHeight w:val="6630"/>
        </w:trPr>
        <w:tc>
          <w:tcPr>
            <w:tcW w:w="738" w:type="dxa"/>
            <w:hideMark/>
          </w:tcPr>
          <w:p w14:paraId="0CC59B40"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lastRenderedPageBreak/>
              <w:t>1146</w:t>
            </w:r>
          </w:p>
        </w:tc>
        <w:tc>
          <w:tcPr>
            <w:tcW w:w="990" w:type="dxa"/>
            <w:hideMark/>
          </w:tcPr>
          <w:p w14:paraId="53839AA3"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1657.30</w:t>
            </w:r>
          </w:p>
        </w:tc>
        <w:tc>
          <w:tcPr>
            <w:tcW w:w="630" w:type="dxa"/>
            <w:hideMark/>
          </w:tcPr>
          <w:p w14:paraId="7AD04DE1"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30</w:t>
            </w:r>
          </w:p>
        </w:tc>
        <w:tc>
          <w:tcPr>
            <w:tcW w:w="1080" w:type="dxa"/>
            <w:hideMark/>
          </w:tcPr>
          <w:p w14:paraId="2448BBCF"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10.19</w:t>
            </w:r>
          </w:p>
        </w:tc>
        <w:tc>
          <w:tcPr>
            <w:tcW w:w="1260" w:type="dxa"/>
            <w:hideMark/>
          </w:tcPr>
          <w:p w14:paraId="6E97B6F4"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76A5F640"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Please clarify how the PARTIAL_AID is calculated when the Multiple BSSID is used.</w:t>
            </w:r>
            <w:r w:rsidRPr="007837C2">
              <w:rPr>
                <w:rFonts w:ascii="Arial" w:hAnsi="Arial" w:cs="Arial"/>
                <w:sz w:val="20"/>
                <w:lang w:eastAsia="ja-JP" w:bidi="he-IL"/>
              </w:rPr>
              <w:br/>
            </w:r>
            <w:r w:rsidRPr="007837C2">
              <w:rPr>
                <w:rFonts w:ascii="Arial" w:hAnsi="Arial" w:cs="Arial"/>
                <w:sz w:val="20"/>
                <w:lang w:eastAsia="ja-JP" w:bidi="he-IL"/>
              </w:rPr>
              <w:br/>
              <w:t>For example, do BSSID[39:47], BSSID[44:47], and BSSID[40:43] are derived from a transmitted BSSID or a non-transmitted BSSID?</w:t>
            </w:r>
            <w:r w:rsidRPr="007837C2">
              <w:rPr>
                <w:rFonts w:ascii="Arial" w:hAnsi="Arial" w:cs="Arial"/>
                <w:sz w:val="20"/>
                <w:lang w:eastAsia="ja-JP" w:bidi="he-IL"/>
              </w:rPr>
              <w:br/>
            </w:r>
            <w:r w:rsidRPr="007837C2">
              <w:rPr>
                <w:rFonts w:ascii="Arial" w:hAnsi="Arial" w:cs="Arial"/>
                <w:sz w:val="20"/>
                <w:lang w:eastAsia="ja-JP" w:bidi="he-IL"/>
              </w:rPr>
              <w:br/>
            </w:r>
            <w:r w:rsidRPr="007837C2">
              <w:rPr>
                <w:rFonts w:ascii="Arial" w:hAnsi="Arial" w:cs="Arial"/>
                <w:sz w:val="20"/>
                <w:lang w:eastAsia="ja-JP" w:bidi="he-IL"/>
              </w:rPr>
              <w:br/>
            </w:r>
            <w:r w:rsidRPr="007837C2">
              <w:rPr>
                <w:rFonts w:ascii="Arial" w:hAnsi="Arial" w:cs="Arial"/>
                <w:sz w:val="20"/>
                <w:lang w:eastAsia="ja-JP" w:bidi="he-IL"/>
              </w:rPr>
              <w:br/>
              <w:t>802.11ah had the same discussion, the following sentence has been added into the spec.</w:t>
            </w:r>
            <w:r w:rsidRPr="007837C2">
              <w:rPr>
                <w:rFonts w:ascii="Arial" w:hAnsi="Arial" w:cs="Arial"/>
                <w:sz w:val="20"/>
                <w:lang w:eastAsia="ja-JP" w:bidi="he-IL"/>
              </w:rPr>
              <w:br/>
            </w:r>
            <w:r w:rsidRPr="007837C2">
              <w:rPr>
                <w:rFonts w:ascii="Arial" w:hAnsi="Arial" w:cs="Arial"/>
                <w:sz w:val="20"/>
                <w:lang w:eastAsia="ja-JP" w:bidi="he-IL"/>
              </w:rPr>
              <w:br/>
              <w:t xml:space="preserve">NOTE--When a STA for which dot11MultiBSSIDActivated is true is associated with </w:t>
            </w:r>
            <w:proofErr w:type="spellStart"/>
            <w:r w:rsidRPr="007837C2">
              <w:rPr>
                <w:rFonts w:ascii="Arial" w:hAnsi="Arial" w:cs="Arial"/>
                <w:sz w:val="20"/>
                <w:lang w:eastAsia="ja-JP" w:bidi="he-IL"/>
              </w:rPr>
              <w:t>ith</w:t>
            </w:r>
            <w:proofErr w:type="spellEnd"/>
            <w:r w:rsidRPr="007837C2">
              <w:rPr>
                <w:rFonts w:ascii="Arial" w:hAnsi="Arial" w:cs="Arial"/>
                <w:sz w:val="20"/>
                <w:lang w:eastAsia="ja-JP" w:bidi="he-IL"/>
              </w:rPr>
              <w:t xml:space="preserve"> BSSID of an AP, the BSSID means the value of BSSID(</w:t>
            </w:r>
            <w:proofErr w:type="spellStart"/>
            <w:r w:rsidRPr="007837C2">
              <w:rPr>
                <w:rFonts w:ascii="Arial" w:hAnsi="Arial" w:cs="Arial"/>
                <w:sz w:val="20"/>
                <w:lang w:eastAsia="ja-JP" w:bidi="he-IL"/>
              </w:rPr>
              <w:t>i</w:t>
            </w:r>
            <w:proofErr w:type="spellEnd"/>
            <w:r w:rsidRPr="007837C2">
              <w:rPr>
                <w:rFonts w:ascii="Arial" w:hAnsi="Arial" w:cs="Arial"/>
                <w:sz w:val="20"/>
                <w:lang w:eastAsia="ja-JP" w:bidi="he-IL"/>
              </w:rPr>
              <w:t>).</w:t>
            </w:r>
            <w:r w:rsidRPr="007837C2">
              <w:rPr>
                <w:rFonts w:ascii="Arial" w:hAnsi="Arial" w:cs="Arial"/>
                <w:sz w:val="20"/>
                <w:lang w:eastAsia="ja-JP" w:bidi="he-IL"/>
              </w:rPr>
              <w:br/>
            </w:r>
            <w:r w:rsidRPr="007837C2">
              <w:rPr>
                <w:rFonts w:ascii="Arial" w:hAnsi="Arial" w:cs="Arial"/>
                <w:sz w:val="20"/>
                <w:lang w:eastAsia="ja-JP" w:bidi="he-IL"/>
              </w:rPr>
              <w:br/>
            </w:r>
            <w:r w:rsidRPr="007837C2">
              <w:rPr>
                <w:rFonts w:ascii="Arial" w:hAnsi="Arial" w:cs="Arial"/>
                <w:sz w:val="20"/>
                <w:lang w:eastAsia="ja-JP" w:bidi="he-IL"/>
              </w:rPr>
              <w:br/>
            </w:r>
            <w:r w:rsidRPr="007837C2">
              <w:rPr>
                <w:rFonts w:ascii="Arial" w:hAnsi="Arial" w:cs="Arial"/>
                <w:sz w:val="20"/>
                <w:lang w:eastAsia="ja-JP" w:bidi="he-IL"/>
              </w:rPr>
              <w:br/>
              <w:t>If VHT PPDU follows the same rule, please add the same NOTE into the spec.</w:t>
            </w:r>
          </w:p>
        </w:tc>
        <w:tc>
          <w:tcPr>
            <w:tcW w:w="2724" w:type="dxa"/>
            <w:hideMark/>
          </w:tcPr>
          <w:p w14:paraId="57E4E1E5"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As in comment.</w:t>
            </w:r>
          </w:p>
        </w:tc>
      </w:tr>
    </w:tbl>
    <w:p w14:paraId="162D0BCC" w14:textId="77777777" w:rsidR="003E6F6E" w:rsidRDefault="003E6F6E"/>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49B70439" w14:textId="77777777" w:rsidTr="007837C2">
        <w:trPr>
          <w:trHeight w:val="4080"/>
        </w:trPr>
        <w:tc>
          <w:tcPr>
            <w:tcW w:w="738" w:type="dxa"/>
            <w:hideMark/>
          </w:tcPr>
          <w:p w14:paraId="5997B33B"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1244</w:t>
            </w:r>
          </w:p>
        </w:tc>
        <w:tc>
          <w:tcPr>
            <w:tcW w:w="990" w:type="dxa"/>
            <w:hideMark/>
          </w:tcPr>
          <w:p w14:paraId="696E5287"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2014.03</w:t>
            </w:r>
          </w:p>
        </w:tc>
        <w:tc>
          <w:tcPr>
            <w:tcW w:w="630" w:type="dxa"/>
            <w:hideMark/>
          </w:tcPr>
          <w:p w14:paraId="4860FE47"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3</w:t>
            </w:r>
          </w:p>
        </w:tc>
        <w:tc>
          <w:tcPr>
            <w:tcW w:w="1080" w:type="dxa"/>
            <w:hideMark/>
          </w:tcPr>
          <w:p w14:paraId="4C07BF96"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11.3.2</w:t>
            </w:r>
          </w:p>
        </w:tc>
        <w:tc>
          <w:tcPr>
            <w:tcW w:w="1260" w:type="dxa"/>
            <w:hideMark/>
          </w:tcPr>
          <w:p w14:paraId="61B3C607"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2C523ABA"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 xml:space="preserve">Figure 11-15 has a "State 5". There doesn't appear to be any text or definition of state 5 in the rest of the draft.  I hope this is an editorial error from the IEEE 802.11ai roll-up and I would be quite interested to know where the source material of this figure </w:t>
            </w:r>
            <w:proofErr w:type="gramStart"/>
            <w:r w:rsidRPr="007837C2">
              <w:rPr>
                <w:rFonts w:ascii="Arial" w:hAnsi="Arial" w:cs="Arial"/>
                <w:sz w:val="20"/>
                <w:lang w:eastAsia="ja-JP" w:bidi="he-IL"/>
              </w:rPr>
              <w:t>actually came</w:t>
            </w:r>
            <w:proofErr w:type="gramEnd"/>
            <w:r w:rsidRPr="007837C2">
              <w:rPr>
                <w:rFonts w:ascii="Arial" w:hAnsi="Arial" w:cs="Arial"/>
                <w:sz w:val="20"/>
                <w:lang w:eastAsia="ja-JP" w:bidi="he-IL"/>
              </w:rPr>
              <w:t xml:space="preserve"> from (IEEE 802.11ai D7.0 ??). If this is correct, then perhaps other figures from the IEEE 802.11ai roll-up need to be re-examined by the editorial team.</w:t>
            </w:r>
          </w:p>
        </w:tc>
        <w:tc>
          <w:tcPr>
            <w:tcW w:w="2724" w:type="dxa"/>
            <w:hideMark/>
          </w:tcPr>
          <w:p w14:paraId="69A3BDD8"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Replace Figure 11-15 with Figure 11-13 from IEEE 802.11ai-2016 (2nd imprint).</w:t>
            </w:r>
          </w:p>
        </w:tc>
      </w:tr>
    </w:tbl>
    <w:p w14:paraId="780A4613"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708F4FEE" w14:textId="77777777" w:rsidTr="007837C2">
        <w:trPr>
          <w:trHeight w:val="2805"/>
        </w:trPr>
        <w:tc>
          <w:tcPr>
            <w:tcW w:w="738" w:type="dxa"/>
            <w:hideMark/>
          </w:tcPr>
          <w:p w14:paraId="0D29E91C"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lastRenderedPageBreak/>
              <w:t>1370</w:t>
            </w:r>
          </w:p>
        </w:tc>
        <w:tc>
          <w:tcPr>
            <w:tcW w:w="990" w:type="dxa"/>
            <w:hideMark/>
          </w:tcPr>
          <w:p w14:paraId="4BE3B61A"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1964.60</w:t>
            </w:r>
          </w:p>
        </w:tc>
        <w:tc>
          <w:tcPr>
            <w:tcW w:w="630" w:type="dxa"/>
            <w:hideMark/>
          </w:tcPr>
          <w:p w14:paraId="79CDD69D"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60</w:t>
            </w:r>
          </w:p>
        </w:tc>
        <w:tc>
          <w:tcPr>
            <w:tcW w:w="1080" w:type="dxa"/>
            <w:hideMark/>
          </w:tcPr>
          <w:p w14:paraId="68AF36B3"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11.1.7</w:t>
            </w:r>
          </w:p>
        </w:tc>
        <w:tc>
          <w:tcPr>
            <w:tcW w:w="1260" w:type="dxa"/>
            <w:hideMark/>
          </w:tcPr>
          <w:p w14:paraId="17D07B1E"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64900024" w14:textId="77777777" w:rsidR="007837C2" w:rsidRPr="007837C2" w:rsidRDefault="007837C2" w:rsidP="00E742A2">
            <w:pPr>
              <w:autoSpaceDE w:val="0"/>
              <w:autoSpaceDN w:val="0"/>
              <w:adjustRightInd w:val="0"/>
              <w:rPr>
                <w:rFonts w:ascii="Arial" w:hAnsi="Arial" w:cs="Arial"/>
                <w:sz w:val="20"/>
                <w:lang w:eastAsia="ja-JP" w:bidi="he-IL"/>
              </w:rPr>
            </w:pPr>
            <w:proofErr w:type="gramStart"/>
            <w:r w:rsidRPr="007837C2">
              <w:rPr>
                <w:rFonts w:ascii="Arial" w:hAnsi="Arial" w:cs="Arial"/>
                <w:sz w:val="20"/>
                <w:lang w:eastAsia="ja-JP" w:bidi="he-IL"/>
              </w:rPr>
              <w:t>11.1.4.6  Operation</w:t>
            </w:r>
            <w:proofErr w:type="gramEnd"/>
            <w:r w:rsidRPr="007837C2">
              <w:rPr>
                <w:rFonts w:ascii="Arial" w:hAnsi="Arial" w:cs="Arial"/>
                <w:sz w:val="20"/>
                <w:lang w:eastAsia="ja-JP" w:bidi="he-IL"/>
              </w:rPr>
              <w:t xml:space="preserve"> of Supported Rates and BSS Membership Selectors element and</w:t>
            </w:r>
            <w:r w:rsidRPr="007837C2">
              <w:rPr>
                <w:rFonts w:ascii="Arial" w:hAnsi="Arial" w:cs="Arial"/>
                <w:sz w:val="20"/>
                <w:lang w:eastAsia="ja-JP" w:bidi="he-IL"/>
              </w:rPr>
              <w:br/>
            </w:r>
            <w:r w:rsidRPr="007837C2">
              <w:rPr>
                <w:rFonts w:ascii="Arial" w:hAnsi="Arial" w:cs="Arial"/>
                <w:sz w:val="20"/>
                <w:lang w:eastAsia="ja-JP" w:bidi="he-IL"/>
              </w:rPr>
              <w:br/>
              <w:t>Extended Supported Rates and BSS Membership Selectors element and 11.1.7 Supported rates and extended supported rates advertisement cover the same material</w:t>
            </w:r>
          </w:p>
        </w:tc>
        <w:tc>
          <w:tcPr>
            <w:tcW w:w="2724" w:type="dxa"/>
            <w:hideMark/>
          </w:tcPr>
          <w:p w14:paraId="0362637C"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Merge 11.1.7 into 11.1.4.6 then delete 11.1.7</w:t>
            </w:r>
          </w:p>
        </w:tc>
      </w:tr>
    </w:tbl>
    <w:p w14:paraId="44F18199"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7155B97A" w14:textId="77777777" w:rsidTr="007837C2">
        <w:trPr>
          <w:trHeight w:val="1020"/>
        </w:trPr>
        <w:tc>
          <w:tcPr>
            <w:tcW w:w="738" w:type="dxa"/>
            <w:hideMark/>
          </w:tcPr>
          <w:p w14:paraId="44FA4D07"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1281</w:t>
            </w:r>
          </w:p>
        </w:tc>
        <w:tc>
          <w:tcPr>
            <w:tcW w:w="990" w:type="dxa"/>
            <w:hideMark/>
          </w:tcPr>
          <w:p w14:paraId="238AABF2"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839.64</w:t>
            </w:r>
          </w:p>
        </w:tc>
        <w:tc>
          <w:tcPr>
            <w:tcW w:w="630" w:type="dxa"/>
            <w:hideMark/>
          </w:tcPr>
          <w:p w14:paraId="19F328FA"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64</w:t>
            </w:r>
          </w:p>
        </w:tc>
        <w:tc>
          <w:tcPr>
            <w:tcW w:w="1080" w:type="dxa"/>
            <w:hideMark/>
          </w:tcPr>
          <w:p w14:paraId="2077ABEE"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9.4.1.7</w:t>
            </w:r>
          </w:p>
        </w:tc>
        <w:tc>
          <w:tcPr>
            <w:tcW w:w="1260" w:type="dxa"/>
            <w:hideMark/>
          </w:tcPr>
          <w:p w14:paraId="26E1F062"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6BF96489"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In Table 9-51, Reason codes 40-44 are not defined.</w:t>
            </w:r>
          </w:p>
        </w:tc>
        <w:tc>
          <w:tcPr>
            <w:tcW w:w="2724" w:type="dxa"/>
            <w:hideMark/>
          </w:tcPr>
          <w:p w14:paraId="5992D72D"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Please change the Reason code "45" to "40-45".</w:t>
            </w:r>
          </w:p>
        </w:tc>
      </w:tr>
    </w:tbl>
    <w:p w14:paraId="6F45A40B"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37493173" w14:textId="77777777" w:rsidTr="007837C2">
        <w:trPr>
          <w:trHeight w:val="8190"/>
        </w:trPr>
        <w:tc>
          <w:tcPr>
            <w:tcW w:w="738" w:type="dxa"/>
            <w:hideMark/>
          </w:tcPr>
          <w:p w14:paraId="00B97F40"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1431</w:t>
            </w:r>
          </w:p>
        </w:tc>
        <w:tc>
          <w:tcPr>
            <w:tcW w:w="990" w:type="dxa"/>
            <w:hideMark/>
          </w:tcPr>
          <w:p w14:paraId="035A3146"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2249.15</w:t>
            </w:r>
          </w:p>
        </w:tc>
        <w:tc>
          <w:tcPr>
            <w:tcW w:w="630" w:type="dxa"/>
            <w:hideMark/>
          </w:tcPr>
          <w:p w14:paraId="3620EA20"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15</w:t>
            </w:r>
          </w:p>
        </w:tc>
        <w:tc>
          <w:tcPr>
            <w:tcW w:w="1080" w:type="dxa"/>
            <w:hideMark/>
          </w:tcPr>
          <w:p w14:paraId="27C2A119"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11.31.1</w:t>
            </w:r>
          </w:p>
        </w:tc>
        <w:tc>
          <w:tcPr>
            <w:tcW w:w="1260" w:type="dxa"/>
            <w:hideMark/>
          </w:tcPr>
          <w:p w14:paraId="0698657D"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2CD545BD"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w:t>
            </w:r>
            <w:proofErr w:type="gramStart"/>
            <w:r w:rsidRPr="007837C2">
              <w:rPr>
                <w:rFonts w:ascii="Arial" w:hAnsi="Arial" w:cs="Arial"/>
                <w:sz w:val="20"/>
                <w:lang w:eastAsia="ja-JP" w:bidi="he-IL"/>
              </w:rPr>
              <w:t>the  Capabilities</w:t>
            </w:r>
            <w:proofErr w:type="gramEnd"/>
            <w:r w:rsidRPr="007837C2">
              <w:rPr>
                <w:rFonts w:ascii="Arial" w:hAnsi="Arial" w:cs="Arial"/>
                <w:sz w:val="20"/>
                <w:lang w:eastAsia="ja-JP" w:bidi="he-IL"/>
              </w:rPr>
              <w:t xml:space="preserve">  element,  the  Operation  element" -- there are no such elements.  Discussions with 11ad experts suggests the intent is that you use all the elements relevant to the target band/PHY</w:t>
            </w:r>
          </w:p>
        </w:tc>
        <w:tc>
          <w:tcPr>
            <w:tcW w:w="2724" w:type="dxa"/>
            <w:hideMark/>
          </w:tcPr>
          <w:p w14:paraId="0CE138B5"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In the referenced subclause change "A  multi-band  capable  device  shall  include,  in  any  transmitted  FST  Setup  Request  frame  and  in  any</w:t>
            </w:r>
            <w:r w:rsidRPr="007837C2">
              <w:rPr>
                <w:rFonts w:ascii="Arial" w:hAnsi="Arial" w:cs="Arial"/>
                <w:sz w:val="20"/>
                <w:lang w:eastAsia="ja-JP" w:bidi="he-IL"/>
              </w:rPr>
              <w:br/>
            </w:r>
            <w:r w:rsidRPr="007837C2">
              <w:rPr>
                <w:rFonts w:ascii="Arial" w:hAnsi="Arial" w:cs="Arial"/>
                <w:sz w:val="20"/>
                <w:lang w:eastAsia="ja-JP" w:bidi="he-IL"/>
              </w:rPr>
              <w:br/>
              <w:t>transmitted  FST  Setup  Response  frame,  the  Capabilities  element,  the  Operation  element,  the  EDCA</w:t>
            </w:r>
            <w:r w:rsidRPr="007837C2">
              <w:rPr>
                <w:rFonts w:ascii="Arial" w:hAnsi="Arial" w:cs="Arial"/>
                <w:sz w:val="20"/>
                <w:lang w:eastAsia="ja-JP" w:bidi="he-IL"/>
              </w:rPr>
              <w:br/>
            </w:r>
            <w:r w:rsidRPr="007837C2">
              <w:rPr>
                <w:rFonts w:ascii="Arial" w:hAnsi="Arial" w:cs="Arial"/>
                <w:sz w:val="20"/>
                <w:lang w:eastAsia="ja-JP" w:bidi="he-IL"/>
              </w:rPr>
              <w:br/>
              <w:t>Parameter  Set  element,  Supported  Rates  and  BSS  Membership  Selectors  element,  Extended  Supported</w:t>
            </w:r>
            <w:r w:rsidRPr="007837C2">
              <w:rPr>
                <w:rFonts w:ascii="Arial" w:hAnsi="Arial" w:cs="Arial"/>
                <w:sz w:val="20"/>
                <w:lang w:eastAsia="ja-JP" w:bidi="he-IL"/>
              </w:rPr>
              <w:br/>
            </w:r>
            <w:r w:rsidRPr="007837C2">
              <w:rPr>
                <w:rFonts w:ascii="Arial" w:hAnsi="Arial" w:cs="Arial"/>
                <w:sz w:val="20"/>
                <w:lang w:eastAsia="ja-JP" w:bidi="he-IL"/>
              </w:rPr>
              <w:br/>
              <w:t>Rates and BSS Membership Selectors element, and Supported Channels element that are applicable to the</w:t>
            </w:r>
            <w:r w:rsidRPr="007837C2">
              <w:rPr>
                <w:rFonts w:ascii="Arial" w:hAnsi="Arial" w:cs="Arial"/>
                <w:sz w:val="20"/>
                <w:lang w:eastAsia="ja-JP" w:bidi="he-IL"/>
              </w:rPr>
              <w:br/>
            </w:r>
            <w:r w:rsidRPr="007837C2">
              <w:rPr>
                <w:rFonts w:ascii="Arial" w:hAnsi="Arial" w:cs="Arial"/>
                <w:sz w:val="20"/>
                <w:lang w:eastAsia="ja-JP" w:bidi="he-IL"/>
              </w:rPr>
              <w:br/>
              <w:t>band  and  channel  number  indicated  within  its  most  recently  transmitted  Multi-band  element  that  was</w:t>
            </w:r>
            <w:r w:rsidRPr="007837C2">
              <w:rPr>
                <w:rFonts w:ascii="Arial" w:hAnsi="Arial" w:cs="Arial"/>
                <w:sz w:val="20"/>
                <w:lang w:eastAsia="ja-JP" w:bidi="he-IL"/>
              </w:rPr>
              <w:br/>
            </w:r>
            <w:r w:rsidRPr="007837C2">
              <w:rPr>
                <w:rFonts w:ascii="Arial" w:hAnsi="Arial" w:cs="Arial"/>
                <w:sz w:val="20"/>
                <w:lang w:eastAsia="ja-JP" w:bidi="he-IL"/>
              </w:rPr>
              <w:br/>
              <w:t>transmitted on the same band and channel number on which it is transmitting the FST Setup Request or FST</w:t>
            </w:r>
            <w:r w:rsidRPr="007837C2">
              <w:rPr>
                <w:rFonts w:ascii="Arial" w:hAnsi="Arial" w:cs="Arial"/>
                <w:sz w:val="20"/>
                <w:lang w:eastAsia="ja-JP" w:bidi="he-IL"/>
              </w:rPr>
              <w:br/>
            </w:r>
            <w:r w:rsidRPr="007837C2">
              <w:rPr>
                <w:rFonts w:ascii="Arial" w:hAnsi="Arial" w:cs="Arial"/>
                <w:sz w:val="20"/>
                <w:lang w:eastAsia="ja-JP" w:bidi="he-IL"/>
              </w:rPr>
              <w:br/>
              <w:t xml:space="preserve">Setup Response frames." to "A  multi-band  capable  device  shall  include,  in  any  transmitted  FST  </w:t>
            </w:r>
            <w:r w:rsidRPr="007837C2">
              <w:rPr>
                <w:rFonts w:ascii="Arial" w:hAnsi="Arial" w:cs="Arial"/>
                <w:sz w:val="20"/>
                <w:lang w:eastAsia="ja-JP" w:bidi="he-IL"/>
              </w:rPr>
              <w:lastRenderedPageBreak/>
              <w:t>Setup  Request  frame  and  in  any</w:t>
            </w:r>
            <w:r w:rsidRPr="007837C2">
              <w:rPr>
                <w:rFonts w:ascii="Arial" w:hAnsi="Arial" w:cs="Arial"/>
                <w:sz w:val="20"/>
                <w:lang w:eastAsia="ja-JP" w:bidi="he-IL"/>
              </w:rPr>
              <w:br/>
            </w:r>
            <w:r w:rsidRPr="007837C2">
              <w:rPr>
                <w:rFonts w:ascii="Arial" w:hAnsi="Arial" w:cs="Arial"/>
                <w:sz w:val="20"/>
                <w:lang w:eastAsia="ja-JP" w:bidi="he-IL"/>
              </w:rPr>
              <w:br/>
              <w:t>transmitted  FST  Setup  Response  frame,  all the  elements that are applicable to the</w:t>
            </w:r>
            <w:r w:rsidRPr="007837C2">
              <w:rPr>
                <w:rFonts w:ascii="Arial" w:hAnsi="Arial" w:cs="Arial"/>
                <w:sz w:val="20"/>
                <w:lang w:eastAsia="ja-JP" w:bidi="he-IL"/>
              </w:rPr>
              <w:br/>
            </w:r>
            <w:r w:rsidRPr="007837C2">
              <w:rPr>
                <w:rFonts w:ascii="Arial" w:hAnsi="Arial" w:cs="Arial"/>
                <w:sz w:val="20"/>
                <w:lang w:eastAsia="ja-JP" w:bidi="he-IL"/>
              </w:rPr>
              <w:br/>
              <w:t>band, PHY  and  channel  number  indicated  within  its  most  recently  transmitted  Multi-band  element  that  was</w:t>
            </w:r>
            <w:r w:rsidRPr="007837C2">
              <w:rPr>
                <w:rFonts w:ascii="Arial" w:hAnsi="Arial" w:cs="Arial"/>
                <w:sz w:val="20"/>
                <w:lang w:eastAsia="ja-JP" w:bidi="he-IL"/>
              </w:rPr>
              <w:br/>
            </w:r>
            <w:r w:rsidRPr="007837C2">
              <w:rPr>
                <w:rFonts w:ascii="Arial" w:hAnsi="Arial" w:cs="Arial"/>
                <w:sz w:val="20"/>
                <w:lang w:eastAsia="ja-JP" w:bidi="he-IL"/>
              </w:rPr>
              <w:br/>
              <w:t>transmitted on the same band and channel number on which it is transmitting the FST Setup Request or FST</w:t>
            </w:r>
            <w:r w:rsidRPr="007837C2">
              <w:rPr>
                <w:rFonts w:ascii="Arial" w:hAnsi="Arial" w:cs="Arial"/>
                <w:sz w:val="20"/>
                <w:lang w:eastAsia="ja-JP" w:bidi="he-IL"/>
              </w:rPr>
              <w:br/>
            </w:r>
            <w:r w:rsidRPr="007837C2">
              <w:rPr>
                <w:rFonts w:ascii="Arial" w:hAnsi="Arial" w:cs="Arial"/>
                <w:sz w:val="20"/>
                <w:lang w:eastAsia="ja-JP" w:bidi="he-IL"/>
              </w:rPr>
              <w:br/>
              <w:t>Setup Response frames."</w:t>
            </w:r>
          </w:p>
        </w:tc>
      </w:tr>
    </w:tbl>
    <w:p w14:paraId="76A60FDC"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6CB70567" w14:textId="77777777" w:rsidTr="007837C2">
        <w:trPr>
          <w:trHeight w:val="1020"/>
        </w:trPr>
        <w:tc>
          <w:tcPr>
            <w:tcW w:w="738" w:type="dxa"/>
            <w:hideMark/>
          </w:tcPr>
          <w:p w14:paraId="0DFADD60"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1283</w:t>
            </w:r>
          </w:p>
        </w:tc>
        <w:tc>
          <w:tcPr>
            <w:tcW w:w="990" w:type="dxa"/>
            <w:hideMark/>
          </w:tcPr>
          <w:p w14:paraId="0671A2B4"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915.48</w:t>
            </w:r>
          </w:p>
        </w:tc>
        <w:tc>
          <w:tcPr>
            <w:tcW w:w="630" w:type="dxa"/>
            <w:hideMark/>
          </w:tcPr>
          <w:p w14:paraId="507B8E35"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48</w:t>
            </w:r>
          </w:p>
        </w:tc>
        <w:tc>
          <w:tcPr>
            <w:tcW w:w="1080" w:type="dxa"/>
            <w:hideMark/>
          </w:tcPr>
          <w:p w14:paraId="2F0B77A6"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9.4.2.1</w:t>
            </w:r>
          </w:p>
        </w:tc>
        <w:tc>
          <w:tcPr>
            <w:tcW w:w="1260" w:type="dxa"/>
            <w:hideMark/>
          </w:tcPr>
          <w:p w14:paraId="56CC755C"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4BB0F215"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In Table 9-87, Element ID Extension 44 is double defined.</w:t>
            </w:r>
          </w:p>
        </w:tc>
        <w:tc>
          <w:tcPr>
            <w:tcW w:w="2724" w:type="dxa"/>
            <w:hideMark/>
          </w:tcPr>
          <w:p w14:paraId="5E43DE61"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Please change Element ID Extension "15-32, 35-255" to "15-32, 35-43, 45-255".</w:t>
            </w:r>
          </w:p>
        </w:tc>
      </w:tr>
    </w:tbl>
    <w:p w14:paraId="2559B7CC"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7655898D" w14:textId="77777777" w:rsidTr="007837C2">
        <w:trPr>
          <w:trHeight w:val="8190"/>
        </w:trPr>
        <w:tc>
          <w:tcPr>
            <w:tcW w:w="738" w:type="dxa"/>
            <w:hideMark/>
          </w:tcPr>
          <w:p w14:paraId="44573C46"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lastRenderedPageBreak/>
              <w:t>1286</w:t>
            </w:r>
          </w:p>
        </w:tc>
        <w:tc>
          <w:tcPr>
            <w:tcW w:w="990" w:type="dxa"/>
            <w:hideMark/>
          </w:tcPr>
          <w:p w14:paraId="78BCDC89"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842.18</w:t>
            </w:r>
          </w:p>
        </w:tc>
        <w:tc>
          <w:tcPr>
            <w:tcW w:w="630" w:type="dxa"/>
            <w:hideMark/>
          </w:tcPr>
          <w:p w14:paraId="00655B2D"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18</w:t>
            </w:r>
          </w:p>
        </w:tc>
        <w:tc>
          <w:tcPr>
            <w:tcW w:w="1080" w:type="dxa"/>
            <w:hideMark/>
          </w:tcPr>
          <w:p w14:paraId="4B6773EF"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9.4.1.8</w:t>
            </w:r>
          </w:p>
        </w:tc>
        <w:tc>
          <w:tcPr>
            <w:tcW w:w="1260" w:type="dxa"/>
            <w:hideMark/>
          </w:tcPr>
          <w:p w14:paraId="6148177F"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79E97921"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 xml:space="preserve">IEEE </w:t>
            </w:r>
            <w:proofErr w:type="spellStart"/>
            <w:r w:rsidRPr="007837C2">
              <w:rPr>
                <w:rFonts w:ascii="Arial" w:hAnsi="Arial" w:cs="Arial"/>
                <w:sz w:val="20"/>
                <w:lang w:eastAsia="ja-JP" w:bidi="he-IL"/>
              </w:rPr>
              <w:t>Std</w:t>
            </w:r>
            <w:proofErr w:type="spellEnd"/>
            <w:r w:rsidRPr="007837C2">
              <w:rPr>
                <w:rFonts w:ascii="Arial" w:hAnsi="Arial" w:cs="Arial"/>
                <w:sz w:val="20"/>
                <w:lang w:eastAsia="ja-JP" w:bidi="he-IL"/>
              </w:rPr>
              <w:t xml:space="preserve"> 802.11-2016 modified the definition of AID field to </w:t>
            </w:r>
            <w:proofErr w:type="gramStart"/>
            <w:r w:rsidRPr="007837C2">
              <w:rPr>
                <w:rFonts w:ascii="Arial" w:hAnsi="Arial" w:cs="Arial"/>
                <w:sz w:val="20"/>
                <w:lang w:eastAsia="ja-JP" w:bidi="he-IL"/>
              </w:rPr>
              <w:t>say</w:t>
            </w:r>
            <w:proofErr w:type="gramEnd"/>
            <w:r w:rsidRPr="007837C2">
              <w:rPr>
                <w:rFonts w:ascii="Arial" w:hAnsi="Arial" w:cs="Arial"/>
                <w:sz w:val="20"/>
                <w:lang w:eastAsia="ja-JP" w:bidi="he-IL"/>
              </w:rPr>
              <w:t xml:space="preserve"> "A non-DMG STA assigns the value of the AID in the range of 1 to 2007; the 5 MSBs of the AID field are reserved" while the 802.11-2012 definition said "The value assigned as the AID is in the range 1-2007 and is placed in the 14 LSBs of the AID field, with the two MSBs of the AID field set to 1". This changes </w:t>
            </w:r>
            <w:proofErr w:type="spellStart"/>
            <w:r w:rsidRPr="007837C2">
              <w:rPr>
                <w:rFonts w:ascii="Arial" w:hAnsi="Arial" w:cs="Arial"/>
                <w:sz w:val="20"/>
                <w:lang w:eastAsia="ja-JP" w:bidi="he-IL"/>
              </w:rPr>
              <w:t>behavior</w:t>
            </w:r>
            <w:proofErr w:type="spellEnd"/>
            <w:r w:rsidRPr="007837C2">
              <w:rPr>
                <w:rFonts w:ascii="Arial" w:hAnsi="Arial" w:cs="Arial"/>
                <w:sz w:val="20"/>
                <w:lang w:eastAsia="ja-JP" w:bidi="he-IL"/>
              </w:rPr>
              <w:t xml:space="preserve"> in a backwards incompatible manner due to the general convention (see 9.2.2): "Reserved fields and subfields are set to 0 upon transmission and are ignored upon reception.". In other words, this change would imply that the two MSBs are set to 0 instead 1. This results in interoperability issues with deployed devices </w:t>
            </w:r>
            <w:proofErr w:type="gramStart"/>
            <w:r w:rsidRPr="007837C2">
              <w:rPr>
                <w:rFonts w:ascii="Arial" w:hAnsi="Arial" w:cs="Arial"/>
                <w:sz w:val="20"/>
                <w:lang w:eastAsia="ja-JP" w:bidi="he-IL"/>
              </w:rPr>
              <w:t>in particular with</w:t>
            </w:r>
            <w:proofErr w:type="gramEnd"/>
            <w:r w:rsidRPr="007837C2">
              <w:rPr>
                <w:rFonts w:ascii="Arial" w:hAnsi="Arial" w:cs="Arial"/>
                <w:sz w:val="20"/>
                <w:lang w:eastAsia="ja-JP" w:bidi="he-IL"/>
              </w:rPr>
              <w:t xml:space="preserve"> (Re)Association Response frames where a non-AP STA may either reject the frame if the two MSBs of the AID are not 1 or there might be undefined </w:t>
            </w:r>
            <w:proofErr w:type="spellStart"/>
            <w:r w:rsidRPr="007837C2">
              <w:rPr>
                <w:rFonts w:ascii="Arial" w:hAnsi="Arial" w:cs="Arial"/>
                <w:sz w:val="20"/>
                <w:lang w:eastAsia="ja-JP" w:bidi="he-IL"/>
              </w:rPr>
              <w:t>behavior</w:t>
            </w:r>
            <w:proofErr w:type="spellEnd"/>
            <w:r w:rsidRPr="007837C2">
              <w:rPr>
                <w:rFonts w:ascii="Arial" w:hAnsi="Arial" w:cs="Arial"/>
                <w:sz w:val="20"/>
                <w:lang w:eastAsia="ja-JP" w:bidi="he-IL"/>
              </w:rPr>
              <w:t xml:space="preserve"> when matching the received value against the value used in PS-Poll frames. This type of "</w:t>
            </w:r>
            <w:proofErr w:type="spellStart"/>
            <w:r w:rsidRPr="007837C2">
              <w:rPr>
                <w:rFonts w:ascii="Arial" w:hAnsi="Arial" w:cs="Arial"/>
                <w:sz w:val="20"/>
                <w:lang w:eastAsia="ja-JP" w:bidi="he-IL"/>
              </w:rPr>
              <w:t>cleanup</w:t>
            </w:r>
            <w:proofErr w:type="spellEnd"/>
            <w:r w:rsidRPr="007837C2">
              <w:rPr>
                <w:rFonts w:ascii="Arial" w:hAnsi="Arial" w:cs="Arial"/>
                <w:sz w:val="20"/>
                <w:lang w:eastAsia="ja-JP" w:bidi="he-IL"/>
              </w:rPr>
              <w:t>" change is not acceptable and needs to be reverted to avoid interoperability issues with deployed devices. This comment is proposing a change for the 802.11-2012 case. A similar change could be considered for DMG and S1G cases as well, if those are expected to have interoperability issues. Alternatively, the AID field definition could be left as-is and the specific uses of AID field in the relevant frames (at least (Re)Association Response frames) could be specified to set the two MSBs to 1.</w:t>
            </w:r>
          </w:p>
        </w:tc>
        <w:tc>
          <w:tcPr>
            <w:tcW w:w="2724" w:type="dxa"/>
            <w:hideMark/>
          </w:tcPr>
          <w:p w14:paraId="0CD8DAFB"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Replace "A non-DMG and non-S1G STA assigns the value of the AID in the range of 1 to 2007; the 5 MSBs of</w:t>
            </w:r>
            <w:r w:rsidRPr="007837C2">
              <w:rPr>
                <w:rFonts w:ascii="Arial" w:hAnsi="Arial" w:cs="Arial"/>
                <w:sz w:val="20"/>
                <w:lang w:eastAsia="ja-JP" w:bidi="he-IL"/>
              </w:rPr>
              <w:br/>
            </w:r>
            <w:r w:rsidRPr="007837C2">
              <w:rPr>
                <w:rFonts w:ascii="Arial" w:hAnsi="Arial" w:cs="Arial"/>
                <w:sz w:val="20"/>
                <w:lang w:eastAsia="ja-JP" w:bidi="he-IL"/>
              </w:rPr>
              <w:br/>
              <w:t>the AID field are reserved." with "A non-DMG and non-S1G STA assigns the value of the AID in the range of 1 to 2007. This value is placed in the 14 LSBs of the AID field, with the two MSBs of the AID field set to 1."</w:t>
            </w:r>
          </w:p>
        </w:tc>
      </w:tr>
    </w:tbl>
    <w:p w14:paraId="3B0CA0B6"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68992A5F" w14:textId="77777777" w:rsidTr="007837C2">
        <w:trPr>
          <w:trHeight w:val="1275"/>
        </w:trPr>
        <w:tc>
          <w:tcPr>
            <w:tcW w:w="738" w:type="dxa"/>
            <w:hideMark/>
          </w:tcPr>
          <w:p w14:paraId="4A8AD32B"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lastRenderedPageBreak/>
              <w:t>1305</w:t>
            </w:r>
          </w:p>
        </w:tc>
        <w:tc>
          <w:tcPr>
            <w:tcW w:w="990" w:type="dxa"/>
            <w:hideMark/>
          </w:tcPr>
          <w:p w14:paraId="3E8E6584"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1565.59</w:t>
            </w:r>
          </w:p>
        </w:tc>
        <w:tc>
          <w:tcPr>
            <w:tcW w:w="630" w:type="dxa"/>
            <w:hideMark/>
          </w:tcPr>
          <w:p w14:paraId="77D95A48"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59</w:t>
            </w:r>
          </w:p>
        </w:tc>
        <w:tc>
          <w:tcPr>
            <w:tcW w:w="1080" w:type="dxa"/>
            <w:hideMark/>
          </w:tcPr>
          <w:p w14:paraId="68697A7C"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10.2.3.1</w:t>
            </w:r>
          </w:p>
        </w:tc>
        <w:tc>
          <w:tcPr>
            <w:tcW w:w="1260" w:type="dxa"/>
            <w:hideMark/>
          </w:tcPr>
          <w:p w14:paraId="09DF71FE"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0C75EB55"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 xml:space="preserve">Text states "Frames listed in Table 9-376 (HT Action field </w:t>
            </w:r>
            <w:proofErr w:type="gramStart"/>
            <w:r w:rsidRPr="007837C2">
              <w:rPr>
                <w:rFonts w:ascii="Arial" w:hAnsi="Arial" w:cs="Arial"/>
                <w:sz w:val="20"/>
                <w:lang w:eastAsia="ja-JP" w:bidi="he-IL"/>
              </w:rPr>
              <w:t>values)(</w:t>
            </w:r>
            <w:proofErr w:type="gramEnd"/>
            <w:r w:rsidRPr="007837C2">
              <w:rPr>
                <w:rFonts w:ascii="Arial" w:hAnsi="Arial" w:cs="Arial"/>
                <w:sz w:val="20"/>
                <w:lang w:eastAsia="ja-JP" w:bidi="he-IL"/>
              </w:rPr>
              <w:t>11ah),"  Frames are not listed in these tables. It lists values</w:t>
            </w:r>
          </w:p>
        </w:tc>
        <w:tc>
          <w:tcPr>
            <w:tcW w:w="2724" w:type="dxa"/>
            <w:hideMark/>
          </w:tcPr>
          <w:p w14:paraId="22D1E05E"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 xml:space="preserve">Grammar? Should it </w:t>
            </w:r>
            <w:proofErr w:type="gramStart"/>
            <w:r w:rsidRPr="007837C2">
              <w:rPr>
                <w:rFonts w:ascii="Arial" w:hAnsi="Arial" w:cs="Arial"/>
                <w:sz w:val="20"/>
                <w:lang w:eastAsia="ja-JP" w:bidi="he-IL"/>
              </w:rPr>
              <w:t>say</w:t>
            </w:r>
            <w:proofErr w:type="gramEnd"/>
            <w:r w:rsidRPr="007837C2">
              <w:rPr>
                <w:rFonts w:ascii="Arial" w:hAnsi="Arial" w:cs="Arial"/>
                <w:sz w:val="20"/>
                <w:lang w:eastAsia="ja-JP" w:bidi="he-IL"/>
              </w:rPr>
              <w:t xml:space="preserve"> "frames using values in tables.......with a value of yes in the "time priority" column....</w:t>
            </w:r>
          </w:p>
        </w:tc>
      </w:tr>
    </w:tbl>
    <w:p w14:paraId="2FCB4682"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1500DC46" w14:textId="77777777" w:rsidTr="007837C2">
        <w:trPr>
          <w:trHeight w:val="1785"/>
        </w:trPr>
        <w:tc>
          <w:tcPr>
            <w:tcW w:w="738" w:type="dxa"/>
            <w:hideMark/>
          </w:tcPr>
          <w:p w14:paraId="56FB6F81"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1338</w:t>
            </w:r>
          </w:p>
        </w:tc>
        <w:tc>
          <w:tcPr>
            <w:tcW w:w="990" w:type="dxa"/>
            <w:hideMark/>
          </w:tcPr>
          <w:p w14:paraId="174D2201"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1285.37</w:t>
            </w:r>
          </w:p>
        </w:tc>
        <w:tc>
          <w:tcPr>
            <w:tcW w:w="630" w:type="dxa"/>
            <w:hideMark/>
          </w:tcPr>
          <w:p w14:paraId="051E3F15"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37</w:t>
            </w:r>
          </w:p>
        </w:tc>
        <w:tc>
          <w:tcPr>
            <w:tcW w:w="1080" w:type="dxa"/>
            <w:hideMark/>
          </w:tcPr>
          <w:p w14:paraId="7466BD60"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9.4.2.185</w:t>
            </w:r>
          </w:p>
        </w:tc>
        <w:tc>
          <w:tcPr>
            <w:tcW w:w="1260" w:type="dxa"/>
            <w:hideMark/>
          </w:tcPr>
          <w:p w14:paraId="75B774E7"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73B9F0E0"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 At least one of the bits in FILSC Type field is set to 1. " -- but setting one of the reserved bits would not be helpful (and would be contrary to the definition of "reserved")</w:t>
            </w:r>
          </w:p>
        </w:tc>
        <w:tc>
          <w:tcPr>
            <w:tcW w:w="2724" w:type="dxa"/>
            <w:hideMark/>
          </w:tcPr>
          <w:p w14:paraId="3F5AAF38"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Change the cited text at the referenced location to "At least one of the non-reserved bits in FILSC Type field is set to 1."</w:t>
            </w:r>
          </w:p>
        </w:tc>
      </w:tr>
    </w:tbl>
    <w:p w14:paraId="3EEFB514"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0DBF18DA" w14:textId="77777777" w:rsidTr="007837C2">
        <w:trPr>
          <w:trHeight w:val="1020"/>
        </w:trPr>
        <w:tc>
          <w:tcPr>
            <w:tcW w:w="738" w:type="dxa"/>
            <w:hideMark/>
          </w:tcPr>
          <w:p w14:paraId="5D0F369B"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1343</w:t>
            </w:r>
          </w:p>
        </w:tc>
        <w:tc>
          <w:tcPr>
            <w:tcW w:w="990" w:type="dxa"/>
            <w:hideMark/>
          </w:tcPr>
          <w:p w14:paraId="37202906"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1955.16</w:t>
            </w:r>
          </w:p>
        </w:tc>
        <w:tc>
          <w:tcPr>
            <w:tcW w:w="630" w:type="dxa"/>
            <w:hideMark/>
          </w:tcPr>
          <w:p w14:paraId="67D29F2C"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16</w:t>
            </w:r>
          </w:p>
        </w:tc>
        <w:tc>
          <w:tcPr>
            <w:tcW w:w="1080" w:type="dxa"/>
            <w:hideMark/>
          </w:tcPr>
          <w:p w14:paraId="16314C94"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11.1.4.3.4</w:t>
            </w:r>
          </w:p>
        </w:tc>
        <w:tc>
          <w:tcPr>
            <w:tcW w:w="1260" w:type="dxa"/>
            <w:hideMark/>
          </w:tcPr>
          <w:p w14:paraId="0BD1C3AD"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56763238"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"If the next Beacon is not used as a response" is missing "frame"</w:t>
            </w:r>
          </w:p>
        </w:tc>
        <w:tc>
          <w:tcPr>
            <w:tcW w:w="2724" w:type="dxa"/>
            <w:hideMark/>
          </w:tcPr>
          <w:p w14:paraId="0F716F14"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Add "frame" after "Beacon" in the cited text at the referenced location</w:t>
            </w:r>
          </w:p>
        </w:tc>
      </w:tr>
    </w:tbl>
    <w:p w14:paraId="2845587C"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35944A2E" w14:textId="77777777" w:rsidTr="007837C2">
        <w:trPr>
          <w:trHeight w:val="6630"/>
        </w:trPr>
        <w:tc>
          <w:tcPr>
            <w:tcW w:w="738" w:type="dxa"/>
            <w:hideMark/>
          </w:tcPr>
          <w:p w14:paraId="77291AB7"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1349</w:t>
            </w:r>
          </w:p>
        </w:tc>
        <w:tc>
          <w:tcPr>
            <w:tcW w:w="990" w:type="dxa"/>
            <w:hideMark/>
          </w:tcPr>
          <w:p w14:paraId="147A7F7C"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2287.18</w:t>
            </w:r>
          </w:p>
        </w:tc>
        <w:tc>
          <w:tcPr>
            <w:tcW w:w="630" w:type="dxa"/>
            <w:hideMark/>
          </w:tcPr>
          <w:p w14:paraId="3A796AF6"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18</w:t>
            </w:r>
          </w:p>
        </w:tc>
        <w:tc>
          <w:tcPr>
            <w:tcW w:w="1080" w:type="dxa"/>
            <w:hideMark/>
          </w:tcPr>
          <w:p w14:paraId="5F093652"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11.42.3</w:t>
            </w:r>
          </w:p>
        </w:tc>
        <w:tc>
          <w:tcPr>
            <w:tcW w:w="1260" w:type="dxa"/>
            <w:hideMark/>
          </w:tcPr>
          <w:p w14:paraId="6878FA3B"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0B9E4599"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w:t>
            </w:r>
            <w:proofErr w:type="gramStart"/>
            <w:r w:rsidRPr="007837C2">
              <w:rPr>
                <w:rFonts w:ascii="Arial" w:hAnsi="Arial" w:cs="Arial"/>
                <w:sz w:val="20"/>
                <w:lang w:eastAsia="ja-JP" w:bidi="he-IL"/>
              </w:rPr>
              <w:t>A  GDD</w:t>
            </w:r>
            <w:proofErr w:type="gramEnd"/>
            <w:r w:rsidRPr="007837C2">
              <w:rPr>
                <w:rFonts w:ascii="Arial" w:hAnsi="Arial" w:cs="Arial"/>
                <w:sz w:val="20"/>
                <w:lang w:eastAsia="ja-JP" w:bidi="he-IL"/>
              </w:rPr>
              <w:t xml:space="preserve">  dependent  STA  shall  cease  all  transmission  when</w:t>
            </w:r>
            <w:r w:rsidRPr="007837C2">
              <w:rPr>
                <w:rFonts w:ascii="Arial" w:hAnsi="Arial" w:cs="Arial"/>
                <w:sz w:val="20"/>
                <w:lang w:eastAsia="ja-JP" w:bidi="he-IL"/>
              </w:rPr>
              <w:br/>
            </w:r>
            <w:r w:rsidRPr="007837C2">
              <w:rPr>
                <w:rFonts w:ascii="Arial" w:hAnsi="Arial" w:cs="Arial"/>
                <w:sz w:val="20"/>
                <w:lang w:eastAsia="ja-JP" w:bidi="he-IL"/>
              </w:rPr>
              <w:br/>
              <w:t>(#172)dot11GDDEnablementValidityTimer has expired" -- a MIB variable cannot expire</w:t>
            </w:r>
          </w:p>
        </w:tc>
        <w:tc>
          <w:tcPr>
            <w:tcW w:w="2724" w:type="dxa"/>
            <w:hideMark/>
          </w:tcPr>
          <w:p w14:paraId="51E0BBDF"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Change the cited text in the referenced location to "</w:t>
            </w:r>
            <w:proofErr w:type="gramStart"/>
            <w:r w:rsidRPr="007837C2">
              <w:rPr>
                <w:rFonts w:ascii="Arial" w:hAnsi="Arial" w:cs="Arial"/>
                <w:sz w:val="20"/>
                <w:lang w:eastAsia="ja-JP" w:bidi="he-IL"/>
              </w:rPr>
              <w:t>A  GDD</w:t>
            </w:r>
            <w:proofErr w:type="gramEnd"/>
            <w:r w:rsidRPr="007837C2">
              <w:rPr>
                <w:rFonts w:ascii="Arial" w:hAnsi="Arial" w:cs="Arial"/>
                <w:sz w:val="20"/>
                <w:lang w:eastAsia="ja-JP" w:bidi="he-IL"/>
              </w:rPr>
              <w:t xml:space="preserve">  dependent  STA  shall  cease  all  transmission  when the GDD enablement validity timer has expired".  In the para above delete "</w:t>
            </w:r>
            <w:proofErr w:type="gramStart"/>
            <w:r w:rsidRPr="007837C2">
              <w:rPr>
                <w:rFonts w:ascii="Arial" w:hAnsi="Arial" w:cs="Arial"/>
                <w:sz w:val="20"/>
                <w:lang w:eastAsia="ja-JP" w:bidi="he-IL"/>
              </w:rPr>
              <w:t>by  decrementing</w:t>
            </w:r>
            <w:proofErr w:type="gramEnd"/>
            <w:r w:rsidRPr="007837C2">
              <w:rPr>
                <w:rFonts w:ascii="Arial" w:hAnsi="Arial" w:cs="Arial"/>
                <w:sz w:val="20"/>
                <w:lang w:eastAsia="ja-JP" w:bidi="he-IL"/>
              </w:rPr>
              <w:br/>
            </w:r>
            <w:r w:rsidRPr="007837C2">
              <w:rPr>
                <w:rFonts w:ascii="Arial" w:hAnsi="Arial" w:cs="Arial"/>
                <w:sz w:val="20"/>
                <w:lang w:eastAsia="ja-JP" w:bidi="he-IL"/>
              </w:rPr>
              <w:br/>
              <w:t>dot11GDDEnablementValidityTimer".  In Figure 11-51 change "dot11GDDEnablementValidityTimer has expired" to "GDD enablement validity timer has expired".  In 11.42.4.1 change "</w:t>
            </w:r>
            <w:proofErr w:type="gramStart"/>
            <w:r w:rsidRPr="007837C2">
              <w:rPr>
                <w:rFonts w:ascii="Arial" w:hAnsi="Arial" w:cs="Arial"/>
                <w:sz w:val="20"/>
                <w:lang w:eastAsia="ja-JP" w:bidi="he-IL"/>
              </w:rPr>
              <w:t>it  reinitializes</w:t>
            </w:r>
            <w:proofErr w:type="gramEnd"/>
            <w:r w:rsidRPr="007837C2">
              <w:rPr>
                <w:rFonts w:ascii="Arial" w:hAnsi="Arial" w:cs="Arial"/>
                <w:sz w:val="20"/>
                <w:lang w:eastAsia="ja-JP" w:bidi="he-IL"/>
              </w:rPr>
              <w:t xml:space="preserve">  the  dot11GDDEnablementValidityTimer  to" to "it reinitializes the GDD enablement validity timer".  In C.3 delete dot11GDDEnablementValidityTimer.  In Tables E-8 and E-11 delete the dot11GDDEnablementValidityTimer row</w:t>
            </w:r>
          </w:p>
        </w:tc>
      </w:tr>
    </w:tbl>
    <w:p w14:paraId="1907B634"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17733E85" w14:textId="77777777" w:rsidTr="007837C2">
        <w:trPr>
          <w:trHeight w:val="2550"/>
        </w:trPr>
        <w:tc>
          <w:tcPr>
            <w:tcW w:w="738" w:type="dxa"/>
            <w:hideMark/>
          </w:tcPr>
          <w:p w14:paraId="14EE9D55"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lastRenderedPageBreak/>
              <w:t>1273</w:t>
            </w:r>
          </w:p>
        </w:tc>
        <w:tc>
          <w:tcPr>
            <w:tcW w:w="990" w:type="dxa"/>
            <w:hideMark/>
          </w:tcPr>
          <w:p w14:paraId="0D405C11"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1019.57</w:t>
            </w:r>
          </w:p>
        </w:tc>
        <w:tc>
          <w:tcPr>
            <w:tcW w:w="630" w:type="dxa"/>
            <w:hideMark/>
          </w:tcPr>
          <w:p w14:paraId="7918A86D"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57</w:t>
            </w:r>
          </w:p>
        </w:tc>
        <w:tc>
          <w:tcPr>
            <w:tcW w:w="1080" w:type="dxa"/>
            <w:hideMark/>
          </w:tcPr>
          <w:p w14:paraId="42025CE7"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9.4.2.24.1</w:t>
            </w:r>
          </w:p>
        </w:tc>
        <w:tc>
          <w:tcPr>
            <w:tcW w:w="1260" w:type="dxa"/>
            <w:hideMark/>
          </w:tcPr>
          <w:p w14:paraId="03E85595"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2BCBA2BA"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"AES-128-CMAC" is a name of the integrity protection algorithm used by the cipher that is called "BIP-CMAC-128". However, couple of places that are clearly referring to a cipher are incorrectly using the name of the algorithm rather than the cipher.</w:t>
            </w:r>
          </w:p>
        </w:tc>
        <w:tc>
          <w:tcPr>
            <w:tcW w:w="2724" w:type="dxa"/>
            <w:hideMark/>
          </w:tcPr>
          <w:p w14:paraId="3E2E760A"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Replace "AES-128-CMAC" with "BIP-CMAC-128" at page 1019 line 57 and page 1020 line 27.</w:t>
            </w:r>
          </w:p>
        </w:tc>
      </w:tr>
    </w:tbl>
    <w:p w14:paraId="7BB000F8"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4C976562" w14:textId="77777777" w:rsidTr="007837C2">
        <w:trPr>
          <w:trHeight w:val="1020"/>
        </w:trPr>
        <w:tc>
          <w:tcPr>
            <w:tcW w:w="738" w:type="dxa"/>
            <w:hideMark/>
          </w:tcPr>
          <w:p w14:paraId="3B322279"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1569</w:t>
            </w:r>
          </w:p>
        </w:tc>
        <w:tc>
          <w:tcPr>
            <w:tcW w:w="990" w:type="dxa"/>
            <w:hideMark/>
          </w:tcPr>
          <w:p w14:paraId="2FB1DF56"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1236.30</w:t>
            </w:r>
          </w:p>
        </w:tc>
        <w:tc>
          <w:tcPr>
            <w:tcW w:w="630" w:type="dxa"/>
            <w:hideMark/>
          </w:tcPr>
          <w:p w14:paraId="55D1AA80"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30</w:t>
            </w:r>
          </w:p>
        </w:tc>
        <w:tc>
          <w:tcPr>
            <w:tcW w:w="1080" w:type="dxa"/>
            <w:hideMark/>
          </w:tcPr>
          <w:p w14:paraId="6786DC8B"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9.4.2.146</w:t>
            </w:r>
          </w:p>
        </w:tc>
        <w:tc>
          <w:tcPr>
            <w:tcW w:w="1260" w:type="dxa"/>
            <w:hideMark/>
          </w:tcPr>
          <w:p w14:paraId="49D4EF77"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028F4A2B"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 xml:space="preserve">What is "A/C power"?  Is </w:t>
            </w:r>
            <w:proofErr w:type="spellStart"/>
            <w:r w:rsidRPr="007837C2">
              <w:rPr>
                <w:rFonts w:ascii="Arial" w:hAnsi="Arial" w:cs="Arial"/>
                <w:sz w:val="20"/>
                <w:lang w:eastAsia="ja-JP" w:bidi="he-IL"/>
              </w:rPr>
              <w:t>PoE</w:t>
            </w:r>
            <w:proofErr w:type="spellEnd"/>
            <w:r w:rsidRPr="007837C2">
              <w:rPr>
                <w:rFonts w:ascii="Arial" w:hAnsi="Arial" w:cs="Arial"/>
                <w:sz w:val="20"/>
                <w:lang w:eastAsia="ja-JP" w:bidi="he-IL"/>
              </w:rPr>
              <w:t xml:space="preserve"> sufficient?  Battery backup?</w:t>
            </w:r>
          </w:p>
        </w:tc>
        <w:tc>
          <w:tcPr>
            <w:tcW w:w="2724" w:type="dxa"/>
            <w:hideMark/>
          </w:tcPr>
          <w:p w14:paraId="4E1D140F"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Change "A/C Power" in the Figure to "Mains power", and in the descriptive text to "Mains or grid power".</w:t>
            </w:r>
          </w:p>
        </w:tc>
      </w:tr>
    </w:tbl>
    <w:p w14:paraId="069D3BAC"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77290E36" w14:textId="77777777" w:rsidTr="007837C2">
        <w:trPr>
          <w:trHeight w:val="4335"/>
        </w:trPr>
        <w:tc>
          <w:tcPr>
            <w:tcW w:w="738" w:type="dxa"/>
            <w:hideMark/>
          </w:tcPr>
          <w:p w14:paraId="67193A97"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1415</w:t>
            </w:r>
          </w:p>
        </w:tc>
        <w:tc>
          <w:tcPr>
            <w:tcW w:w="990" w:type="dxa"/>
            <w:hideMark/>
          </w:tcPr>
          <w:p w14:paraId="48758EE1"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743.03</w:t>
            </w:r>
          </w:p>
        </w:tc>
        <w:tc>
          <w:tcPr>
            <w:tcW w:w="630" w:type="dxa"/>
            <w:hideMark/>
          </w:tcPr>
          <w:p w14:paraId="60F71811"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3</w:t>
            </w:r>
          </w:p>
        </w:tc>
        <w:tc>
          <w:tcPr>
            <w:tcW w:w="1080" w:type="dxa"/>
            <w:hideMark/>
          </w:tcPr>
          <w:p w14:paraId="02632536"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9.2.4.5.4</w:t>
            </w:r>
          </w:p>
        </w:tc>
        <w:tc>
          <w:tcPr>
            <w:tcW w:w="1260" w:type="dxa"/>
            <w:hideMark/>
          </w:tcPr>
          <w:p w14:paraId="1696A7B0"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544A3374"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The way the ack policy is referred to is confusing/inconsistent.  Do you refer to the options indicated by the bit pattern (e.g. "Normal Ack or Implicit Block Ack Request") or do you refer to only the type of ack being requested in the context being requested (e.g. just "Implicit Block Ack Request" in the case of an A-MPDU)?</w:t>
            </w:r>
          </w:p>
        </w:tc>
        <w:tc>
          <w:tcPr>
            <w:tcW w:w="2724" w:type="dxa"/>
            <w:hideMark/>
          </w:tcPr>
          <w:p w14:paraId="3DA4D26A"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Change "The Ack Policy subfield is 2 bits in length and identifies the acknowledgment policy that is followed upon</w:t>
            </w:r>
            <w:r w:rsidRPr="007837C2">
              <w:rPr>
                <w:rFonts w:ascii="Arial" w:hAnsi="Arial" w:cs="Arial"/>
                <w:sz w:val="20"/>
                <w:lang w:eastAsia="ja-JP" w:bidi="he-IL"/>
              </w:rPr>
              <w:br/>
            </w:r>
            <w:r w:rsidRPr="007837C2">
              <w:rPr>
                <w:rFonts w:ascii="Arial" w:hAnsi="Arial" w:cs="Arial"/>
                <w:sz w:val="20"/>
                <w:lang w:eastAsia="ja-JP" w:bidi="he-IL"/>
              </w:rPr>
              <w:br/>
              <w:t>the delivery of the MPDU." to "The Ack Policy subfield is 2 bits in length and identifies, together with other information such as whether it is in the context of an S-MPDU and the value of bit 6 of the Frame Control field, the acknowledgment policy that is followed upon</w:t>
            </w:r>
            <w:r w:rsidRPr="007837C2">
              <w:rPr>
                <w:rFonts w:ascii="Arial" w:hAnsi="Arial" w:cs="Arial"/>
                <w:sz w:val="20"/>
                <w:lang w:eastAsia="ja-JP" w:bidi="he-IL"/>
              </w:rPr>
              <w:br/>
            </w:r>
            <w:r w:rsidRPr="007837C2">
              <w:rPr>
                <w:rFonts w:ascii="Arial" w:hAnsi="Arial" w:cs="Arial"/>
                <w:sz w:val="20"/>
                <w:lang w:eastAsia="ja-JP" w:bidi="he-IL"/>
              </w:rPr>
              <w:br/>
              <w:t>the delivery of the MPDU." at the referenced location</w:t>
            </w:r>
          </w:p>
        </w:tc>
      </w:tr>
    </w:tbl>
    <w:p w14:paraId="104B13F1"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596C3889" w14:textId="77777777" w:rsidTr="007837C2">
        <w:trPr>
          <w:trHeight w:val="3060"/>
        </w:trPr>
        <w:tc>
          <w:tcPr>
            <w:tcW w:w="738" w:type="dxa"/>
            <w:hideMark/>
          </w:tcPr>
          <w:p w14:paraId="7D13286C"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1536</w:t>
            </w:r>
          </w:p>
        </w:tc>
        <w:tc>
          <w:tcPr>
            <w:tcW w:w="990" w:type="dxa"/>
            <w:hideMark/>
          </w:tcPr>
          <w:p w14:paraId="199DFA86"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1267.56</w:t>
            </w:r>
          </w:p>
        </w:tc>
        <w:tc>
          <w:tcPr>
            <w:tcW w:w="630" w:type="dxa"/>
            <w:hideMark/>
          </w:tcPr>
          <w:p w14:paraId="5CA0961C"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56</w:t>
            </w:r>
          </w:p>
        </w:tc>
        <w:tc>
          <w:tcPr>
            <w:tcW w:w="1080" w:type="dxa"/>
            <w:hideMark/>
          </w:tcPr>
          <w:p w14:paraId="17AB8931"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9.4.2.169.2</w:t>
            </w:r>
          </w:p>
        </w:tc>
        <w:tc>
          <w:tcPr>
            <w:tcW w:w="1260" w:type="dxa"/>
            <w:hideMark/>
          </w:tcPr>
          <w:p w14:paraId="38DDEF17"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2960B0D7"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 Values of Operating Class are shown in Table E-4 (Global operating classes), of which</w:t>
            </w:r>
            <w:r w:rsidRPr="007837C2">
              <w:rPr>
                <w:rFonts w:ascii="Arial" w:hAnsi="Arial" w:cs="Arial"/>
                <w:sz w:val="20"/>
                <w:lang w:eastAsia="ja-JP" w:bidi="he-IL"/>
              </w:rPr>
              <w:br/>
            </w:r>
            <w:r w:rsidRPr="007837C2">
              <w:rPr>
                <w:rFonts w:ascii="Arial" w:hAnsi="Arial" w:cs="Arial"/>
                <w:sz w:val="20"/>
                <w:lang w:eastAsia="ja-JP" w:bidi="he-IL"/>
              </w:rPr>
              <w:br/>
              <w:t>operating classes that, together with the channel number, indicate the primary channel is valid (see 11.42.8</w:t>
            </w:r>
            <w:r w:rsidRPr="007837C2">
              <w:rPr>
                <w:rFonts w:ascii="Arial" w:hAnsi="Arial" w:cs="Arial"/>
                <w:sz w:val="20"/>
                <w:lang w:eastAsia="ja-JP" w:bidi="he-IL"/>
              </w:rPr>
              <w:br/>
            </w:r>
            <w:r w:rsidRPr="007837C2">
              <w:rPr>
                <w:rFonts w:ascii="Arial" w:hAnsi="Arial" w:cs="Arial"/>
                <w:sz w:val="20"/>
                <w:lang w:eastAsia="ja-JP" w:bidi="he-IL"/>
              </w:rPr>
              <w:br/>
              <w:t xml:space="preserve">(Reduced </w:t>
            </w:r>
            <w:proofErr w:type="spellStart"/>
            <w:r w:rsidRPr="007837C2">
              <w:rPr>
                <w:rFonts w:ascii="Arial" w:hAnsi="Arial" w:cs="Arial"/>
                <w:sz w:val="20"/>
                <w:lang w:eastAsia="ja-JP" w:bidi="he-IL"/>
              </w:rPr>
              <w:t>neighbor</w:t>
            </w:r>
            <w:proofErr w:type="spellEnd"/>
            <w:r w:rsidRPr="007837C2">
              <w:rPr>
                <w:rFonts w:ascii="Arial" w:hAnsi="Arial" w:cs="Arial"/>
                <w:sz w:val="20"/>
                <w:lang w:eastAsia="ja-JP" w:bidi="he-IL"/>
              </w:rPr>
              <w:t xml:space="preserve"> report))." -- this sentence doesn't make sense</w:t>
            </w:r>
          </w:p>
        </w:tc>
        <w:tc>
          <w:tcPr>
            <w:tcW w:w="2724" w:type="dxa"/>
            <w:hideMark/>
          </w:tcPr>
          <w:p w14:paraId="7D6CFE7F"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Delete the referenced sentence in the referenced location</w:t>
            </w:r>
          </w:p>
        </w:tc>
      </w:tr>
    </w:tbl>
    <w:p w14:paraId="3F9FF83B"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6C9A79A1" w14:textId="77777777" w:rsidTr="007837C2">
        <w:trPr>
          <w:trHeight w:val="4080"/>
        </w:trPr>
        <w:tc>
          <w:tcPr>
            <w:tcW w:w="738" w:type="dxa"/>
            <w:hideMark/>
          </w:tcPr>
          <w:p w14:paraId="27C1B6EA"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lastRenderedPageBreak/>
              <w:t>1485</w:t>
            </w:r>
          </w:p>
        </w:tc>
        <w:tc>
          <w:tcPr>
            <w:tcW w:w="990" w:type="dxa"/>
            <w:hideMark/>
          </w:tcPr>
          <w:p w14:paraId="7DB5D4BB"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2084.47</w:t>
            </w:r>
          </w:p>
        </w:tc>
        <w:tc>
          <w:tcPr>
            <w:tcW w:w="630" w:type="dxa"/>
            <w:hideMark/>
          </w:tcPr>
          <w:p w14:paraId="43AEFB9A"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47</w:t>
            </w:r>
          </w:p>
        </w:tc>
        <w:tc>
          <w:tcPr>
            <w:tcW w:w="1080" w:type="dxa"/>
            <w:hideMark/>
          </w:tcPr>
          <w:p w14:paraId="2AF70B8D"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11.10.6</w:t>
            </w:r>
          </w:p>
        </w:tc>
        <w:tc>
          <w:tcPr>
            <w:tcW w:w="1260" w:type="dxa"/>
            <w:hideMark/>
          </w:tcPr>
          <w:p w14:paraId="01C62EEE"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3120845A"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 A STA refusing a measurement request within an</w:t>
            </w:r>
            <w:r w:rsidRPr="007837C2">
              <w:rPr>
                <w:rFonts w:ascii="Arial" w:hAnsi="Arial" w:cs="Arial"/>
                <w:sz w:val="20"/>
                <w:lang w:eastAsia="ja-JP" w:bidi="he-IL"/>
              </w:rPr>
              <w:br/>
            </w:r>
            <w:r w:rsidRPr="007837C2">
              <w:rPr>
                <w:rFonts w:ascii="Arial" w:hAnsi="Arial" w:cs="Arial"/>
                <w:sz w:val="20"/>
                <w:lang w:eastAsia="ja-JP" w:bidi="he-IL"/>
              </w:rPr>
              <w:br/>
            </w:r>
            <w:proofErr w:type="gramStart"/>
            <w:r w:rsidRPr="007837C2">
              <w:rPr>
                <w:rFonts w:ascii="Arial" w:hAnsi="Arial" w:cs="Arial"/>
                <w:sz w:val="20"/>
                <w:lang w:eastAsia="ja-JP" w:bidi="he-IL"/>
              </w:rPr>
              <w:t>individually  addressed</w:t>
            </w:r>
            <w:proofErr w:type="gramEnd"/>
            <w:r w:rsidRPr="007837C2">
              <w:rPr>
                <w:rFonts w:ascii="Arial" w:hAnsi="Arial" w:cs="Arial"/>
                <w:sz w:val="20"/>
                <w:lang w:eastAsia="ja-JP" w:bidi="he-IL"/>
              </w:rPr>
              <w:t xml:space="preserve">  Radio  Measurement  Request  frame  shall  respond  with  a  measurement  report</w:t>
            </w:r>
            <w:r w:rsidRPr="007837C2">
              <w:rPr>
                <w:rFonts w:ascii="Arial" w:hAnsi="Arial" w:cs="Arial"/>
                <w:sz w:val="20"/>
                <w:lang w:eastAsia="ja-JP" w:bidi="he-IL"/>
              </w:rPr>
              <w:br/>
            </w:r>
            <w:r w:rsidRPr="007837C2">
              <w:rPr>
                <w:rFonts w:ascii="Arial" w:hAnsi="Arial" w:cs="Arial"/>
                <w:sz w:val="20"/>
                <w:lang w:eastAsia="ja-JP" w:bidi="he-IL"/>
              </w:rPr>
              <w:br/>
              <w:t>indicating that it is refusing the measurement request. A STA shall not respond to measurement requests</w:t>
            </w:r>
            <w:r w:rsidRPr="007837C2">
              <w:rPr>
                <w:rFonts w:ascii="Arial" w:hAnsi="Arial" w:cs="Arial"/>
                <w:sz w:val="20"/>
                <w:lang w:eastAsia="ja-JP" w:bidi="he-IL"/>
              </w:rPr>
              <w:br/>
            </w:r>
            <w:r w:rsidRPr="007837C2">
              <w:rPr>
                <w:rFonts w:ascii="Arial" w:hAnsi="Arial" w:cs="Arial"/>
                <w:sz w:val="20"/>
                <w:lang w:eastAsia="ja-JP" w:bidi="he-IL"/>
              </w:rPr>
              <w:br/>
              <w:t>received in Radio Measurement Request frames in this manner." is self-contradictory</w:t>
            </w:r>
          </w:p>
        </w:tc>
        <w:tc>
          <w:tcPr>
            <w:tcW w:w="2724" w:type="dxa"/>
            <w:hideMark/>
          </w:tcPr>
          <w:p w14:paraId="47824B95"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Add "group addressed" after "shall not respond to" in the cited text at the referenced location</w:t>
            </w:r>
          </w:p>
        </w:tc>
      </w:tr>
    </w:tbl>
    <w:p w14:paraId="57B261BD"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20FD889E" w14:textId="77777777" w:rsidTr="007837C2">
        <w:trPr>
          <w:trHeight w:val="3315"/>
        </w:trPr>
        <w:tc>
          <w:tcPr>
            <w:tcW w:w="738" w:type="dxa"/>
            <w:hideMark/>
          </w:tcPr>
          <w:p w14:paraId="7D3901E8"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1553</w:t>
            </w:r>
          </w:p>
        </w:tc>
        <w:tc>
          <w:tcPr>
            <w:tcW w:w="990" w:type="dxa"/>
            <w:hideMark/>
          </w:tcPr>
          <w:p w14:paraId="3D01790E"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1953.52</w:t>
            </w:r>
          </w:p>
        </w:tc>
        <w:tc>
          <w:tcPr>
            <w:tcW w:w="630" w:type="dxa"/>
            <w:hideMark/>
          </w:tcPr>
          <w:p w14:paraId="7C8DF004"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52</w:t>
            </w:r>
          </w:p>
        </w:tc>
        <w:tc>
          <w:tcPr>
            <w:tcW w:w="1080" w:type="dxa"/>
            <w:hideMark/>
          </w:tcPr>
          <w:p w14:paraId="6C3DB2CD"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11.1.4.3.4</w:t>
            </w:r>
          </w:p>
        </w:tc>
        <w:tc>
          <w:tcPr>
            <w:tcW w:w="1260" w:type="dxa"/>
            <w:hideMark/>
          </w:tcPr>
          <w:p w14:paraId="3326FB9C"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09B0A7BA"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A Probe Request frame may contain the DSS Parameter Set element regardless of whether the receiving STA has radio measurements activated. As such, the local value of dot11RadioMeasurementActivated should not be used as a condition for using this information when deciding whether to reply to a Probe Request frame.</w:t>
            </w:r>
          </w:p>
        </w:tc>
        <w:tc>
          <w:tcPr>
            <w:tcW w:w="2724" w:type="dxa"/>
            <w:hideMark/>
          </w:tcPr>
          <w:p w14:paraId="591F4DEE"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Replace "The STA has dot11RadioMeasurementActivated equal to true and the Probe Request frame contains a DSSS Parameter Set element" with "The Probe Request frame contains a DSSS Parameter Set element".</w:t>
            </w:r>
          </w:p>
        </w:tc>
      </w:tr>
    </w:tbl>
    <w:p w14:paraId="1CF95A5D"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2552A9F1" w14:textId="77777777" w:rsidTr="007837C2">
        <w:trPr>
          <w:trHeight w:val="1020"/>
        </w:trPr>
        <w:tc>
          <w:tcPr>
            <w:tcW w:w="738" w:type="dxa"/>
            <w:hideMark/>
          </w:tcPr>
          <w:p w14:paraId="396ED11E"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1554</w:t>
            </w:r>
          </w:p>
        </w:tc>
        <w:tc>
          <w:tcPr>
            <w:tcW w:w="990" w:type="dxa"/>
            <w:hideMark/>
          </w:tcPr>
          <w:p w14:paraId="1E300572"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2014.18</w:t>
            </w:r>
          </w:p>
        </w:tc>
        <w:tc>
          <w:tcPr>
            <w:tcW w:w="630" w:type="dxa"/>
            <w:hideMark/>
          </w:tcPr>
          <w:p w14:paraId="334D977E"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18</w:t>
            </w:r>
          </w:p>
        </w:tc>
        <w:tc>
          <w:tcPr>
            <w:tcW w:w="1080" w:type="dxa"/>
            <w:hideMark/>
          </w:tcPr>
          <w:p w14:paraId="42B995A3"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11.3.2</w:t>
            </w:r>
          </w:p>
        </w:tc>
        <w:tc>
          <w:tcPr>
            <w:tcW w:w="1260" w:type="dxa"/>
            <w:hideMark/>
          </w:tcPr>
          <w:p w14:paraId="49668014"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15DB4B50"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Figure 11-15 has an extraneous State 5.  (And editorial typo from an earlier draft of 802.11ai, perhaps.)</w:t>
            </w:r>
          </w:p>
        </w:tc>
        <w:tc>
          <w:tcPr>
            <w:tcW w:w="2724" w:type="dxa"/>
            <w:hideMark/>
          </w:tcPr>
          <w:p w14:paraId="18E50738"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Remove State 5 from Figure 11-15, restoring it to Figure 11-13 from the published 802.11ai-2016.</w:t>
            </w:r>
          </w:p>
        </w:tc>
      </w:tr>
    </w:tbl>
    <w:p w14:paraId="7AC6C2A7"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1F8AFEAB" w14:textId="77777777" w:rsidTr="007837C2">
        <w:trPr>
          <w:trHeight w:val="765"/>
        </w:trPr>
        <w:tc>
          <w:tcPr>
            <w:tcW w:w="738" w:type="dxa"/>
            <w:hideMark/>
          </w:tcPr>
          <w:p w14:paraId="6F4E37AC"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1528</w:t>
            </w:r>
          </w:p>
        </w:tc>
        <w:tc>
          <w:tcPr>
            <w:tcW w:w="990" w:type="dxa"/>
            <w:hideMark/>
          </w:tcPr>
          <w:p w14:paraId="72D3708D"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2014.18</w:t>
            </w:r>
          </w:p>
        </w:tc>
        <w:tc>
          <w:tcPr>
            <w:tcW w:w="630" w:type="dxa"/>
            <w:hideMark/>
          </w:tcPr>
          <w:p w14:paraId="3491BED8"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18</w:t>
            </w:r>
          </w:p>
        </w:tc>
        <w:tc>
          <w:tcPr>
            <w:tcW w:w="1080" w:type="dxa"/>
            <w:hideMark/>
          </w:tcPr>
          <w:p w14:paraId="5653346B"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11.3.2</w:t>
            </w:r>
          </w:p>
        </w:tc>
        <w:tc>
          <w:tcPr>
            <w:tcW w:w="1260" w:type="dxa"/>
            <w:hideMark/>
          </w:tcPr>
          <w:p w14:paraId="06CCE97E"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18EC3993"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There is no State 5</w:t>
            </w:r>
          </w:p>
        </w:tc>
        <w:tc>
          <w:tcPr>
            <w:tcW w:w="2724" w:type="dxa"/>
            <w:hideMark/>
          </w:tcPr>
          <w:p w14:paraId="3969811D"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Delete the State 5 box in Figure 11-15 and all arrows to/from it</w:t>
            </w:r>
          </w:p>
        </w:tc>
      </w:tr>
    </w:tbl>
    <w:p w14:paraId="38F107FA"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26438973" w14:textId="77777777" w:rsidTr="007837C2">
        <w:trPr>
          <w:trHeight w:val="1020"/>
        </w:trPr>
        <w:tc>
          <w:tcPr>
            <w:tcW w:w="738" w:type="dxa"/>
            <w:hideMark/>
          </w:tcPr>
          <w:p w14:paraId="3258A463"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1560</w:t>
            </w:r>
          </w:p>
        </w:tc>
        <w:tc>
          <w:tcPr>
            <w:tcW w:w="990" w:type="dxa"/>
            <w:hideMark/>
          </w:tcPr>
          <w:p w14:paraId="7194ED88"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1719.60</w:t>
            </w:r>
          </w:p>
        </w:tc>
        <w:tc>
          <w:tcPr>
            <w:tcW w:w="630" w:type="dxa"/>
            <w:hideMark/>
          </w:tcPr>
          <w:p w14:paraId="79696075"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60</w:t>
            </w:r>
          </w:p>
        </w:tc>
        <w:tc>
          <w:tcPr>
            <w:tcW w:w="1080" w:type="dxa"/>
            <w:hideMark/>
          </w:tcPr>
          <w:p w14:paraId="5AA651A1"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10.25.5.3</w:t>
            </w:r>
          </w:p>
        </w:tc>
        <w:tc>
          <w:tcPr>
            <w:tcW w:w="1260" w:type="dxa"/>
            <w:hideMark/>
          </w:tcPr>
          <w:p w14:paraId="0939D006"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109E6542"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Data MPDU is rarely used.  "Data frame" is overwhelmingly preferred.</w:t>
            </w:r>
          </w:p>
        </w:tc>
        <w:tc>
          <w:tcPr>
            <w:tcW w:w="2724" w:type="dxa"/>
            <w:hideMark/>
          </w:tcPr>
          <w:p w14:paraId="279F5318"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 xml:space="preserve">Change the remaining 5 "data MPDU"s to "data </w:t>
            </w:r>
            <w:proofErr w:type="spellStart"/>
            <w:r w:rsidRPr="007837C2">
              <w:rPr>
                <w:rFonts w:ascii="Arial" w:hAnsi="Arial" w:cs="Arial"/>
                <w:sz w:val="20"/>
                <w:lang w:eastAsia="ja-JP" w:bidi="he-IL"/>
              </w:rPr>
              <w:t>frame"s</w:t>
            </w:r>
            <w:proofErr w:type="spellEnd"/>
          </w:p>
        </w:tc>
      </w:tr>
    </w:tbl>
    <w:p w14:paraId="5CEF4D02"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3EBE811F" w14:textId="77777777" w:rsidTr="007837C2">
        <w:trPr>
          <w:trHeight w:val="3315"/>
        </w:trPr>
        <w:tc>
          <w:tcPr>
            <w:tcW w:w="738" w:type="dxa"/>
            <w:hideMark/>
          </w:tcPr>
          <w:p w14:paraId="07FCD06E"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lastRenderedPageBreak/>
              <w:t>1526</w:t>
            </w:r>
          </w:p>
        </w:tc>
        <w:tc>
          <w:tcPr>
            <w:tcW w:w="990" w:type="dxa"/>
            <w:hideMark/>
          </w:tcPr>
          <w:p w14:paraId="32E8432B"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743.03</w:t>
            </w:r>
          </w:p>
        </w:tc>
        <w:tc>
          <w:tcPr>
            <w:tcW w:w="630" w:type="dxa"/>
            <w:hideMark/>
          </w:tcPr>
          <w:p w14:paraId="1365A6F5"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3</w:t>
            </w:r>
          </w:p>
        </w:tc>
        <w:tc>
          <w:tcPr>
            <w:tcW w:w="1080" w:type="dxa"/>
            <w:hideMark/>
          </w:tcPr>
          <w:p w14:paraId="3DC2D2C8"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9.2.4.5.4</w:t>
            </w:r>
          </w:p>
        </w:tc>
        <w:tc>
          <w:tcPr>
            <w:tcW w:w="1260" w:type="dxa"/>
            <w:hideMark/>
          </w:tcPr>
          <w:p w14:paraId="4FEDB2A2"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0715897A"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The way the ack policy is referred to is confusing/inconsistent.  Do you refer to the options indicated by the bit pattern (e.g. "Normal Ack or Implicit Block Ack Request") or do you refer to only the type of ack being requested in the context being requested (e.g. just "Implicit Block Ack Request" in the case of an A-MPDU)?</w:t>
            </w:r>
          </w:p>
        </w:tc>
        <w:tc>
          <w:tcPr>
            <w:tcW w:w="2724" w:type="dxa"/>
            <w:hideMark/>
          </w:tcPr>
          <w:p w14:paraId="6047D4E0"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See 17/1243r6</w:t>
            </w:r>
          </w:p>
        </w:tc>
      </w:tr>
    </w:tbl>
    <w:p w14:paraId="0AF3342F"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4C16A66E" w14:textId="77777777" w:rsidTr="007837C2">
        <w:trPr>
          <w:trHeight w:val="2040"/>
        </w:trPr>
        <w:tc>
          <w:tcPr>
            <w:tcW w:w="738" w:type="dxa"/>
            <w:hideMark/>
          </w:tcPr>
          <w:p w14:paraId="2D6C63BF"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1572</w:t>
            </w:r>
          </w:p>
        </w:tc>
        <w:tc>
          <w:tcPr>
            <w:tcW w:w="990" w:type="dxa"/>
            <w:hideMark/>
          </w:tcPr>
          <w:p w14:paraId="4EE835DD"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1360.26</w:t>
            </w:r>
          </w:p>
        </w:tc>
        <w:tc>
          <w:tcPr>
            <w:tcW w:w="630" w:type="dxa"/>
            <w:hideMark/>
          </w:tcPr>
          <w:p w14:paraId="3D673621"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26</w:t>
            </w:r>
          </w:p>
        </w:tc>
        <w:tc>
          <w:tcPr>
            <w:tcW w:w="1080" w:type="dxa"/>
            <w:hideMark/>
          </w:tcPr>
          <w:p w14:paraId="3B945778"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9.4.5.21</w:t>
            </w:r>
          </w:p>
        </w:tc>
        <w:tc>
          <w:tcPr>
            <w:tcW w:w="1260" w:type="dxa"/>
            <w:hideMark/>
          </w:tcPr>
          <w:p w14:paraId="27A4E360"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339B77D9"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 xml:space="preserve">Can the NAI Realm field have zero NAI Realm Tuple subfields?  If so, what does the </w:t>
            </w:r>
            <w:proofErr w:type="spellStart"/>
            <w:r w:rsidRPr="007837C2">
              <w:rPr>
                <w:rFonts w:ascii="Arial" w:hAnsi="Arial" w:cs="Arial"/>
                <w:sz w:val="20"/>
                <w:lang w:eastAsia="ja-JP" w:bidi="he-IL"/>
              </w:rPr>
              <w:t>AoC</w:t>
            </w:r>
            <w:proofErr w:type="spellEnd"/>
            <w:r w:rsidRPr="007837C2">
              <w:rPr>
                <w:rFonts w:ascii="Arial" w:hAnsi="Arial" w:cs="Arial"/>
                <w:sz w:val="20"/>
                <w:lang w:eastAsia="ja-JP" w:bidi="he-IL"/>
              </w:rPr>
              <w:t xml:space="preserve"> element mean?  Does the Plan Information have to have valid information including the XML description?</w:t>
            </w:r>
          </w:p>
        </w:tc>
        <w:tc>
          <w:tcPr>
            <w:tcW w:w="2724" w:type="dxa"/>
            <w:hideMark/>
          </w:tcPr>
          <w:p w14:paraId="6E519D91"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Clarify if the NAI Realm field can be zero length or not, and if it can be, clarify (in 11.23.3.3.12) how the "information is provided on a per NAI realm basis" works.</w:t>
            </w:r>
          </w:p>
        </w:tc>
      </w:tr>
    </w:tbl>
    <w:p w14:paraId="1BD1627F"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458E2C7C" w14:textId="77777777" w:rsidTr="007837C2">
        <w:trPr>
          <w:trHeight w:val="1275"/>
        </w:trPr>
        <w:tc>
          <w:tcPr>
            <w:tcW w:w="738" w:type="dxa"/>
            <w:hideMark/>
          </w:tcPr>
          <w:p w14:paraId="1BFBB363"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1573</w:t>
            </w:r>
          </w:p>
        </w:tc>
        <w:tc>
          <w:tcPr>
            <w:tcW w:w="990" w:type="dxa"/>
            <w:hideMark/>
          </w:tcPr>
          <w:p w14:paraId="6C642AA8"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2211.06</w:t>
            </w:r>
          </w:p>
        </w:tc>
        <w:tc>
          <w:tcPr>
            <w:tcW w:w="630" w:type="dxa"/>
            <w:hideMark/>
          </w:tcPr>
          <w:p w14:paraId="59C56232"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6</w:t>
            </w:r>
          </w:p>
        </w:tc>
        <w:tc>
          <w:tcPr>
            <w:tcW w:w="1080" w:type="dxa"/>
            <w:hideMark/>
          </w:tcPr>
          <w:p w14:paraId="0454F90D"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11.23.3.3.12</w:t>
            </w:r>
          </w:p>
        </w:tc>
        <w:tc>
          <w:tcPr>
            <w:tcW w:w="1260" w:type="dxa"/>
            <w:hideMark/>
          </w:tcPr>
          <w:p w14:paraId="1EBB5D34"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54E31FDD"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 xml:space="preserve">Consider having a default charge that applies if none of the NAI Realms in the Advice of Charge </w:t>
            </w:r>
            <w:proofErr w:type="spellStart"/>
            <w:r w:rsidRPr="007837C2">
              <w:rPr>
                <w:rFonts w:ascii="Arial" w:hAnsi="Arial" w:cs="Arial"/>
                <w:sz w:val="20"/>
                <w:lang w:eastAsia="ja-JP" w:bidi="he-IL"/>
              </w:rPr>
              <w:t>Duples</w:t>
            </w:r>
            <w:proofErr w:type="spellEnd"/>
            <w:r w:rsidRPr="007837C2">
              <w:rPr>
                <w:rFonts w:ascii="Arial" w:hAnsi="Arial" w:cs="Arial"/>
                <w:sz w:val="20"/>
                <w:lang w:eastAsia="ja-JP" w:bidi="he-IL"/>
              </w:rPr>
              <w:t xml:space="preserve"> matches.</w:t>
            </w:r>
          </w:p>
        </w:tc>
        <w:tc>
          <w:tcPr>
            <w:tcW w:w="2724" w:type="dxa"/>
            <w:hideMark/>
          </w:tcPr>
          <w:p w14:paraId="284A4D8F"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Add "Plan information for the special NAI realm "*" is indicated, if none of the explicit NAI realms are currently applicable."</w:t>
            </w:r>
          </w:p>
        </w:tc>
      </w:tr>
    </w:tbl>
    <w:p w14:paraId="6C9D7DE9"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639C0A83" w14:textId="77777777" w:rsidTr="007837C2">
        <w:trPr>
          <w:trHeight w:val="510"/>
        </w:trPr>
        <w:tc>
          <w:tcPr>
            <w:tcW w:w="738" w:type="dxa"/>
            <w:hideMark/>
          </w:tcPr>
          <w:p w14:paraId="7A4D5A19"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1586</w:t>
            </w:r>
          </w:p>
        </w:tc>
        <w:tc>
          <w:tcPr>
            <w:tcW w:w="990" w:type="dxa"/>
            <w:hideMark/>
          </w:tcPr>
          <w:p w14:paraId="602FBCF1"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1455.29</w:t>
            </w:r>
          </w:p>
        </w:tc>
        <w:tc>
          <w:tcPr>
            <w:tcW w:w="630" w:type="dxa"/>
            <w:hideMark/>
          </w:tcPr>
          <w:p w14:paraId="2270651C"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29</w:t>
            </w:r>
          </w:p>
        </w:tc>
        <w:tc>
          <w:tcPr>
            <w:tcW w:w="1080" w:type="dxa"/>
            <w:hideMark/>
          </w:tcPr>
          <w:p w14:paraId="4CE3AACE"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9.6.13.1</w:t>
            </w:r>
          </w:p>
        </w:tc>
        <w:tc>
          <w:tcPr>
            <w:tcW w:w="1260" w:type="dxa"/>
            <w:hideMark/>
          </w:tcPr>
          <w:p w14:paraId="2681647C"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797F8801"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What is "WNM-Notify Response</w:t>
            </w:r>
            <w:proofErr w:type="gramStart"/>
            <w:r w:rsidRPr="007837C2">
              <w:rPr>
                <w:rFonts w:ascii="Arial" w:hAnsi="Arial" w:cs="Arial"/>
                <w:sz w:val="20"/>
                <w:lang w:eastAsia="ja-JP" w:bidi="he-IL"/>
              </w:rPr>
              <w:t>"  in</w:t>
            </w:r>
            <w:proofErr w:type="gramEnd"/>
            <w:r w:rsidRPr="007837C2">
              <w:rPr>
                <w:rFonts w:ascii="Arial" w:hAnsi="Arial" w:cs="Arial"/>
                <w:sz w:val="20"/>
                <w:lang w:eastAsia="ja-JP" w:bidi="he-IL"/>
              </w:rPr>
              <w:t xml:space="preserve"> Table 9-396?</w:t>
            </w:r>
          </w:p>
        </w:tc>
        <w:tc>
          <w:tcPr>
            <w:tcW w:w="2724" w:type="dxa"/>
            <w:hideMark/>
          </w:tcPr>
          <w:p w14:paraId="2C917757"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Delete this row</w:t>
            </w:r>
          </w:p>
        </w:tc>
      </w:tr>
    </w:tbl>
    <w:p w14:paraId="59FABB88"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31E28026" w14:textId="77777777" w:rsidTr="007837C2">
        <w:trPr>
          <w:trHeight w:val="1785"/>
        </w:trPr>
        <w:tc>
          <w:tcPr>
            <w:tcW w:w="738" w:type="dxa"/>
            <w:hideMark/>
          </w:tcPr>
          <w:p w14:paraId="744C2F7C"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1593</w:t>
            </w:r>
          </w:p>
        </w:tc>
        <w:tc>
          <w:tcPr>
            <w:tcW w:w="990" w:type="dxa"/>
            <w:hideMark/>
          </w:tcPr>
          <w:p w14:paraId="09F72EE3"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809.28</w:t>
            </w:r>
          </w:p>
        </w:tc>
        <w:tc>
          <w:tcPr>
            <w:tcW w:w="630" w:type="dxa"/>
            <w:hideMark/>
          </w:tcPr>
          <w:p w14:paraId="6ACE773B"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28</w:t>
            </w:r>
          </w:p>
        </w:tc>
        <w:tc>
          <w:tcPr>
            <w:tcW w:w="1080" w:type="dxa"/>
            <w:hideMark/>
          </w:tcPr>
          <w:p w14:paraId="0DC0F831"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9.3.3.9</w:t>
            </w:r>
          </w:p>
        </w:tc>
        <w:tc>
          <w:tcPr>
            <w:tcW w:w="1260" w:type="dxa"/>
            <w:hideMark/>
          </w:tcPr>
          <w:p w14:paraId="5A23C1EC"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4EB0D974"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In Table 9-36 (the "</w:t>
            </w:r>
            <w:proofErr w:type="spellStart"/>
            <w:r w:rsidRPr="007837C2">
              <w:rPr>
                <w:rFonts w:ascii="Arial" w:hAnsi="Arial" w:cs="Arial"/>
                <w:sz w:val="20"/>
                <w:lang w:eastAsia="ja-JP" w:bidi="he-IL"/>
              </w:rPr>
              <w:t>Reassociation</w:t>
            </w:r>
            <w:proofErr w:type="spellEnd"/>
            <w:r w:rsidRPr="007837C2">
              <w:rPr>
                <w:rFonts w:ascii="Arial" w:hAnsi="Arial" w:cs="Arial"/>
                <w:sz w:val="20"/>
                <w:lang w:eastAsia="ja-JP" w:bidi="he-IL"/>
              </w:rPr>
              <w:t xml:space="preserve"> Response frame body"), Order 31 appears twice.  Association Response (up about 5 pages) has the same problem, with Order 27.</w:t>
            </w:r>
          </w:p>
        </w:tc>
        <w:tc>
          <w:tcPr>
            <w:tcW w:w="2724" w:type="dxa"/>
            <w:hideMark/>
          </w:tcPr>
          <w:p w14:paraId="7193103A"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Renumber the tables with sequential Order</w:t>
            </w:r>
          </w:p>
        </w:tc>
      </w:tr>
    </w:tbl>
    <w:p w14:paraId="146D4488"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7E86D440" w14:textId="77777777" w:rsidTr="007837C2">
        <w:trPr>
          <w:trHeight w:val="4080"/>
        </w:trPr>
        <w:tc>
          <w:tcPr>
            <w:tcW w:w="738" w:type="dxa"/>
            <w:hideMark/>
          </w:tcPr>
          <w:p w14:paraId="595B0E0A"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lastRenderedPageBreak/>
              <w:t>1594</w:t>
            </w:r>
          </w:p>
        </w:tc>
        <w:tc>
          <w:tcPr>
            <w:tcW w:w="990" w:type="dxa"/>
            <w:hideMark/>
          </w:tcPr>
          <w:p w14:paraId="596E62D3"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726.06</w:t>
            </w:r>
          </w:p>
        </w:tc>
        <w:tc>
          <w:tcPr>
            <w:tcW w:w="630" w:type="dxa"/>
            <w:hideMark/>
          </w:tcPr>
          <w:p w14:paraId="7AD2139D"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6</w:t>
            </w:r>
          </w:p>
        </w:tc>
        <w:tc>
          <w:tcPr>
            <w:tcW w:w="1080" w:type="dxa"/>
            <w:hideMark/>
          </w:tcPr>
          <w:p w14:paraId="68475B81"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9.2.2</w:t>
            </w:r>
          </w:p>
        </w:tc>
        <w:tc>
          <w:tcPr>
            <w:tcW w:w="1260" w:type="dxa"/>
            <w:hideMark/>
          </w:tcPr>
          <w:p w14:paraId="2859D774"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5C31F87E"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Things are wrong with this sentence, "An ASCII or UTF-8 string a sequence of ASCII-encoded octets without a terminating null."  First, there's no verb.  Probably supposed to be "... string _is_ a sequence of ..."  Secondly, how can an UTF-8 string be ASCII-encoded?  The point of UTF-8 is to encode stuff ASCII can't do.  (Yes, extended ASCII could arguably contain the octets of the UTF-8, but that is just confusing things.)</w:t>
            </w:r>
          </w:p>
        </w:tc>
        <w:tc>
          <w:tcPr>
            <w:tcW w:w="2724" w:type="dxa"/>
            <w:hideMark/>
          </w:tcPr>
          <w:p w14:paraId="0416ECCB"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Replace with, "An ASCII or UTF-8 string is a sequence of ASCII or UTF-8 encoded octets without a terminating null."</w:t>
            </w:r>
          </w:p>
        </w:tc>
      </w:tr>
    </w:tbl>
    <w:p w14:paraId="69ECEF77"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469E9619" w14:textId="77777777" w:rsidTr="007837C2">
        <w:trPr>
          <w:trHeight w:val="1530"/>
        </w:trPr>
        <w:tc>
          <w:tcPr>
            <w:tcW w:w="738" w:type="dxa"/>
            <w:hideMark/>
          </w:tcPr>
          <w:p w14:paraId="15899769"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1614</w:t>
            </w:r>
          </w:p>
        </w:tc>
        <w:tc>
          <w:tcPr>
            <w:tcW w:w="990" w:type="dxa"/>
            <w:hideMark/>
          </w:tcPr>
          <w:p w14:paraId="0797E072"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1286.60</w:t>
            </w:r>
          </w:p>
        </w:tc>
        <w:tc>
          <w:tcPr>
            <w:tcW w:w="630" w:type="dxa"/>
            <w:hideMark/>
          </w:tcPr>
          <w:p w14:paraId="688A2F8E"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60</w:t>
            </w:r>
          </w:p>
        </w:tc>
        <w:tc>
          <w:tcPr>
            <w:tcW w:w="1080" w:type="dxa"/>
            <w:hideMark/>
          </w:tcPr>
          <w:p w14:paraId="184F58FE"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9.4.2.187</w:t>
            </w:r>
          </w:p>
        </w:tc>
        <w:tc>
          <w:tcPr>
            <w:tcW w:w="1260" w:type="dxa"/>
            <w:hideMark/>
          </w:tcPr>
          <w:p w14:paraId="75D082C1"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1E57026B" w14:textId="77777777" w:rsidR="007837C2" w:rsidRPr="007837C2" w:rsidRDefault="007837C2" w:rsidP="00E742A2">
            <w:pPr>
              <w:autoSpaceDE w:val="0"/>
              <w:autoSpaceDN w:val="0"/>
              <w:adjustRightInd w:val="0"/>
              <w:rPr>
                <w:rFonts w:ascii="Arial" w:hAnsi="Arial" w:cs="Arial"/>
                <w:sz w:val="20"/>
                <w:lang w:eastAsia="ja-JP" w:bidi="he-IL"/>
              </w:rPr>
            </w:pPr>
            <w:proofErr w:type="gramStart"/>
            <w:r w:rsidRPr="007837C2">
              <w:rPr>
                <w:rFonts w:ascii="Arial" w:hAnsi="Arial" w:cs="Arial"/>
                <w:sz w:val="20"/>
                <w:lang w:eastAsia="ja-JP" w:bidi="he-IL"/>
              </w:rPr>
              <w:t>Payload  of</w:t>
            </w:r>
            <w:proofErr w:type="gramEnd"/>
            <w:r w:rsidRPr="007837C2">
              <w:rPr>
                <w:rFonts w:ascii="Arial" w:hAnsi="Arial" w:cs="Arial"/>
                <w:sz w:val="20"/>
                <w:lang w:eastAsia="ja-JP" w:bidi="he-IL"/>
              </w:rPr>
              <w:t xml:space="preserve"> each element is limited to a maximum of 254 or 255 octets.  The should be limited to one single value. If it can be either or then clarify </w:t>
            </w:r>
            <w:proofErr w:type="gramStart"/>
            <w:r w:rsidRPr="007837C2">
              <w:rPr>
                <w:rFonts w:ascii="Arial" w:hAnsi="Arial" w:cs="Arial"/>
                <w:sz w:val="20"/>
                <w:lang w:eastAsia="ja-JP" w:bidi="he-IL"/>
              </w:rPr>
              <w:t>the  condition</w:t>
            </w:r>
            <w:proofErr w:type="gramEnd"/>
            <w:r w:rsidRPr="007837C2">
              <w:rPr>
                <w:rFonts w:ascii="Arial" w:hAnsi="Arial" w:cs="Arial"/>
                <w:sz w:val="20"/>
                <w:lang w:eastAsia="ja-JP" w:bidi="he-IL"/>
              </w:rPr>
              <w:t xml:space="preserve"> for each.</w:t>
            </w:r>
          </w:p>
        </w:tc>
        <w:tc>
          <w:tcPr>
            <w:tcW w:w="2724" w:type="dxa"/>
            <w:hideMark/>
          </w:tcPr>
          <w:p w14:paraId="0B047F91"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Fix as commented</w:t>
            </w:r>
          </w:p>
        </w:tc>
      </w:tr>
    </w:tbl>
    <w:p w14:paraId="78576448"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15493D94" w14:textId="77777777" w:rsidTr="007837C2">
        <w:trPr>
          <w:trHeight w:val="1530"/>
        </w:trPr>
        <w:tc>
          <w:tcPr>
            <w:tcW w:w="738" w:type="dxa"/>
            <w:hideMark/>
          </w:tcPr>
          <w:p w14:paraId="4CF10E4E"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1557</w:t>
            </w:r>
          </w:p>
        </w:tc>
        <w:tc>
          <w:tcPr>
            <w:tcW w:w="990" w:type="dxa"/>
            <w:hideMark/>
          </w:tcPr>
          <w:p w14:paraId="02D9CB3E"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1563.28</w:t>
            </w:r>
          </w:p>
        </w:tc>
        <w:tc>
          <w:tcPr>
            <w:tcW w:w="630" w:type="dxa"/>
            <w:hideMark/>
          </w:tcPr>
          <w:p w14:paraId="7856B9ED"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28</w:t>
            </w:r>
          </w:p>
        </w:tc>
        <w:tc>
          <w:tcPr>
            <w:tcW w:w="1080" w:type="dxa"/>
            <w:hideMark/>
          </w:tcPr>
          <w:p w14:paraId="32279FFA"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10.2.1</w:t>
            </w:r>
          </w:p>
        </w:tc>
        <w:tc>
          <w:tcPr>
            <w:tcW w:w="1260" w:type="dxa"/>
            <w:hideMark/>
          </w:tcPr>
          <w:p w14:paraId="4A986517"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4A8038D6"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HCF doesn't really use DCF architecturally.  It 'replaces' DCF.</w:t>
            </w:r>
          </w:p>
        </w:tc>
        <w:tc>
          <w:tcPr>
            <w:tcW w:w="2724" w:type="dxa"/>
            <w:hideMark/>
          </w:tcPr>
          <w:p w14:paraId="34114322"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 xml:space="preserve">Change Figure 10-1 to show HCF (EDCA and HCCA) as directly using the PHY.  </w:t>
            </w:r>
            <w:proofErr w:type="spellStart"/>
            <w:r w:rsidRPr="007837C2">
              <w:rPr>
                <w:rFonts w:ascii="Arial" w:hAnsi="Arial" w:cs="Arial"/>
                <w:sz w:val="20"/>
                <w:lang w:eastAsia="ja-JP" w:bidi="he-IL"/>
              </w:rPr>
              <w:t>Cleanup</w:t>
            </w:r>
            <w:proofErr w:type="spellEnd"/>
            <w:r w:rsidRPr="007837C2">
              <w:rPr>
                <w:rFonts w:ascii="Arial" w:hAnsi="Arial" w:cs="Arial"/>
                <w:sz w:val="20"/>
                <w:lang w:eastAsia="ja-JP" w:bidi="he-IL"/>
              </w:rPr>
              <w:t xml:space="preserve"> text in 10.2, 10.3 and 10.22 to not describe HCF as using DCF.</w:t>
            </w:r>
          </w:p>
        </w:tc>
      </w:tr>
    </w:tbl>
    <w:p w14:paraId="3A0A5D5F"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7EE84A80" w14:textId="77777777" w:rsidTr="007837C2">
        <w:trPr>
          <w:trHeight w:val="1020"/>
        </w:trPr>
        <w:tc>
          <w:tcPr>
            <w:tcW w:w="738" w:type="dxa"/>
            <w:hideMark/>
          </w:tcPr>
          <w:p w14:paraId="35CC2285"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1503</w:t>
            </w:r>
          </w:p>
        </w:tc>
        <w:tc>
          <w:tcPr>
            <w:tcW w:w="990" w:type="dxa"/>
            <w:hideMark/>
          </w:tcPr>
          <w:p w14:paraId="6341AF23"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1670.10</w:t>
            </w:r>
          </w:p>
        </w:tc>
        <w:tc>
          <w:tcPr>
            <w:tcW w:w="630" w:type="dxa"/>
            <w:hideMark/>
          </w:tcPr>
          <w:p w14:paraId="69E8AB2D"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10</w:t>
            </w:r>
          </w:p>
        </w:tc>
        <w:tc>
          <w:tcPr>
            <w:tcW w:w="1080" w:type="dxa"/>
            <w:hideMark/>
          </w:tcPr>
          <w:p w14:paraId="1DFBD8E8"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10.23.2.4</w:t>
            </w:r>
          </w:p>
        </w:tc>
        <w:tc>
          <w:tcPr>
            <w:tcW w:w="1260" w:type="dxa"/>
            <w:hideMark/>
          </w:tcPr>
          <w:p w14:paraId="0643C0F0"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64A8B170"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The precedence of the actions on page 1670 is not clear</w:t>
            </w:r>
          </w:p>
        </w:tc>
        <w:tc>
          <w:tcPr>
            <w:tcW w:w="2724" w:type="dxa"/>
            <w:hideMark/>
          </w:tcPr>
          <w:p w14:paraId="36ABFBD1"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At 1670.14 and 1670.22 change "At each" to "Otherwise, at each"</w:t>
            </w:r>
          </w:p>
        </w:tc>
      </w:tr>
    </w:tbl>
    <w:p w14:paraId="0D1B0A8D"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7A512DDA" w14:textId="77777777" w:rsidTr="007837C2">
        <w:trPr>
          <w:trHeight w:val="2295"/>
        </w:trPr>
        <w:tc>
          <w:tcPr>
            <w:tcW w:w="738" w:type="dxa"/>
            <w:hideMark/>
          </w:tcPr>
          <w:p w14:paraId="307F1EF1"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1442</w:t>
            </w:r>
          </w:p>
        </w:tc>
        <w:tc>
          <w:tcPr>
            <w:tcW w:w="990" w:type="dxa"/>
            <w:hideMark/>
          </w:tcPr>
          <w:p w14:paraId="564F04B1"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743.45</w:t>
            </w:r>
          </w:p>
        </w:tc>
        <w:tc>
          <w:tcPr>
            <w:tcW w:w="630" w:type="dxa"/>
            <w:hideMark/>
          </w:tcPr>
          <w:p w14:paraId="3073DC4F"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45</w:t>
            </w:r>
          </w:p>
        </w:tc>
        <w:tc>
          <w:tcPr>
            <w:tcW w:w="1080" w:type="dxa"/>
            <w:hideMark/>
          </w:tcPr>
          <w:p w14:paraId="67D78CA7"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9.2.4.5.4</w:t>
            </w:r>
          </w:p>
        </w:tc>
        <w:tc>
          <w:tcPr>
            <w:tcW w:w="1260" w:type="dxa"/>
            <w:hideMark/>
          </w:tcPr>
          <w:p w14:paraId="70644722"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5D945120"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The terms "require acknowledgment" or "requires acknowledgment" are not clear, because some ack policies other than 00 do require ack, just not immediate (e.g. Block Ack, PSMP Ack, No Explicit Acknowledgment)</w:t>
            </w:r>
          </w:p>
        </w:tc>
        <w:tc>
          <w:tcPr>
            <w:tcW w:w="2724" w:type="dxa"/>
            <w:hideMark/>
          </w:tcPr>
          <w:p w14:paraId="1DF926C6"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Add "immediate" before "acknowledgement" in "require acknowledgement"/"requires acknowledgement" in 9.3.1.3 (2x), 10.3.2.10 at 1592.24 and 1594.47/51, 10.3.4.4, 10.3.4.5, 11.2.3.6 (4x), 14.14.9.2, G.3 (2x)</w:t>
            </w:r>
          </w:p>
        </w:tc>
      </w:tr>
    </w:tbl>
    <w:p w14:paraId="03C81FC2"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2055032A" w14:textId="77777777" w:rsidTr="007837C2">
        <w:trPr>
          <w:trHeight w:val="1020"/>
        </w:trPr>
        <w:tc>
          <w:tcPr>
            <w:tcW w:w="738" w:type="dxa"/>
            <w:hideMark/>
          </w:tcPr>
          <w:p w14:paraId="1758FFAE"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1448</w:t>
            </w:r>
          </w:p>
        </w:tc>
        <w:tc>
          <w:tcPr>
            <w:tcW w:w="990" w:type="dxa"/>
            <w:hideMark/>
          </w:tcPr>
          <w:p w14:paraId="2B898C50"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1535.51</w:t>
            </w:r>
          </w:p>
        </w:tc>
        <w:tc>
          <w:tcPr>
            <w:tcW w:w="630" w:type="dxa"/>
            <w:hideMark/>
          </w:tcPr>
          <w:p w14:paraId="56D8A3B1"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51</w:t>
            </w:r>
          </w:p>
        </w:tc>
        <w:tc>
          <w:tcPr>
            <w:tcW w:w="1080" w:type="dxa"/>
            <w:hideMark/>
          </w:tcPr>
          <w:p w14:paraId="500C93D8"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9.4.3</w:t>
            </w:r>
          </w:p>
        </w:tc>
        <w:tc>
          <w:tcPr>
            <w:tcW w:w="1260" w:type="dxa"/>
            <w:hideMark/>
          </w:tcPr>
          <w:p w14:paraId="3E462ADA"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4600E3D6"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"The preceding PPDU" is behaviour not format</w:t>
            </w:r>
          </w:p>
        </w:tc>
        <w:tc>
          <w:tcPr>
            <w:tcW w:w="2724" w:type="dxa"/>
            <w:hideMark/>
          </w:tcPr>
          <w:p w14:paraId="2B3160A2"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Move from Clause 9 to Clause 10</w:t>
            </w:r>
          </w:p>
        </w:tc>
      </w:tr>
    </w:tbl>
    <w:p w14:paraId="0C000CFD"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3A482D06" w14:textId="77777777" w:rsidTr="007837C2">
        <w:trPr>
          <w:trHeight w:val="1530"/>
        </w:trPr>
        <w:tc>
          <w:tcPr>
            <w:tcW w:w="738" w:type="dxa"/>
            <w:hideMark/>
          </w:tcPr>
          <w:p w14:paraId="786733B4"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lastRenderedPageBreak/>
              <w:t>1449</w:t>
            </w:r>
          </w:p>
        </w:tc>
        <w:tc>
          <w:tcPr>
            <w:tcW w:w="990" w:type="dxa"/>
            <w:hideMark/>
          </w:tcPr>
          <w:p w14:paraId="62FE697B"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2095.24</w:t>
            </w:r>
          </w:p>
        </w:tc>
        <w:tc>
          <w:tcPr>
            <w:tcW w:w="630" w:type="dxa"/>
            <w:hideMark/>
          </w:tcPr>
          <w:p w14:paraId="552186FF"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24</w:t>
            </w:r>
          </w:p>
        </w:tc>
        <w:tc>
          <w:tcPr>
            <w:tcW w:w="1080" w:type="dxa"/>
            <w:hideMark/>
          </w:tcPr>
          <w:p w14:paraId="0244D363"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11.10.9.6</w:t>
            </w:r>
          </w:p>
        </w:tc>
        <w:tc>
          <w:tcPr>
            <w:tcW w:w="1260" w:type="dxa"/>
            <w:hideMark/>
          </w:tcPr>
          <w:p w14:paraId="5C14168B"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04D05B82"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"Originator Requesting MAC address field" -- no such field (and bad case)</w:t>
            </w:r>
          </w:p>
        </w:tc>
        <w:tc>
          <w:tcPr>
            <w:tcW w:w="2724" w:type="dxa"/>
            <w:hideMark/>
          </w:tcPr>
          <w:p w14:paraId="48532F3E"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Change all instances of "Originator Requesting MAC address" to "Originator Requesting STA MAC Address field" throughout the document</w:t>
            </w:r>
          </w:p>
        </w:tc>
      </w:tr>
    </w:tbl>
    <w:p w14:paraId="5ED2B733"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05D950CD" w14:textId="77777777" w:rsidTr="007837C2">
        <w:trPr>
          <w:trHeight w:val="5355"/>
        </w:trPr>
        <w:tc>
          <w:tcPr>
            <w:tcW w:w="738" w:type="dxa"/>
            <w:hideMark/>
          </w:tcPr>
          <w:p w14:paraId="7DF40E4D"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1450</w:t>
            </w:r>
          </w:p>
        </w:tc>
        <w:tc>
          <w:tcPr>
            <w:tcW w:w="990" w:type="dxa"/>
            <w:hideMark/>
          </w:tcPr>
          <w:p w14:paraId="42699D03"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835.50</w:t>
            </w:r>
          </w:p>
        </w:tc>
        <w:tc>
          <w:tcPr>
            <w:tcW w:w="630" w:type="dxa"/>
            <w:hideMark/>
          </w:tcPr>
          <w:p w14:paraId="68B95D6B"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50</w:t>
            </w:r>
          </w:p>
        </w:tc>
        <w:tc>
          <w:tcPr>
            <w:tcW w:w="1080" w:type="dxa"/>
            <w:hideMark/>
          </w:tcPr>
          <w:p w14:paraId="2A41D034"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9.4.1.4</w:t>
            </w:r>
          </w:p>
        </w:tc>
        <w:tc>
          <w:tcPr>
            <w:tcW w:w="1260" w:type="dxa"/>
            <w:hideMark/>
          </w:tcPr>
          <w:p w14:paraId="09C16D10"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780EA221"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"An AP sets the ESS subfield to 1 and the IBSS subfield to 0 within transmitted Beacon or Probe Response</w:t>
            </w:r>
            <w:r w:rsidRPr="007837C2">
              <w:rPr>
                <w:rFonts w:ascii="Arial" w:hAnsi="Arial" w:cs="Arial"/>
                <w:sz w:val="20"/>
                <w:lang w:eastAsia="ja-JP" w:bidi="he-IL"/>
              </w:rPr>
              <w:br/>
            </w:r>
            <w:r w:rsidRPr="007837C2">
              <w:rPr>
                <w:rFonts w:ascii="Arial" w:hAnsi="Arial" w:cs="Arial"/>
                <w:sz w:val="20"/>
                <w:lang w:eastAsia="ja-JP" w:bidi="he-IL"/>
              </w:rPr>
              <w:br/>
              <w:t>frames. Otherwise, the ESS and IBSS subfields are reserved. An IBSS STA sets the ESS subfield to 0 and</w:t>
            </w:r>
            <w:r w:rsidRPr="007837C2">
              <w:rPr>
                <w:rFonts w:ascii="Arial" w:hAnsi="Arial" w:cs="Arial"/>
                <w:sz w:val="20"/>
                <w:lang w:eastAsia="ja-JP" w:bidi="he-IL"/>
              </w:rPr>
              <w:br/>
            </w:r>
            <w:r w:rsidRPr="007837C2">
              <w:rPr>
                <w:rFonts w:ascii="Arial" w:hAnsi="Arial" w:cs="Arial"/>
                <w:sz w:val="20"/>
                <w:lang w:eastAsia="ja-JP" w:bidi="he-IL"/>
              </w:rPr>
              <w:br/>
              <w:t>the IBSS subfield to 1 in transmitted Beacon or Probe Response frames. A mesh STA sets the ESS and IBSS</w:t>
            </w:r>
            <w:r w:rsidRPr="007837C2">
              <w:rPr>
                <w:rFonts w:ascii="Arial" w:hAnsi="Arial" w:cs="Arial"/>
                <w:sz w:val="20"/>
                <w:lang w:eastAsia="ja-JP" w:bidi="he-IL"/>
              </w:rPr>
              <w:br/>
            </w:r>
            <w:r w:rsidRPr="007837C2">
              <w:rPr>
                <w:rFonts w:ascii="Arial" w:hAnsi="Arial" w:cs="Arial"/>
                <w:sz w:val="20"/>
                <w:lang w:eastAsia="ja-JP" w:bidi="he-IL"/>
              </w:rPr>
              <w:br/>
              <w:t>subfields to 0 in transmitted Beacon or Probe Response frames." is either unclear as to the setting for non-AP non-mesh non-IBSS STAs, or self-contradictory for IBSS and mesh STAs</w:t>
            </w:r>
          </w:p>
        </w:tc>
        <w:tc>
          <w:tcPr>
            <w:tcW w:w="2724" w:type="dxa"/>
            <w:hideMark/>
          </w:tcPr>
          <w:p w14:paraId="646EB316"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Change the cited text to "An AP sets the ESS subfield to 1 and the IBSS subfield to 0 within transmitted Beacon or Probe Response</w:t>
            </w:r>
            <w:r w:rsidRPr="007837C2">
              <w:rPr>
                <w:rFonts w:ascii="Arial" w:hAnsi="Arial" w:cs="Arial"/>
                <w:sz w:val="20"/>
                <w:lang w:eastAsia="ja-JP" w:bidi="he-IL"/>
              </w:rPr>
              <w:br/>
            </w:r>
            <w:r w:rsidRPr="007837C2">
              <w:rPr>
                <w:rFonts w:ascii="Arial" w:hAnsi="Arial" w:cs="Arial"/>
                <w:sz w:val="20"/>
                <w:lang w:eastAsia="ja-JP" w:bidi="he-IL"/>
              </w:rPr>
              <w:br/>
              <w:t>frames. An IBSS STA sets the ESS subfield to 0 and</w:t>
            </w:r>
            <w:r w:rsidRPr="007837C2">
              <w:rPr>
                <w:rFonts w:ascii="Arial" w:hAnsi="Arial" w:cs="Arial"/>
                <w:sz w:val="20"/>
                <w:lang w:eastAsia="ja-JP" w:bidi="he-IL"/>
              </w:rPr>
              <w:br/>
            </w:r>
            <w:r w:rsidRPr="007837C2">
              <w:rPr>
                <w:rFonts w:ascii="Arial" w:hAnsi="Arial" w:cs="Arial"/>
                <w:sz w:val="20"/>
                <w:lang w:eastAsia="ja-JP" w:bidi="he-IL"/>
              </w:rPr>
              <w:br/>
              <w:t>the IBSS subfield to 1 in transmitted Beacon or Probe Response frames. A mesh STA sets the ESS and IBSS</w:t>
            </w:r>
            <w:r w:rsidRPr="007837C2">
              <w:rPr>
                <w:rFonts w:ascii="Arial" w:hAnsi="Arial" w:cs="Arial"/>
                <w:sz w:val="20"/>
                <w:lang w:eastAsia="ja-JP" w:bidi="he-IL"/>
              </w:rPr>
              <w:br/>
            </w:r>
            <w:r w:rsidRPr="007837C2">
              <w:rPr>
                <w:rFonts w:ascii="Arial" w:hAnsi="Arial" w:cs="Arial"/>
                <w:sz w:val="20"/>
                <w:lang w:eastAsia="ja-JP" w:bidi="he-IL"/>
              </w:rPr>
              <w:br/>
              <w:t>subfields to 0 in transmitted Beacon or Probe Response frames.  Otherwise, the ESS and IBSS subfields are reserved."</w:t>
            </w:r>
          </w:p>
        </w:tc>
      </w:tr>
    </w:tbl>
    <w:p w14:paraId="01079A45"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004432A4" w14:textId="77777777" w:rsidTr="007837C2">
        <w:trPr>
          <w:trHeight w:val="5100"/>
        </w:trPr>
        <w:tc>
          <w:tcPr>
            <w:tcW w:w="738" w:type="dxa"/>
            <w:hideMark/>
          </w:tcPr>
          <w:p w14:paraId="7CFD7AF9"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1454</w:t>
            </w:r>
          </w:p>
        </w:tc>
        <w:tc>
          <w:tcPr>
            <w:tcW w:w="990" w:type="dxa"/>
            <w:hideMark/>
          </w:tcPr>
          <w:p w14:paraId="38A7EE88"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2019.52</w:t>
            </w:r>
          </w:p>
        </w:tc>
        <w:tc>
          <w:tcPr>
            <w:tcW w:w="630" w:type="dxa"/>
            <w:hideMark/>
          </w:tcPr>
          <w:p w14:paraId="1D7698EF"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52</w:t>
            </w:r>
          </w:p>
        </w:tc>
        <w:tc>
          <w:tcPr>
            <w:tcW w:w="1080" w:type="dxa"/>
            <w:hideMark/>
          </w:tcPr>
          <w:p w14:paraId="69D5C98F"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11.3.5</w:t>
            </w:r>
          </w:p>
        </w:tc>
        <w:tc>
          <w:tcPr>
            <w:tcW w:w="1260" w:type="dxa"/>
            <w:hideMark/>
          </w:tcPr>
          <w:p w14:paraId="03EAECF4"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625420DD"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It is not clear what is reset in the case of (re)association to a different AP</w:t>
            </w:r>
          </w:p>
        </w:tc>
        <w:tc>
          <w:tcPr>
            <w:tcW w:w="2724" w:type="dxa"/>
            <w:hideMark/>
          </w:tcPr>
          <w:p w14:paraId="507DAC34"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At the end of the last step of 11.3.5.2 add "All states, agreements and allocations shall be deleted or reset to initial values."</w:t>
            </w:r>
            <w:r w:rsidRPr="007837C2">
              <w:rPr>
                <w:rFonts w:ascii="Arial" w:hAnsi="Arial" w:cs="Arial"/>
                <w:sz w:val="20"/>
                <w:lang w:eastAsia="ja-JP" w:bidi="he-IL"/>
              </w:rPr>
              <w:br/>
            </w:r>
            <w:r w:rsidRPr="007837C2">
              <w:rPr>
                <w:rFonts w:ascii="Arial" w:hAnsi="Arial" w:cs="Arial"/>
                <w:sz w:val="20"/>
                <w:lang w:eastAsia="ja-JP" w:bidi="he-IL"/>
              </w:rPr>
              <w:br/>
              <w:t>At the end of the last step of 11.3.5.3 add "All states, agreements and allocations pertaining to the STA that has associated shall be deleted or reset to initial values."</w:t>
            </w:r>
            <w:r w:rsidRPr="007837C2">
              <w:rPr>
                <w:rFonts w:ascii="Arial" w:hAnsi="Arial" w:cs="Arial"/>
                <w:sz w:val="20"/>
                <w:lang w:eastAsia="ja-JP" w:bidi="he-IL"/>
              </w:rPr>
              <w:br/>
            </w:r>
            <w:r w:rsidRPr="007837C2">
              <w:rPr>
                <w:rFonts w:ascii="Arial" w:hAnsi="Arial" w:cs="Arial"/>
                <w:sz w:val="20"/>
                <w:lang w:eastAsia="ja-JP" w:bidi="he-IL"/>
              </w:rPr>
              <w:br/>
              <w:t xml:space="preserve">At the end of the last step of 11.3.5.5,  add "In the case of </w:t>
            </w:r>
            <w:proofErr w:type="spellStart"/>
            <w:r w:rsidRPr="007837C2">
              <w:rPr>
                <w:rFonts w:ascii="Arial" w:hAnsi="Arial" w:cs="Arial"/>
                <w:sz w:val="20"/>
                <w:lang w:eastAsia="ja-JP" w:bidi="he-IL"/>
              </w:rPr>
              <w:t>reassociation</w:t>
            </w:r>
            <w:proofErr w:type="spellEnd"/>
            <w:r w:rsidRPr="007837C2">
              <w:rPr>
                <w:rFonts w:ascii="Arial" w:hAnsi="Arial" w:cs="Arial"/>
                <w:sz w:val="20"/>
                <w:lang w:eastAsia="ja-JP" w:bidi="he-IL"/>
              </w:rPr>
              <w:t xml:space="preserve"> to a different AP, all states, agreements and allocations pertaining to the STA that has </w:t>
            </w:r>
            <w:proofErr w:type="spellStart"/>
            <w:r w:rsidRPr="007837C2">
              <w:rPr>
                <w:rFonts w:ascii="Arial" w:hAnsi="Arial" w:cs="Arial"/>
                <w:sz w:val="20"/>
                <w:lang w:eastAsia="ja-JP" w:bidi="he-IL"/>
              </w:rPr>
              <w:t>reassociated</w:t>
            </w:r>
            <w:proofErr w:type="spellEnd"/>
            <w:r w:rsidRPr="007837C2">
              <w:rPr>
                <w:rFonts w:ascii="Arial" w:hAnsi="Arial" w:cs="Arial"/>
                <w:sz w:val="20"/>
                <w:lang w:eastAsia="ja-JP" w:bidi="he-IL"/>
              </w:rPr>
              <w:t xml:space="preserve"> shall be deleted or reset to initial values."</w:t>
            </w:r>
          </w:p>
        </w:tc>
      </w:tr>
    </w:tbl>
    <w:p w14:paraId="4F621240"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47D31DF6" w14:textId="77777777" w:rsidTr="007837C2">
        <w:trPr>
          <w:trHeight w:val="1020"/>
        </w:trPr>
        <w:tc>
          <w:tcPr>
            <w:tcW w:w="738" w:type="dxa"/>
            <w:hideMark/>
          </w:tcPr>
          <w:p w14:paraId="535778B2"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lastRenderedPageBreak/>
              <w:t>1532</w:t>
            </w:r>
          </w:p>
        </w:tc>
        <w:tc>
          <w:tcPr>
            <w:tcW w:w="990" w:type="dxa"/>
            <w:hideMark/>
          </w:tcPr>
          <w:p w14:paraId="2B00D99C"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1277.33</w:t>
            </w:r>
          </w:p>
        </w:tc>
        <w:tc>
          <w:tcPr>
            <w:tcW w:w="630" w:type="dxa"/>
            <w:hideMark/>
          </w:tcPr>
          <w:p w14:paraId="5AA9064B"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33</w:t>
            </w:r>
          </w:p>
        </w:tc>
        <w:tc>
          <w:tcPr>
            <w:tcW w:w="1080" w:type="dxa"/>
            <w:hideMark/>
          </w:tcPr>
          <w:p w14:paraId="2163562C"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9.4.2.179</w:t>
            </w:r>
          </w:p>
        </w:tc>
        <w:tc>
          <w:tcPr>
            <w:tcW w:w="1260" w:type="dxa"/>
            <w:hideMark/>
          </w:tcPr>
          <w:p w14:paraId="782E3FA8"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24DC1AE4"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"0: Reserved, FILS Public Key is undefined." -- this can't be used, nor can any values above 3</w:t>
            </w:r>
          </w:p>
        </w:tc>
        <w:tc>
          <w:tcPr>
            <w:tcW w:w="2724" w:type="dxa"/>
            <w:hideMark/>
          </w:tcPr>
          <w:p w14:paraId="2B005BEB"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Delete the line at 1277.33 and at the end of the referenced subclause add "Other values are reserved."</w:t>
            </w:r>
          </w:p>
        </w:tc>
      </w:tr>
    </w:tbl>
    <w:p w14:paraId="0284F55D"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29BFE9DF" w14:textId="77777777" w:rsidTr="007837C2">
        <w:trPr>
          <w:trHeight w:val="2550"/>
        </w:trPr>
        <w:tc>
          <w:tcPr>
            <w:tcW w:w="738" w:type="dxa"/>
            <w:hideMark/>
          </w:tcPr>
          <w:p w14:paraId="09314D2C"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1500</w:t>
            </w:r>
          </w:p>
        </w:tc>
        <w:tc>
          <w:tcPr>
            <w:tcW w:w="990" w:type="dxa"/>
            <w:hideMark/>
          </w:tcPr>
          <w:p w14:paraId="5BDA54CD"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794.18</w:t>
            </w:r>
          </w:p>
        </w:tc>
        <w:tc>
          <w:tcPr>
            <w:tcW w:w="630" w:type="dxa"/>
            <w:hideMark/>
          </w:tcPr>
          <w:p w14:paraId="61F415B6"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18</w:t>
            </w:r>
          </w:p>
        </w:tc>
        <w:tc>
          <w:tcPr>
            <w:tcW w:w="1080" w:type="dxa"/>
            <w:hideMark/>
          </w:tcPr>
          <w:p w14:paraId="6BF1CDC4"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9.3.3.2</w:t>
            </w:r>
          </w:p>
        </w:tc>
        <w:tc>
          <w:tcPr>
            <w:tcW w:w="1260" w:type="dxa"/>
            <w:hideMark/>
          </w:tcPr>
          <w:p w14:paraId="722BAFB4"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5BFC221A"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"All fields and elements are mandatory unless stated otherwise and appear in the specified, relative order,</w:t>
            </w:r>
            <w:r w:rsidRPr="007837C2">
              <w:rPr>
                <w:rFonts w:ascii="Arial" w:hAnsi="Arial" w:cs="Arial"/>
                <w:sz w:val="20"/>
                <w:lang w:eastAsia="ja-JP" w:bidi="he-IL"/>
              </w:rPr>
              <w:br/>
            </w:r>
            <w:r w:rsidRPr="007837C2">
              <w:rPr>
                <w:rFonts w:ascii="Arial" w:hAnsi="Arial" w:cs="Arial"/>
                <w:sz w:val="20"/>
                <w:lang w:eastAsia="ja-JP" w:bidi="he-IL"/>
              </w:rPr>
              <w:br/>
              <w:t>with gaps allowed." -- it is not clear what "with gaps allowed" means.  It seems to suggest you can just put random filler between fields/elements</w:t>
            </w:r>
          </w:p>
        </w:tc>
        <w:tc>
          <w:tcPr>
            <w:tcW w:w="2724" w:type="dxa"/>
            <w:hideMark/>
          </w:tcPr>
          <w:p w14:paraId="72B52100"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Delete ", with gaps allowed" in the cited text at the referenced location</w:t>
            </w:r>
          </w:p>
        </w:tc>
      </w:tr>
    </w:tbl>
    <w:p w14:paraId="728EEBBA"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6600C46A" w14:textId="77777777" w:rsidTr="007837C2">
        <w:trPr>
          <w:trHeight w:val="1020"/>
        </w:trPr>
        <w:tc>
          <w:tcPr>
            <w:tcW w:w="738" w:type="dxa"/>
            <w:hideMark/>
          </w:tcPr>
          <w:p w14:paraId="427BE701"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1620</w:t>
            </w:r>
          </w:p>
        </w:tc>
        <w:tc>
          <w:tcPr>
            <w:tcW w:w="990" w:type="dxa"/>
            <w:hideMark/>
          </w:tcPr>
          <w:p w14:paraId="4CFD03F2"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1298.64</w:t>
            </w:r>
          </w:p>
        </w:tc>
        <w:tc>
          <w:tcPr>
            <w:tcW w:w="630" w:type="dxa"/>
            <w:hideMark/>
          </w:tcPr>
          <w:p w14:paraId="218D3D39"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64</w:t>
            </w:r>
          </w:p>
        </w:tc>
        <w:tc>
          <w:tcPr>
            <w:tcW w:w="1080" w:type="dxa"/>
            <w:hideMark/>
          </w:tcPr>
          <w:p w14:paraId="4272732C"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9.4.2.194</w:t>
            </w:r>
          </w:p>
        </w:tc>
        <w:tc>
          <w:tcPr>
            <w:tcW w:w="1260" w:type="dxa"/>
            <w:hideMark/>
          </w:tcPr>
          <w:p w14:paraId="7125101B"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193864B3"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Note has normative text "can be set to".... Notes can only contain informative text.</w:t>
            </w:r>
          </w:p>
        </w:tc>
        <w:tc>
          <w:tcPr>
            <w:tcW w:w="2724" w:type="dxa"/>
            <w:hideMark/>
          </w:tcPr>
          <w:p w14:paraId="237BF8B4"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Extract the normative information in the paragraph on line 60.</w:t>
            </w:r>
          </w:p>
        </w:tc>
      </w:tr>
    </w:tbl>
    <w:p w14:paraId="7B679674"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2D2EB98C" w14:textId="77777777" w:rsidTr="007837C2">
        <w:trPr>
          <w:trHeight w:val="1020"/>
        </w:trPr>
        <w:tc>
          <w:tcPr>
            <w:tcW w:w="738" w:type="dxa"/>
            <w:hideMark/>
          </w:tcPr>
          <w:p w14:paraId="467C0B19"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1504</w:t>
            </w:r>
          </w:p>
        </w:tc>
        <w:tc>
          <w:tcPr>
            <w:tcW w:w="990" w:type="dxa"/>
            <w:hideMark/>
          </w:tcPr>
          <w:p w14:paraId="186EADDB"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2232.02</w:t>
            </w:r>
          </w:p>
        </w:tc>
        <w:tc>
          <w:tcPr>
            <w:tcW w:w="630" w:type="dxa"/>
            <w:hideMark/>
          </w:tcPr>
          <w:p w14:paraId="69107988"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2</w:t>
            </w:r>
          </w:p>
        </w:tc>
        <w:tc>
          <w:tcPr>
            <w:tcW w:w="1080" w:type="dxa"/>
            <w:hideMark/>
          </w:tcPr>
          <w:p w14:paraId="3813417B"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11.26.3</w:t>
            </w:r>
          </w:p>
        </w:tc>
        <w:tc>
          <w:tcPr>
            <w:tcW w:w="1260" w:type="dxa"/>
            <w:hideMark/>
          </w:tcPr>
          <w:p w14:paraId="24498A01"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164591ED"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 xml:space="preserve">The (non-AP) </w:t>
            </w:r>
            <w:proofErr w:type="spellStart"/>
            <w:r w:rsidRPr="007837C2">
              <w:rPr>
                <w:rFonts w:ascii="Arial" w:hAnsi="Arial" w:cs="Arial"/>
                <w:sz w:val="20"/>
                <w:lang w:eastAsia="ja-JP" w:bidi="he-IL"/>
              </w:rPr>
              <w:t>PeerKey</w:t>
            </w:r>
            <w:proofErr w:type="spellEnd"/>
            <w:r w:rsidRPr="007837C2">
              <w:rPr>
                <w:rFonts w:ascii="Arial" w:hAnsi="Arial" w:cs="Arial"/>
                <w:sz w:val="20"/>
                <w:lang w:eastAsia="ja-JP" w:bidi="he-IL"/>
              </w:rPr>
              <w:t xml:space="preserve"> mechanism is obsolete, and the STKSA is not defined</w:t>
            </w:r>
          </w:p>
        </w:tc>
        <w:tc>
          <w:tcPr>
            <w:tcW w:w="2724" w:type="dxa"/>
            <w:hideMark/>
          </w:tcPr>
          <w:p w14:paraId="05FBEFE4"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Delete "and STKSA" at 11.26.3</w:t>
            </w:r>
          </w:p>
        </w:tc>
      </w:tr>
    </w:tbl>
    <w:p w14:paraId="37D239B8"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51F988D6" w14:textId="77777777" w:rsidTr="007837C2">
        <w:trPr>
          <w:trHeight w:val="1020"/>
        </w:trPr>
        <w:tc>
          <w:tcPr>
            <w:tcW w:w="738" w:type="dxa"/>
            <w:hideMark/>
          </w:tcPr>
          <w:p w14:paraId="749100C7"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1509</w:t>
            </w:r>
          </w:p>
        </w:tc>
        <w:tc>
          <w:tcPr>
            <w:tcW w:w="990" w:type="dxa"/>
            <w:hideMark/>
          </w:tcPr>
          <w:p w14:paraId="5D9BB995"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2058.01</w:t>
            </w:r>
          </w:p>
        </w:tc>
        <w:tc>
          <w:tcPr>
            <w:tcW w:w="630" w:type="dxa"/>
            <w:hideMark/>
          </w:tcPr>
          <w:p w14:paraId="3A2B613F"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w:t>
            </w:r>
          </w:p>
        </w:tc>
        <w:tc>
          <w:tcPr>
            <w:tcW w:w="1080" w:type="dxa"/>
            <w:hideMark/>
          </w:tcPr>
          <w:p w14:paraId="2D3E78BE"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11.5.4</w:t>
            </w:r>
          </w:p>
        </w:tc>
        <w:tc>
          <w:tcPr>
            <w:tcW w:w="1260" w:type="dxa"/>
            <w:hideMark/>
          </w:tcPr>
          <w:p w14:paraId="4F94B1C0"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78A14A84"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It is not clear what "corresponding to the TID for which the block ack policy is set" means</w:t>
            </w:r>
          </w:p>
        </w:tc>
        <w:tc>
          <w:tcPr>
            <w:tcW w:w="2724" w:type="dxa"/>
            <w:hideMark/>
          </w:tcPr>
          <w:p w14:paraId="5EB49D0B"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Change each of the three instances in the referenced subclause to "with the TID for the block ack agreement"</w:t>
            </w:r>
          </w:p>
        </w:tc>
      </w:tr>
    </w:tbl>
    <w:p w14:paraId="7C9B95D1"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41B435BF" w14:textId="77777777" w:rsidTr="007837C2">
        <w:trPr>
          <w:trHeight w:val="3825"/>
        </w:trPr>
        <w:tc>
          <w:tcPr>
            <w:tcW w:w="738" w:type="dxa"/>
            <w:hideMark/>
          </w:tcPr>
          <w:p w14:paraId="6D034B69"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1511</w:t>
            </w:r>
          </w:p>
        </w:tc>
        <w:tc>
          <w:tcPr>
            <w:tcW w:w="990" w:type="dxa"/>
            <w:hideMark/>
          </w:tcPr>
          <w:p w14:paraId="5CFF3988"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1644.20</w:t>
            </w:r>
          </w:p>
        </w:tc>
        <w:tc>
          <w:tcPr>
            <w:tcW w:w="630" w:type="dxa"/>
            <w:hideMark/>
          </w:tcPr>
          <w:p w14:paraId="464F0214"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20</w:t>
            </w:r>
          </w:p>
        </w:tc>
        <w:tc>
          <w:tcPr>
            <w:tcW w:w="1080" w:type="dxa"/>
            <w:hideMark/>
          </w:tcPr>
          <w:p w14:paraId="600F9F3E"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10.7</w:t>
            </w:r>
          </w:p>
        </w:tc>
        <w:tc>
          <w:tcPr>
            <w:tcW w:w="1260" w:type="dxa"/>
            <w:hideMark/>
          </w:tcPr>
          <w:p w14:paraId="7BE38E84"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0909CEDB"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 xml:space="preserve">"For MSDUs or A-MSDUs belonging to the service class of </w:t>
            </w:r>
            <w:proofErr w:type="spellStart"/>
            <w:r w:rsidRPr="007837C2">
              <w:rPr>
                <w:rFonts w:ascii="Arial" w:hAnsi="Arial" w:cs="Arial"/>
                <w:sz w:val="20"/>
                <w:lang w:eastAsia="ja-JP" w:bidi="he-IL"/>
              </w:rPr>
              <w:t>QoSAck</w:t>
            </w:r>
            <w:proofErr w:type="spellEnd"/>
            <w:r w:rsidRPr="007837C2">
              <w:rPr>
                <w:rFonts w:ascii="Arial" w:hAnsi="Arial" w:cs="Arial"/>
                <w:sz w:val="20"/>
                <w:lang w:eastAsia="ja-JP" w:bidi="he-IL"/>
              </w:rPr>
              <w:t xml:space="preserve"> when the receiver</w:t>
            </w:r>
            <w:r w:rsidRPr="007837C2">
              <w:rPr>
                <w:rFonts w:ascii="Arial" w:hAnsi="Arial" w:cs="Arial"/>
                <w:sz w:val="20"/>
                <w:lang w:eastAsia="ja-JP" w:bidi="he-IL"/>
              </w:rPr>
              <w:br/>
            </w:r>
            <w:r w:rsidRPr="007837C2">
              <w:rPr>
                <w:rFonts w:ascii="Arial" w:hAnsi="Arial" w:cs="Arial"/>
                <w:sz w:val="20"/>
                <w:lang w:eastAsia="ja-JP" w:bidi="he-IL"/>
              </w:rPr>
              <w:br/>
              <w:t>is a QoS STA, set to Normal Ack or Implicit Block Ack Request, PSMP Ack, or Block Ack." is missing some words (what is set?)</w:t>
            </w:r>
          </w:p>
        </w:tc>
        <w:tc>
          <w:tcPr>
            <w:tcW w:w="2724" w:type="dxa"/>
            <w:hideMark/>
          </w:tcPr>
          <w:p w14:paraId="58514AEC"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 xml:space="preserve">Change the cited text in the referenced location to "For MSDUs or A-MSDUs belonging to the service class of </w:t>
            </w:r>
            <w:proofErr w:type="spellStart"/>
            <w:r w:rsidRPr="007837C2">
              <w:rPr>
                <w:rFonts w:ascii="Arial" w:hAnsi="Arial" w:cs="Arial"/>
                <w:sz w:val="20"/>
                <w:lang w:eastAsia="ja-JP" w:bidi="he-IL"/>
              </w:rPr>
              <w:t>QoSAck</w:t>
            </w:r>
            <w:proofErr w:type="spellEnd"/>
            <w:r w:rsidRPr="007837C2">
              <w:rPr>
                <w:rFonts w:ascii="Arial" w:hAnsi="Arial" w:cs="Arial"/>
                <w:sz w:val="20"/>
                <w:lang w:eastAsia="ja-JP" w:bidi="he-IL"/>
              </w:rPr>
              <w:t xml:space="preserve"> when the receiver</w:t>
            </w:r>
            <w:r w:rsidRPr="007837C2">
              <w:rPr>
                <w:rFonts w:ascii="Arial" w:hAnsi="Arial" w:cs="Arial"/>
                <w:sz w:val="20"/>
                <w:lang w:eastAsia="ja-JP" w:bidi="he-IL"/>
              </w:rPr>
              <w:br/>
            </w:r>
            <w:r w:rsidRPr="007837C2">
              <w:rPr>
                <w:rFonts w:ascii="Arial" w:hAnsi="Arial" w:cs="Arial"/>
                <w:sz w:val="20"/>
                <w:lang w:eastAsia="ja-JP" w:bidi="he-IL"/>
              </w:rPr>
              <w:br/>
              <w:t>is a QoS STA, the QoS Data frames</w:t>
            </w:r>
            <w:r w:rsidRPr="007837C2">
              <w:rPr>
                <w:rFonts w:ascii="Arial" w:hAnsi="Arial" w:cs="Arial"/>
                <w:sz w:val="20"/>
                <w:lang w:eastAsia="ja-JP" w:bidi="he-IL"/>
              </w:rPr>
              <w:br/>
            </w:r>
            <w:r w:rsidRPr="007837C2">
              <w:rPr>
                <w:rFonts w:ascii="Arial" w:hAnsi="Arial" w:cs="Arial"/>
                <w:sz w:val="20"/>
                <w:lang w:eastAsia="ja-JP" w:bidi="he-IL"/>
              </w:rPr>
              <w:br/>
              <w:t>that are used to send these MSDUs or A-MSDUs shall have the Ack Policy subfield in the QoS Control field set to Normal Ack or Implicit Block Ack Request, PSMP Ack, or Block Ack."</w:t>
            </w:r>
          </w:p>
        </w:tc>
      </w:tr>
    </w:tbl>
    <w:p w14:paraId="1546D4D8"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29AADD06" w14:textId="77777777" w:rsidTr="007837C2">
        <w:trPr>
          <w:trHeight w:val="6630"/>
        </w:trPr>
        <w:tc>
          <w:tcPr>
            <w:tcW w:w="738" w:type="dxa"/>
            <w:hideMark/>
          </w:tcPr>
          <w:p w14:paraId="397EBD73"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lastRenderedPageBreak/>
              <w:t>1462</w:t>
            </w:r>
          </w:p>
        </w:tc>
        <w:tc>
          <w:tcPr>
            <w:tcW w:w="990" w:type="dxa"/>
            <w:hideMark/>
          </w:tcPr>
          <w:p w14:paraId="1EC75BA5" w14:textId="77777777" w:rsidR="007837C2" w:rsidRPr="007837C2" w:rsidRDefault="007837C2" w:rsidP="00E742A2">
            <w:pPr>
              <w:autoSpaceDE w:val="0"/>
              <w:autoSpaceDN w:val="0"/>
              <w:adjustRightInd w:val="0"/>
              <w:rPr>
                <w:rFonts w:ascii="Arial" w:hAnsi="Arial" w:cs="Arial"/>
                <w:sz w:val="20"/>
                <w:lang w:eastAsia="ja-JP" w:bidi="he-IL"/>
              </w:rPr>
            </w:pPr>
          </w:p>
        </w:tc>
        <w:tc>
          <w:tcPr>
            <w:tcW w:w="630" w:type="dxa"/>
            <w:hideMark/>
          </w:tcPr>
          <w:p w14:paraId="61138542" w14:textId="77777777" w:rsidR="007837C2" w:rsidRPr="007837C2" w:rsidRDefault="007837C2" w:rsidP="00E742A2">
            <w:pPr>
              <w:autoSpaceDE w:val="0"/>
              <w:autoSpaceDN w:val="0"/>
              <w:adjustRightInd w:val="0"/>
              <w:rPr>
                <w:rFonts w:ascii="Arial" w:hAnsi="Arial" w:cs="Arial"/>
                <w:sz w:val="20"/>
                <w:lang w:eastAsia="ja-JP" w:bidi="he-IL"/>
              </w:rPr>
            </w:pPr>
          </w:p>
        </w:tc>
        <w:tc>
          <w:tcPr>
            <w:tcW w:w="1080" w:type="dxa"/>
            <w:hideMark/>
          </w:tcPr>
          <w:p w14:paraId="44EC1748"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9</w:t>
            </w:r>
          </w:p>
        </w:tc>
        <w:tc>
          <w:tcPr>
            <w:tcW w:w="1260" w:type="dxa"/>
            <w:hideMark/>
          </w:tcPr>
          <w:p w14:paraId="26A18F06"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45A81C1C"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It is not necessary in Clause 9 to say things are done according to the conventions in 9.2.2.  It is confusing to do so, because it implies something unusual is happening</w:t>
            </w:r>
          </w:p>
        </w:tc>
        <w:tc>
          <w:tcPr>
            <w:tcW w:w="2724" w:type="dxa"/>
            <w:hideMark/>
          </w:tcPr>
          <w:p w14:paraId="5D4B37DC"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Delete the sentences like "The order of the</w:t>
            </w:r>
            <w:r w:rsidRPr="007837C2">
              <w:rPr>
                <w:rFonts w:ascii="Arial" w:hAnsi="Arial" w:cs="Arial"/>
                <w:sz w:val="20"/>
                <w:lang w:eastAsia="ja-JP" w:bidi="he-IL"/>
              </w:rPr>
              <w:br/>
            </w:r>
            <w:r w:rsidRPr="007837C2">
              <w:rPr>
                <w:rFonts w:ascii="Arial" w:hAnsi="Arial" w:cs="Arial"/>
                <w:sz w:val="20"/>
                <w:lang w:eastAsia="ja-JP" w:bidi="he-IL"/>
              </w:rPr>
              <w:br/>
              <w:t>Organization Identifier field is described in 9.2.2 (Conventions)." or "All fields use the bit convention from 9.2.2 (Conventions)." or " It is encoded following the conventions in 9.2.2</w:t>
            </w:r>
            <w:r w:rsidRPr="007837C2">
              <w:rPr>
                <w:rFonts w:ascii="Arial" w:hAnsi="Arial" w:cs="Arial"/>
                <w:sz w:val="20"/>
                <w:lang w:eastAsia="ja-JP" w:bidi="he-IL"/>
              </w:rPr>
              <w:br/>
            </w:r>
            <w:r w:rsidRPr="007837C2">
              <w:rPr>
                <w:rFonts w:ascii="Arial" w:hAnsi="Arial" w:cs="Arial"/>
                <w:sz w:val="20"/>
                <w:lang w:eastAsia="ja-JP" w:bidi="he-IL"/>
              </w:rPr>
              <w:br/>
              <w:t xml:space="preserve">(Conventions)." at [mc/D6.0 references] 685.46, 827.4, 828.41, 881.22, 881.26, 881.62, 882.43, 883.44, 999.59, 999.64, 1007.33, 1083.20, 1101.58, 1101.62, 1130.33, 1144.47.  Delete the NOTE at 706.48.  Change 880.20 to say "The MDID field contains an arbitrary value." At 951.39 delete ", encoded according to 9.2.2 (Conventions)".  At 1085.14 delete " </w:t>
            </w:r>
            <w:proofErr w:type="gramStart"/>
            <w:r w:rsidRPr="007837C2">
              <w:rPr>
                <w:rFonts w:ascii="Arial" w:hAnsi="Arial" w:cs="Arial"/>
                <w:sz w:val="20"/>
                <w:lang w:eastAsia="ja-JP" w:bidi="he-IL"/>
              </w:rPr>
              <w:t>and  is</w:t>
            </w:r>
            <w:proofErr w:type="gramEnd"/>
            <w:r w:rsidRPr="007837C2">
              <w:rPr>
                <w:rFonts w:ascii="Arial" w:hAnsi="Arial" w:cs="Arial"/>
                <w:sz w:val="20"/>
                <w:lang w:eastAsia="ja-JP" w:bidi="he-IL"/>
              </w:rPr>
              <w:t xml:space="preserve">  encoded  following  the</w:t>
            </w:r>
            <w:r w:rsidRPr="007837C2">
              <w:rPr>
                <w:rFonts w:ascii="Arial" w:hAnsi="Arial" w:cs="Arial"/>
                <w:sz w:val="20"/>
                <w:lang w:eastAsia="ja-JP" w:bidi="he-IL"/>
              </w:rPr>
              <w:br/>
            </w:r>
            <w:r w:rsidRPr="007837C2">
              <w:rPr>
                <w:rFonts w:ascii="Arial" w:hAnsi="Arial" w:cs="Arial"/>
                <w:sz w:val="20"/>
                <w:lang w:eastAsia="ja-JP" w:bidi="he-IL"/>
              </w:rPr>
              <w:br/>
              <w:t>conventions given in 9.2.2 (Conventions)"</w:t>
            </w:r>
          </w:p>
        </w:tc>
      </w:tr>
    </w:tbl>
    <w:p w14:paraId="5E26940F"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0A9D21EC" w14:textId="77777777" w:rsidTr="007837C2">
        <w:trPr>
          <w:trHeight w:val="1020"/>
        </w:trPr>
        <w:tc>
          <w:tcPr>
            <w:tcW w:w="738" w:type="dxa"/>
            <w:hideMark/>
          </w:tcPr>
          <w:p w14:paraId="1AEDEA73"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1519</w:t>
            </w:r>
          </w:p>
        </w:tc>
        <w:tc>
          <w:tcPr>
            <w:tcW w:w="990" w:type="dxa"/>
            <w:hideMark/>
          </w:tcPr>
          <w:p w14:paraId="4DF5728E"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1066.25</w:t>
            </w:r>
          </w:p>
        </w:tc>
        <w:tc>
          <w:tcPr>
            <w:tcW w:w="630" w:type="dxa"/>
            <w:hideMark/>
          </w:tcPr>
          <w:p w14:paraId="5C38911E"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25</w:t>
            </w:r>
          </w:p>
        </w:tc>
        <w:tc>
          <w:tcPr>
            <w:tcW w:w="1080" w:type="dxa"/>
            <w:hideMark/>
          </w:tcPr>
          <w:p w14:paraId="01241C72"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9.4.2.36</w:t>
            </w:r>
          </w:p>
        </w:tc>
        <w:tc>
          <w:tcPr>
            <w:tcW w:w="1260" w:type="dxa"/>
            <w:hideMark/>
          </w:tcPr>
          <w:p w14:paraId="3542BE05"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4A606566"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"Set to 4 for 80+80 MHz operating channel width" is not consistent with the other sentences</w:t>
            </w:r>
          </w:p>
        </w:tc>
        <w:tc>
          <w:tcPr>
            <w:tcW w:w="2724" w:type="dxa"/>
            <w:hideMark/>
          </w:tcPr>
          <w:p w14:paraId="6F1EC5F4"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Change the cited text at the referenced location to "Set to 4 for 80+80 MHz BSS bandwidth"</w:t>
            </w:r>
          </w:p>
        </w:tc>
      </w:tr>
    </w:tbl>
    <w:p w14:paraId="7808C96B"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37996E84" w14:textId="77777777" w:rsidTr="007837C2">
        <w:trPr>
          <w:trHeight w:val="2295"/>
        </w:trPr>
        <w:tc>
          <w:tcPr>
            <w:tcW w:w="738" w:type="dxa"/>
            <w:hideMark/>
          </w:tcPr>
          <w:p w14:paraId="492B0D03"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1520</w:t>
            </w:r>
          </w:p>
        </w:tc>
        <w:tc>
          <w:tcPr>
            <w:tcW w:w="990" w:type="dxa"/>
            <w:hideMark/>
          </w:tcPr>
          <w:p w14:paraId="0C4A64CF"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1676.63</w:t>
            </w:r>
          </w:p>
        </w:tc>
        <w:tc>
          <w:tcPr>
            <w:tcW w:w="630" w:type="dxa"/>
            <w:hideMark/>
          </w:tcPr>
          <w:p w14:paraId="1D0A13CC"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63</w:t>
            </w:r>
          </w:p>
        </w:tc>
        <w:tc>
          <w:tcPr>
            <w:tcW w:w="1080" w:type="dxa"/>
            <w:hideMark/>
          </w:tcPr>
          <w:p w14:paraId="26A62E3C"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10.23.2.8</w:t>
            </w:r>
          </w:p>
        </w:tc>
        <w:tc>
          <w:tcPr>
            <w:tcW w:w="1260" w:type="dxa"/>
            <w:hideMark/>
          </w:tcPr>
          <w:p w14:paraId="09819148"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3C00A62A"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w:t>
            </w:r>
            <w:proofErr w:type="gramStart"/>
            <w:r w:rsidRPr="007837C2">
              <w:rPr>
                <w:rFonts w:ascii="Arial" w:hAnsi="Arial" w:cs="Arial"/>
                <w:sz w:val="20"/>
                <w:lang w:eastAsia="ja-JP" w:bidi="he-IL"/>
              </w:rPr>
              <w:t>Note  that</w:t>
            </w:r>
            <w:proofErr w:type="gramEnd"/>
            <w:r w:rsidRPr="007837C2">
              <w:rPr>
                <w:rFonts w:ascii="Arial" w:hAnsi="Arial" w:cs="Arial"/>
                <w:sz w:val="20"/>
                <w:lang w:eastAsia="ja-JP" w:bidi="he-IL"/>
              </w:rPr>
              <w:t xml:space="preserve">  when  transmitting  multiple  frames  in  a  TXOP  using  acknowledgment  mechanisms  other  than</w:t>
            </w:r>
            <w:r w:rsidRPr="007837C2">
              <w:rPr>
                <w:rFonts w:ascii="Arial" w:hAnsi="Arial" w:cs="Arial"/>
                <w:sz w:val="20"/>
                <w:lang w:eastAsia="ja-JP" w:bidi="he-IL"/>
              </w:rPr>
              <w:br/>
            </w:r>
            <w:r w:rsidRPr="007837C2">
              <w:rPr>
                <w:rFonts w:ascii="Arial" w:hAnsi="Arial" w:cs="Arial"/>
                <w:sz w:val="20"/>
                <w:lang w:eastAsia="ja-JP" w:bidi="he-IL"/>
              </w:rPr>
              <w:br/>
              <w:t>Normal Ack," -- it is not clear what this means; it seems to be inadvertently omitting implicit BA</w:t>
            </w:r>
          </w:p>
        </w:tc>
        <w:tc>
          <w:tcPr>
            <w:tcW w:w="2724" w:type="dxa"/>
            <w:hideMark/>
          </w:tcPr>
          <w:p w14:paraId="7FF365E8"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Change the cited text at the referenced location to "</w:t>
            </w:r>
            <w:proofErr w:type="gramStart"/>
            <w:r w:rsidRPr="007837C2">
              <w:rPr>
                <w:rFonts w:ascii="Arial" w:hAnsi="Arial" w:cs="Arial"/>
                <w:sz w:val="20"/>
                <w:lang w:eastAsia="ja-JP" w:bidi="he-IL"/>
              </w:rPr>
              <w:t>Note  that</w:t>
            </w:r>
            <w:proofErr w:type="gramEnd"/>
            <w:r w:rsidRPr="007837C2">
              <w:rPr>
                <w:rFonts w:ascii="Arial" w:hAnsi="Arial" w:cs="Arial"/>
                <w:sz w:val="20"/>
                <w:lang w:eastAsia="ja-JP" w:bidi="he-IL"/>
              </w:rPr>
              <w:t xml:space="preserve">  when  transmitting  multiple  frames  in  a  TXOP  using  acknowledgment  mechanisms  other  than immediate acknowledgement,"</w:t>
            </w:r>
          </w:p>
        </w:tc>
      </w:tr>
    </w:tbl>
    <w:p w14:paraId="0139F184" w14:textId="77777777" w:rsidR="00F14F25" w:rsidRDefault="00F14F25"/>
    <w:tbl>
      <w:tblPr>
        <w:tblStyle w:val="TableGrid"/>
        <w:tblW w:w="0" w:type="auto"/>
        <w:tblLayout w:type="fixed"/>
        <w:tblLook w:val="04A0" w:firstRow="1" w:lastRow="0" w:firstColumn="1" w:lastColumn="0" w:noHBand="0" w:noVBand="1"/>
      </w:tblPr>
      <w:tblGrid>
        <w:gridCol w:w="738"/>
        <w:gridCol w:w="990"/>
        <w:gridCol w:w="630"/>
        <w:gridCol w:w="1080"/>
        <w:gridCol w:w="1260"/>
        <w:gridCol w:w="2880"/>
        <w:gridCol w:w="2724"/>
      </w:tblGrid>
      <w:tr w:rsidR="007837C2" w:rsidRPr="007837C2" w14:paraId="27A3960E" w14:textId="77777777" w:rsidTr="007837C2">
        <w:trPr>
          <w:trHeight w:val="2550"/>
        </w:trPr>
        <w:tc>
          <w:tcPr>
            <w:tcW w:w="738" w:type="dxa"/>
            <w:hideMark/>
          </w:tcPr>
          <w:p w14:paraId="143193E6"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1498</w:t>
            </w:r>
          </w:p>
        </w:tc>
        <w:tc>
          <w:tcPr>
            <w:tcW w:w="990" w:type="dxa"/>
            <w:hideMark/>
          </w:tcPr>
          <w:p w14:paraId="27F71D3A" w14:textId="77777777" w:rsidR="007837C2" w:rsidRPr="007837C2" w:rsidRDefault="007837C2" w:rsidP="00E742A2">
            <w:pPr>
              <w:autoSpaceDE w:val="0"/>
              <w:autoSpaceDN w:val="0"/>
              <w:adjustRightInd w:val="0"/>
              <w:rPr>
                <w:rFonts w:ascii="Arial" w:hAnsi="Arial" w:cs="Arial"/>
                <w:sz w:val="20"/>
                <w:lang w:eastAsia="ja-JP" w:bidi="he-IL"/>
              </w:rPr>
            </w:pPr>
          </w:p>
        </w:tc>
        <w:tc>
          <w:tcPr>
            <w:tcW w:w="630" w:type="dxa"/>
            <w:hideMark/>
          </w:tcPr>
          <w:p w14:paraId="4E290D17" w14:textId="77777777" w:rsidR="007837C2" w:rsidRPr="007837C2" w:rsidRDefault="007837C2" w:rsidP="00E742A2">
            <w:pPr>
              <w:autoSpaceDE w:val="0"/>
              <w:autoSpaceDN w:val="0"/>
              <w:adjustRightInd w:val="0"/>
              <w:rPr>
                <w:rFonts w:ascii="Arial" w:hAnsi="Arial" w:cs="Arial"/>
                <w:sz w:val="20"/>
                <w:lang w:eastAsia="ja-JP" w:bidi="he-IL"/>
              </w:rPr>
            </w:pPr>
          </w:p>
        </w:tc>
        <w:tc>
          <w:tcPr>
            <w:tcW w:w="1080" w:type="dxa"/>
            <w:hideMark/>
          </w:tcPr>
          <w:p w14:paraId="17E80F16" w14:textId="77777777" w:rsidR="007837C2" w:rsidRPr="007837C2" w:rsidRDefault="007837C2" w:rsidP="00E742A2">
            <w:pPr>
              <w:autoSpaceDE w:val="0"/>
              <w:autoSpaceDN w:val="0"/>
              <w:adjustRightInd w:val="0"/>
              <w:rPr>
                <w:rFonts w:ascii="Arial" w:hAnsi="Arial" w:cs="Arial"/>
                <w:sz w:val="20"/>
                <w:lang w:eastAsia="ja-JP" w:bidi="he-IL"/>
              </w:rPr>
            </w:pPr>
          </w:p>
        </w:tc>
        <w:tc>
          <w:tcPr>
            <w:tcW w:w="1260" w:type="dxa"/>
            <w:hideMark/>
          </w:tcPr>
          <w:p w14:paraId="5906B739" w14:textId="77777777" w:rsidR="007837C2" w:rsidRPr="007837C2" w:rsidRDefault="007837C2" w:rsidP="00E742A2">
            <w:pPr>
              <w:autoSpaceDE w:val="0"/>
              <w:autoSpaceDN w:val="0"/>
              <w:adjustRightInd w:val="0"/>
              <w:rPr>
                <w:rFonts w:ascii="Arial" w:hAnsi="Arial" w:cs="Arial"/>
                <w:sz w:val="20"/>
                <w:lang w:eastAsia="ja-JP" w:bidi="he-IL"/>
              </w:rPr>
            </w:pPr>
          </w:p>
        </w:tc>
        <w:tc>
          <w:tcPr>
            <w:tcW w:w="2880" w:type="dxa"/>
            <w:hideMark/>
          </w:tcPr>
          <w:p w14:paraId="07613E85"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There is no such thing as "DSSS/CCK mode"</w:t>
            </w:r>
          </w:p>
        </w:tc>
        <w:tc>
          <w:tcPr>
            <w:tcW w:w="2724" w:type="dxa"/>
            <w:hideMark/>
          </w:tcPr>
          <w:p w14:paraId="38A8326F" w14:textId="77777777" w:rsidR="007837C2" w:rsidRPr="007837C2" w:rsidRDefault="007837C2" w:rsidP="00E742A2">
            <w:pPr>
              <w:autoSpaceDE w:val="0"/>
              <w:autoSpaceDN w:val="0"/>
              <w:adjustRightInd w:val="0"/>
              <w:rPr>
                <w:rFonts w:ascii="Arial" w:hAnsi="Arial" w:cs="Arial"/>
                <w:sz w:val="20"/>
                <w:lang w:eastAsia="ja-JP" w:bidi="he-IL"/>
              </w:rPr>
            </w:pPr>
            <w:r w:rsidRPr="007837C2">
              <w:rPr>
                <w:rFonts w:ascii="Arial" w:hAnsi="Arial" w:cs="Arial"/>
                <w:sz w:val="20"/>
                <w:lang w:eastAsia="ja-JP" w:bidi="he-IL"/>
              </w:rPr>
              <w:t>Change "DSSS/CCK Mode" (or "mode") to "DSSS/CCK PPDUs" in 9.4.2.55.2 (3x), 11.15.8 (4x), C.3 (1x).  Change "dot11RMNeighborReportHTDSSCCKModein40MHz" to "dot11RMNeighborReportHTDSSCCKPPDUsin40MHz" in C.3 (3x)</w:t>
            </w:r>
          </w:p>
        </w:tc>
      </w:tr>
    </w:tbl>
    <w:p w14:paraId="3CDC6B46" w14:textId="77777777" w:rsidR="00E742A2" w:rsidRPr="00E97C2E" w:rsidRDefault="00E742A2" w:rsidP="00E97C2E">
      <w:pPr>
        <w:autoSpaceDE w:val="0"/>
        <w:autoSpaceDN w:val="0"/>
        <w:adjustRightInd w:val="0"/>
        <w:rPr>
          <w:rFonts w:ascii="TimesNewRomanPSMT" w:hAnsi="TimesNewRomanPSMT" w:cs="TimesNewRomanPSMT"/>
          <w:sz w:val="20"/>
          <w:lang w:eastAsia="ja-JP" w:bidi="he-IL"/>
        </w:rPr>
      </w:pPr>
    </w:p>
    <w:sectPr w:rsidR="00E742A2" w:rsidRPr="00E97C2E" w:rsidSect="009E579C">
      <w:headerReference w:type="default" r:id="rId15"/>
      <w:footerReference w:type="default" r:id="rId16"/>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D0474" w14:textId="77777777" w:rsidR="00571167" w:rsidRDefault="00571167">
      <w:r>
        <w:separator/>
      </w:r>
    </w:p>
  </w:endnote>
  <w:endnote w:type="continuationSeparator" w:id="0">
    <w:p w14:paraId="73B01ACC" w14:textId="77777777" w:rsidR="00571167" w:rsidRDefault="00571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icrosoft JhengHei"/>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26AC0" w14:textId="646A71AF" w:rsidR="00E742A2" w:rsidRDefault="00E742A2" w:rsidP="00070C5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D4DE9">
      <w:rPr>
        <w:noProof/>
      </w:rPr>
      <w:t>21</w:t>
    </w:r>
    <w:r>
      <w:rPr>
        <w:noProof/>
      </w:rPr>
      <w:fldChar w:fldCharType="end"/>
    </w:r>
    <w:r>
      <w:tab/>
      <w:t>Mark Hamilton, Ruckus/ARRIS</w:t>
    </w:r>
  </w:p>
  <w:p w14:paraId="5B8624E2" w14:textId="77777777" w:rsidR="00E742A2" w:rsidRDefault="00E742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F67BE" w14:textId="77777777" w:rsidR="00571167" w:rsidRDefault="00571167">
      <w:r>
        <w:separator/>
      </w:r>
    </w:p>
  </w:footnote>
  <w:footnote w:type="continuationSeparator" w:id="0">
    <w:p w14:paraId="12DC7D07" w14:textId="77777777" w:rsidR="00571167" w:rsidRDefault="00571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B55C9" w14:textId="664C68DC" w:rsidR="00E742A2" w:rsidRDefault="00E742A2" w:rsidP="005942A6">
    <w:pPr>
      <w:pStyle w:val="Header"/>
      <w:tabs>
        <w:tab w:val="clear" w:pos="6480"/>
        <w:tab w:val="center" w:pos="4680"/>
        <w:tab w:val="right" w:pos="9360"/>
      </w:tabs>
    </w:pPr>
    <w:r>
      <w:t>April 2018</w:t>
    </w:r>
    <w:r>
      <w:tab/>
    </w:r>
    <w:r>
      <w:tab/>
      <w:t xml:space="preserve">   </w:t>
    </w:r>
    <w:fldSimple w:instr=" TITLE  \* MERGEFORMAT ">
      <w:r>
        <w:t>doc.: IEEE 802.11-18/0669r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447D4A"/>
    <w:multiLevelType w:val="hybridMultilevel"/>
    <w:tmpl w:val="83364B94"/>
    <w:lvl w:ilvl="0" w:tplc="B3B0DCDC">
      <w:numFmt w:val="bullet"/>
      <w:lvlText w:val="-"/>
      <w:lvlJc w:val="left"/>
      <w:pPr>
        <w:ind w:left="720" w:hanging="360"/>
      </w:pPr>
      <w:rPr>
        <w:rFonts w:ascii="TimesNewRomanPSMT" w:eastAsia="TimesNewRomanPSMT" w:hAnsi="TimesNewRomanPSMT"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5"/>
  </w:num>
  <w:num w:numId="3">
    <w:abstractNumId w:val="8"/>
  </w:num>
  <w:num w:numId="4">
    <w:abstractNumId w:val="1"/>
  </w:num>
  <w:num w:numId="5">
    <w:abstractNumId w:val="16"/>
  </w:num>
  <w:num w:numId="6">
    <w:abstractNumId w:val="15"/>
  </w:num>
  <w:num w:numId="7">
    <w:abstractNumId w:val="2"/>
  </w:num>
  <w:num w:numId="8">
    <w:abstractNumId w:val="6"/>
  </w:num>
  <w:num w:numId="9">
    <w:abstractNumId w:val="7"/>
  </w:num>
  <w:num w:numId="10">
    <w:abstractNumId w:val="10"/>
  </w:num>
  <w:num w:numId="11">
    <w:abstractNumId w:val="18"/>
  </w:num>
  <w:num w:numId="12">
    <w:abstractNumId w:val="11"/>
  </w:num>
  <w:num w:numId="13">
    <w:abstractNumId w:val="4"/>
  </w:num>
  <w:num w:numId="14">
    <w:abstractNumId w:val="12"/>
  </w:num>
  <w:num w:numId="15">
    <w:abstractNumId w:val="3"/>
  </w:num>
  <w:num w:numId="16">
    <w:abstractNumId w:val="0"/>
  </w:num>
  <w:num w:numId="17">
    <w:abstractNumId w:val="13"/>
  </w:num>
  <w:num w:numId="18">
    <w:abstractNumId w:val="9"/>
  </w:num>
  <w:num w:numId="19">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6A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B66"/>
    <w:rsid w:val="00035626"/>
    <w:rsid w:val="00035DE4"/>
    <w:rsid w:val="000362C7"/>
    <w:rsid w:val="000371E1"/>
    <w:rsid w:val="0003791B"/>
    <w:rsid w:val="00041166"/>
    <w:rsid w:val="000454AF"/>
    <w:rsid w:val="000460A0"/>
    <w:rsid w:val="00047AB1"/>
    <w:rsid w:val="000507CE"/>
    <w:rsid w:val="00051A8F"/>
    <w:rsid w:val="000520D6"/>
    <w:rsid w:val="00054337"/>
    <w:rsid w:val="00054806"/>
    <w:rsid w:val="00055862"/>
    <w:rsid w:val="000560E2"/>
    <w:rsid w:val="00056A24"/>
    <w:rsid w:val="00061F9D"/>
    <w:rsid w:val="0006302E"/>
    <w:rsid w:val="000640AE"/>
    <w:rsid w:val="000660FC"/>
    <w:rsid w:val="00066C64"/>
    <w:rsid w:val="00070C53"/>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3FE0"/>
    <w:rsid w:val="000858EB"/>
    <w:rsid w:val="00086D47"/>
    <w:rsid w:val="00087361"/>
    <w:rsid w:val="00087DD0"/>
    <w:rsid w:val="00090040"/>
    <w:rsid w:val="00090268"/>
    <w:rsid w:val="00090495"/>
    <w:rsid w:val="00091282"/>
    <w:rsid w:val="000913E7"/>
    <w:rsid w:val="00091EDD"/>
    <w:rsid w:val="00092F2E"/>
    <w:rsid w:val="00092F75"/>
    <w:rsid w:val="000946C9"/>
    <w:rsid w:val="00094D74"/>
    <w:rsid w:val="0009524A"/>
    <w:rsid w:val="000955B7"/>
    <w:rsid w:val="00095CB8"/>
    <w:rsid w:val="000961F9"/>
    <w:rsid w:val="00096703"/>
    <w:rsid w:val="00097264"/>
    <w:rsid w:val="000A1BC6"/>
    <w:rsid w:val="000A2EC5"/>
    <w:rsid w:val="000A6653"/>
    <w:rsid w:val="000A6728"/>
    <w:rsid w:val="000B236F"/>
    <w:rsid w:val="000B5131"/>
    <w:rsid w:val="000B535F"/>
    <w:rsid w:val="000B57A8"/>
    <w:rsid w:val="000B5C4C"/>
    <w:rsid w:val="000C0F6F"/>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E04"/>
    <w:rsid w:val="000E0ED7"/>
    <w:rsid w:val="000E49FD"/>
    <w:rsid w:val="000E5305"/>
    <w:rsid w:val="000E5AB7"/>
    <w:rsid w:val="000E5E5A"/>
    <w:rsid w:val="000E683D"/>
    <w:rsid w:val="000E68F8"/>
    <w:rsid w:val="000F0F65"/>
    <w:rsid w:val="000F2320"/>
    <w:rsid w:val="000F430A"/>
    <w:rsid w:val="000F5627"/>
    <w:rsid w:val="000F66F3"/>
    <w:rsid w:val="000F7195"/>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C6C"/>
    <w:rsid w:val="001167A7"/>
    <w:rsid w:val="001170EF"/>
    <w:rsid w:val="00117536"/>
    <w:rsid w:val="0011757A"/>
    <w:rsid w:val="001179B7"/>
    <w:rsid w:val="0012072B"/>
    <w:rsid w:val="001214A4"/>
    <w:rsid w:val="00121C94"/>
    <w:rsid w:val="0012217B"/>
    <w:rsid w:val="001234C2"/>
    <w:rsid w:val="00124928"/>
    <w:rsid w:val="001258FE"/>
    <w:rsid w:val="0012607C"/>
    <w:rsid w:val="00127BC6"/>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761"/>
    <w:rsid w:val="001518B7"/>
    <w:rsid w:val="001524C1"/>
    <w:rsid w:val="00152FF4"/>
    <w:rsid w:val="00153996"/>
    <w:rsid w:val="00154396"/>
    <w:rsid w:val="00155148"/>
    <w:rsid w:val="001553FB"/>
    <w:rsid w:val="0015600E"/>
    <w:rsid w:val="001651E8"/>
    <w:rsid w:val="00165A10"/>
    <w:rsid w:val="001668A6"/>
    <w:rsid w:val="00167858"/>
    <w:rsid w:val="001678C2"/>
    <w:rsid w:val="00167931"/>
    <w:rsid w:val="001701F5"/>
    <w:rsid w:val="0017056B"/>
    <w:rsid w:val="0017281E"/>
    <w:rsid w:val="00175711"/>
    <w:rsid w:val="00177BBB"/>
    <w:rsid w:val="00180818"/>
    <w:rsid w:val="001819C3"/>
    <w:rsid w:val="00182A6B"/>
    <w:rsid w:val="00183B75"/>
    <w:rsid w:val="00184584"/>
    <w:rsid w:val="00184F25"/>
    <w:rsid w:val="001861B8"/>
    <w:rsid w:val="00190C49"/>
    <w:rsid w:val="00192BC9"/>
    <w:rsid w:val="00194FBD"/>
    <w:rsid w:val="00195336"/>
    <w:rsid w:val="0019534C"/>
    <w:rsid w:val="00195354"/>
    <w:rsid w:val="001A0CA3"/>
    <w:rsid w:val="001A0FF2"/>
    <w:rsid w:val="001A1D16"/>
    <w:rsid w:val="001A6081"/>
    <w:rsid w:val="001A64AD"/>
    <w:rsid w:val="001A6E00"/>
    <w:rsid w:val="001A6F4E"/>
    <w:rsid w:val="001A77B7"/>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568E"/>
    <w:rsid w:val="001F6660"/>
    <w:rsid w:val="001F729B"/>
    <w:rsid w:val="00200D4B"/>
    <w:rsid w:val="0020138A"/>
    <w:rsid w:val="00201D7E"/>
    <w:rsid w:val="0020254A"/>
    <w:rsid w:val="0020599D"/>
    <w:rsid w:val="002065F2"/>
    <w:rsid w:val="00206618"/>
    <w:rsid w:val="00206A9B"/>
    <w:rsid w:val="002070E8"/>
    <w:rsid w:val="0020744B"/>
    <w:rsid w:val="0020785C"/>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23A"/>
    <w:rsid w:val="00223E22"/>
    <w:rsid w:val="00224023"/>
    <w:rsid w:val="002249D0"/>
    <w:rsid w:val="002301D2"/>
    <w:rsid w:val="002304DF"/>
    <w:rsid w:val="00231969"/>
    <w:rsid w:val="00232150"/>
    <w:rsid w:val="00232DA6"/>
    <w:rsid w:val="00235A8F"/>
    <w:rsid w:val="00235CC5"/>
    <w:rsid w:val="00236B76"/>
    <w:rsid w:val="00236E6F"/>
    <w:rsid w:val="00237B05"/>
    <w:rsid w:val="00240372"/>
    <w:rsid w:val="00242DC7"/>
    <w:rsid w:val="00243F76"/>
    <w:rsid w:val="0024726B"/>
    <w:rsid w:val="00247ECB"/>
    <w:rsid w:val="00254702"/>
    <w:rsid w:val="0025536B"/>
    <w:rsid w:val="002558FF"/>
    <w:rsid w:val="00256B72"/>
    <w:rsid w:val="00256E50"/>
    <w:rsid w:val="00257CD4"/>
    <w:rsid w:val="00260223"/>
    <w:rsid w:val="00261EB2"/>
    <w:rsid w:val="00263E45"/>
    <w:rsid w:val="00264DA4"/>
    <w:rsid w:val="002674F3"/>
    <w:rsid w:val="00267581"/>
    <w:rsid w:val="0027037B"/>
    <w:rsid w:val="0027046F"/>
    <w:rsid w:val="00270FC0"/>
    <w:rsid w:val="00270FED"/>
    <w:rsid w:val="00272D9D"/>
    <w:rsid w:val="00273274"/>
    <w:rsid w:val="0027514D"/>
    <w:rsid w:val="002752A2"/>
    <w:rsid w:val="00275968"/>
    <w:rsid w:val="00276300"/>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4AF5"/>
    <w:rsid w:val="002A5845"/>
    <w:rsid w:val="002A64AB"/>
    <w:rsid w:val="002A690B"/>
    <w:rsid w:val="002A778A"/>
    <w:rsid w:val="002B1C16"/>
    <w:rsid w:val="002B2F4D"/>
    <w:rsid w:val="002B588E"/>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257"/>
    <w:rsid w:val="002D035B"/>
    <w:rsid w:val="002D1B44"/>
    <w:rsid w:val="002D23D1"/>
    <w:rsid w:val="002D2601"/>
    <w:rsid w:val="002D3ED9"/>
    <w:rsid w:val="002D44BE"/>
    <w:rsid w:val="002D477A"/>
    <w:rsid w:val="002D4C7D"/>
    <w:rsid w:val="002D4DCB"/>
    <w:rsid w:val="002D6819"/>
    <w:rsid w:val="002D7F02"/>
    <w:rsid w:val="002E0570"/>
    <w:rsid w:val="002E06F0"/>
    <w:rsid w:val="002E3CBC"/>
    <w:rsid w:val="002E4744"/>
    <w:rsid w:val="002E4AAF"/>
    <w:rsid w:val="002E76BE"/>
    <w:rsid w:val="002F1A31"/>
    <w:rsid w:val="002F1F8F"/>
    <w:rsid w:val="002F214F"/>
    <w:rsid w:val="002F2A5B"/>
    <w:rsid w:val="002F3849"/>
    <w:rsid w:val="002F3996"/>
    <w:rsid w:val="002F3CE8"/>
    <w:rsid w:val="002F6CBA"/>
    <w:rsid w:val="002F783F"/>
    <w:rsid w:val="0030322B"/>
    <w:rsid w:val="00304F04"/>
    <w:rsid w:val="00305344"/>
    <w:rsid w:val="00311DA6"/>
    <w:rsid w:val="00312CD6"/>
    <w:rsid w:val="00312FE9"/>
    <w:rsid w:val="00313998"/>
    <w:rsid w:val="00313DC6"/>
    <w:rsid w:val="00313DDD"/>
    <w:rsid w:val="00313FFB"/>
    <w:rsid w:val="003159D9"/>
    <w:rsid w:val="00320BA5"/>
    <w:rsid w:val="00320C7F"/>
    <w:rsid w:val="00325B21"/>
    <w:rsid w:val="00325D8E"/>
    <w:rsid w:val="00327A82"/>
    <w:rsid w:val="00327D61"/>
    <w:rsid w:val="00330662"/>
    <w:rsid w:val="00330883"/>
    <w:rsid w:val="003312A6"/>
    <w:rsid w:val="00332E9A"/>
    <w:rsid w:val="00333641"/>
    <w:rsid w:val="00333E50"/>
    <w:rsid w:val="00334D3A"/>
    <w:rsid w:val="003357B8"/>
    <w:rsid w:val="00335822"/>
    <w:rsid w:val="00336086"/>
    <w:rsid w:val="00342441"/>
    <w:rsid w:val="00343D18"/>
    <w:rsid w:val="00346828"/>
    <w:rsid w:val="003507C5"/>
    <w:rsid w:val="00351580"/>
    <w:rsid w:val="00351C11"/>
    <w:rsid w:val="00352422"/>
    <w:rsid w:val="00363A7B"/>
    <w:rsid w:val="00363BD7"/>
    <w:rsid w:val="00364632"/>
    <w:rsid w:val="00364917"/>
    <w:rsid w:val="00364D00"/>
    <w:rsid w:val="00365635"/>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5BD3"/>
    <w:rsid w:val="003873F3"/>
    <w:rsid w:val="00392802"/>
    <w:rsid w:val="00393367"/>
    <w:rsid w:val="003933C7"/>
    <w:rsid w:val="00393F3A"/>
    <w:rsid w:val="00394949"/>
    <w:rsid w:val="00395876"/>
    <w:rsid w:val="003979D0"/>
    <w:rsid w:val="003A0B8B"/>
    <w:rsid w:val="003A15E1"/>
    <w:rsid w:val="003A1FC7"/>
    <w:rsid w:val="003A283A"/>
    <w:rsid w:val="003A2A87"/>
    <w:rsid w:val="003A2CAF"/>
    <w:rsid w:val="003A3EF9"/>
    <w:rsid w:val="003A54C3"/>
    <w:rsid w:val="003A5854"/>
    <w:rsid w:val="003A62F2"/>
    <w:rsid w:val="003B1B6B"/>
    <w:rsid w:val="003B3533"/>
    <w:rsid w:val="003B353B"/>
    <w:rsid w:val="003B41B4"/>
    <w:rsid w:val="003B4D61"/>
    <w:rsid w:val="003B4DC6"/>
    <w:rsid w:val="003B52E6"/>
    <w:rsid w:val="003B56C6"/>
    <w:rsid w:val="003B72BF"/>
    <w:rsid w:val="003B7386"/>
    <w:rsid w:val="003C2E87"/>
    <w:rsid w:val="003C374B"/>
    <w:rsid w:val="003C40EE"/>
    <w:rsid w:val="003C497D"/>
    <w:rsid w:val="003C5230"/>
    <w:rsid w:val="003C63B2"/>
    <w:rsid w:val="003C7F5B"/>
    <w:rsid w:val="003D472D"/>
    <w:rsid w:val="003D47D5"/>
    <w:rsid w:val="003D4DE9"/>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6F6E"/>
    <w:rsid w:val="003E7E62"/>
    <w:rsid w:val="003F0934"/>
    <w:rsid w:val="003F22BC"/>
    <w:rsid w:val="003F26E3"/>
    <w:rsid w:val="003F3E18"/>
    <w:rsid w:val="003F45BA"/>
    <w:rsid w:val="003F4E53"/>
    <w:rsid w:val="003F6908"/>
    <w:rsid w:val="003F75B5"/>
    <w:rsid w:val="004028B3"/>
    <w:rsid w:val="00402E0C"/>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2B"/>
    <w:rsid w:val="00422AF3"/>
    <w:rsid w:val="00422F30"/>
    <w:rsid w:val="00423051"/>
    <w:rsid w:val="004248A8"/>
    <w:rsid w:val="004248F3"/>
    <w:rsid w:val="00425342"/>
    <w:rsid w:val="00426736"/>
    <w:rsid w:val="00426CE9"/>
    <w:rsid w:val="00427C32"/>
    <w:rsid w:val="004303FA"/>
    <w:rsid w:val="00433924"/>
    <w:rsid w:val="00434018"/>
    <w:rsid w:val="004349A6"/>
    <w:rsid w:val="00435046"/>
    <w:rsid w:val="00435DAD"/>
    <w:rsid w:val="00436694"/>
    <w:rsid w:val="00442037"/>
    <w:rsid w:val="0044237B"/>
    <w:rsid w:val="004445B7"/>
    <w:rsid w:val="00446545"/>
    <w:rsid w:val="004470FA"/>
    <w:rsid w:val="004508D6"/>
    <w:rsid w:val="00450F4F"/>
    <w:rsid w:val="004511C7"/>
    <w:rsid w:val="004517B5"/>
    <w:rsid w:val="004542DC"/>
    <w:rsid w:val="00454400"/>
    <w:rsid w:val="004545C0"/>
    <w:rsid w:val="00455117"/>
    <w:rsid w:val="0045737F"/>
    <w:rsid w:val="004575C7"/>
    <w:rsid w:val="00457A3E"/>
    <w:rsid w:val="00460C35"/>
    <w:rsid w:val="00461812"/>
    <w:rsid w:val="00461B0E"/>
    <w:rsid w:val="00461E21"/>
    <w:rsid w:val="00462553"/>
    <w:rsid w:val="00462D7D"/>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287F"/>
    <w:rsid w:val="004940D6"/>
    <w:rsid w:val="00494F31"/>
    <w:rsid w:val="004956B1"/>
    <w:rsid w:val="00495CAC"/>
    <w:rsid w:val="00496291"/>
    <w:rsid w:val="004A0FFC"/>
    <w:rsid w:val="004A29FD"/>
    <w:rsid w:val="004A33F0"/>
    <w:rsid w:val="004A3A67"/>
    <w:rsid w:val="004A46C1"/>
    <w:rsid w:val="004A4E87"/>
    <w:rsid w:val="004A5089"/>
    <w:rsid w:val="004A5556"/>
    <w:rsid w:val="004A6CE9"/>
    <w:rsid w:val="004A7A5B"/>
    <w:rsid w:val="004B064B"/>
    <w:rsid w:val="004B0889"/>
    <w:rsid w:val="004B1139"/>
    <w:rsid w:val="004B2702"/>
    <w:rsid w:val="004B49CA"/>
    <w:rsid w:val="004B5EB2"/>
    <w:rsid w:val="004B6AB6"/>
    <w:rsid w:val="004C0C52"/>
    <w:rsid w:val="004C1A63"/>
    <w:rsid w:val="004C2773"/>
    <w:rsid w:val="004C3650"/>
    <w:rsid w:val="004C3BCB"/>
    <w:rsid w:val="004C4C3F"/>
    <w:rsid w:val="004D025F"/>
    <w:rsid w:val="004D0823"/>
    <w:rsid w:val="004D1D56"/>
    <w:rsid w:val="004D296B"/>
    <w:rsid w:val="004D35B8"/>
    <w:rsid w:val="004D4E94"/>
    <w:rsid w:val="004D64AC"/>
    <w:rsid w:val="004D6887"/>
    <w:rsid w:val="004D7B6F"/>
    <w:rsid w:val="004E06C8"/>
    <w:rsid w:val="004E06DD"/>
    <w:rsid w:val="004E0C50"/>
    <w:rsid w:val="004E2D8D"/>
    <w:rsid w:val="004E2FA8"/>
    <w:rsid w:val="004E31B7"/>
    <w:rsid w:val="004E73C8"/>
    <w:rsid w:val="004F01FA"/>
    <w:rsid w:val="004F166D"/>
    <w:rsid w:val="004F48DA"/>
    <w:rsid w:val="004F76F9"/>
    <w:rsid w:val="004F7908"/>
    <w:rsid w:val="00500859"/>
    <w:rsid w:val="005020F9"/>
    <w:rsid w:val="005049C3"/>
    <w:rsid w:val="0050594E"/>
    <w:rsid w:val="00505AE4"/>
    <w:rsid w:val="00506833"/>
    <w:rsid w:val="00507CE8"/>
    <w:rsid w:val="00511C50"/>
    <w:rsid w:val="00512470"/>
    <w:rsid w:val="00513352"/>
    <w:rsid w:val="0051352E"/>
    <w:rsid w:val="0051424C"/>
    <w:rsid w:val="00515773"/>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167"/>
    <w:rsid w:val="00571388"/>
    <w:rsid w:val="005714B1"/>
    <w:rsid w:val="005718D6"/>
    <w:rsid w:val="00571C4B"/>
    <w:rsid w:val="00573B99"/>
    <w:rsid w:val="00574D84"/>
    <w:rsid w:val="00575BB3"/>
    <w:rsid w:val="00576862"/>
    <w:rsid w:val="00577620"/>
    <w:rsid w:val="0057788B"/>
    <w:rsid w:val="00580602"/>
    <w:rsid w:val="00583AA3"/>
    <w:rsid w:val="00583C4B"/>
    <w:rsid w:val="005864BD"/>
    <w:rsid w:val="00587626"/>
    <w:rsid w:val="00590768"/>
    <w:rsid w:val="00592899"/>
    <w:rsid w:val="00593D42"/>
    <w:rsid w:val="005942A6"/>
    <w:rsid w:val="00594E50"/>
    <w:rsid w:val="00595D61"/>
    <w:rsid w:val="005963F5"/>
    <w:rsid w:val="0059650F"/>
    <w:rsid w:val="005A11F5"/>
    <w:rsid w:val="005A16CC"/>
    <w:rsid w:val="005A187B"/>
    <w:rsid w:val="005A1D50"/>
    <w:rsid w:val="005A2264"/>
    <w:rsid w:val="005A2A4B"/>
    <w:rsid w:val="005A604F"/>
    <w:rsid w:val="005A7CC6"/>
    <w:rsid w:val="005B03D0"/>
    <w:rsid w:val="005B0B6E"/>
    <w:rsid w:val="005B1BCD"/>
    <w:rsid w:val="005B2A4E"/>
    <w:rsid w:val="005B390B"/>
    <w:rsid w:val="005B7862"/>
    <w:rsid w:val="005C0AE7"/>
    <w:rsid w:val="005C1412"/>
    <w:rsid w:val="005C2102"/>
    <w:rsid w:val="005C2326"/>
    <w:rsid w:val="005C338F"/>
    <w:rsid w:val="005C491B"/>
    <w:rsid w:val="005C4A53"/>
    <w:rsid w:val="005C5ECA"/>
    <w:rsid w:val="005C5FB3"/>
    <w:rsid w:val="005C7145"/>
    <w:rsid w:val="005C73C6"/>
    <w:rsid w:val="005C7E4E"/>
    <w:rsid w:val="005D1210"/>
    <w:rsid w:val="005D1BBF"/>
    <w:rsid w:val="005D1DD2"/>
    <w:rsid w:val="005D24C7"/>
    <w:rsid w:val="005D2CDA"/>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078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BF3"/>
    <w:rsid w:val="0062320C"/>
    <w:rsid w:val="006233B4"/>
    <w:rsid w:val="00623F7C"/>
    <w:rsid w:val="00623FBC"/>
    <w:rsid w:val="0062440B"/>
    <w:rsid w:val="00624817"/>
    <w:rsid w:val="006249BC"/>
    <w:rsid w:val="00625AFD"/>
    <w:rsid w:val="006269AA"/>
    <w:rsid w:val="0062700C"/>
    <w:rsid w:val="0063039B"/>
    <w:rsid w:val="006320F2"/>
    <w:rsid w:val="006324AD"/>
    <w:rsid w:val="00633A73"/>
    <w:rsid w:val="0063689B"/>
    <w:rsid w:val="00636FD4"/>
    <w:rsid w:val="006374B3"/>
    <w:rsid w:val="006409CA"/>
    <w:rsid w:val="006419B5"/>
    <w:rsid w:val="00642E40"/>
    <w:rsid w:val="006434C4"/>
    <w:rsid w:val="00644CAD"/>
    <w:rsid w:val="006478DE"/>
    <w:rsid w:val="00647C0F"/>
    <w:rsid w:val="0065099A"/>
    <w:rsid w:val="0065177F"/>
    <w:rsid w:val="0065579B"/>
    <w:rsid w:val="0065586F"/>
    <w:rsid w:val="00656412"/>
    <w:rsid w:val="006565BB"/>
    <w:rsid w:val="00656ED6"/>
    <w:rsid w:val="006615A7"/>
    <w:rsid w:val="00662059"/>
    <w:rsid w:val="0066224A"/>
    <w:rsid w:val="00662DB5"/>
    <w:rsid w:val="00663DF7"/>
    <w:rsid w:val="00663F12"/>
    <w:rsid w:val="006648CD"/>
    <w:rsid w:val="00665FA0"/>
    <w:rsid w:val="00666A07"/>
    <w:rsid w:val="00666DDA"/>
    <w:rsid w:val="00667D36"/>
    <w:rsid w:val="00670449"/>
    <w:rsid w:val="006705DF"/>
    <w:rsid w:val="00672620"/>
    <w:rsid w:val="00674F4E"/>
    <w:rsid w:val="006751FF"/>
    <w:rsid w:val="00675E47"/>
    <w:rsid w:val="00680F5E"/>
    <w:rsid w:val="006832AA"/>
    <w:rsid w:val="00684955"/>
    <w:rsid w:val="00684E99"/>
    <w:rsid w:val="00684EC0"/>
    <w:rsid w:val="00686695"/>
    <w:rsid w:val="00686BDA"/>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B038F"/>
    <w:rsid w:val="006B2183"/>
    <w:rsid w:val="006B3BD4"/>
    <w:rsid w:val="006B3FC4"/>
    <w:rsid w:val="006B45A9"/>
    <w:rsid w:val="006B536C"/>
    <w:rsid w:val="006B55A2"/>
    <w:rsid w:val="006B643A"/>
    <w:rsid w:val="006B7EC3"/>
    <w:rsid w:val="006C0727"/>
    <w:rsid w:val="006C0D8E"/>
    <w:rsid w:val="006C20C2"/>
    <w:rsid w:val="006C3C55"/>
    <w:rsid w:val="006C720F"/>
    <w:rsid w:val="006C74BC"/>
    <w:rsid w:val="006C78F5"/>
    <w:rsid w:val="006D1880"/>
    <w:rsid w:val="006D1A6A"/>
    <w:rsid w:val="006D2392"/>
    <w:rsid w:val="006D43E7"/>
    <w:rsid w:val="006D48E7"/>
    <w:rsid w:val="006D5690"/>
    <w:rsid w:val="006D58E9"/>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6B4D"/>
    <w:rsid w:val="006F77E6"/>
    <w:rsid w:val="00701E0C"/>
    <w:rsid w:val="00701E88"/>
    <w:rsid w:val="0070202C"/>
    <w:rsid w:val="00703002"/>
    <w:rsid w:val="00704B57"/>
    <w:rsid w:val="00705F3C"/>
    <w:rsid w:val="007064E7"/>
    <w:rsid w:val="00710263"/>
    <w:rsid w:val="0071026D"/>
    <w:rsid w:val="0071159D"/>
    <w:rsid w:val="007116E9"/>
    <w:rsid w:val="00711B56"/>
    <w:rsid w:val="007127E2"/>
    <w:rsid w:val="00713D0D"/>
    <w:rsid w:val="00715FE6"/>
    <w:rsid w:val="007164E1"/>
    <w:rsid w:val="0071661E"/>
    <w:rsid w:val="00717D24"/>
    <w:rsid w:val="00720830"/>
    <w:rsid w:val="00722252"/>
    <w:rsid w:val="00722282"/>
    <w:rsid w:val="00723F92"/>
    <w:rsid w:val="00724AD3"/>
    <w:rsid w:val="00724FA8"/>
    <w:rsid w:val="0072537E"/>
    <w:rsid w:val="00725D0D"/>
    <w:rsid w:val="007275EA"/>
    <w:rsid w:val="00727815"/>
    <w:rsid w:val="00727884"/>
    <w:rsid w:val="007300A1"/>
    <w:rsid w:val="007306AC"/>
    <w:rsid w:val="00733377"/>
    <w:rsid w:val="00734781"/>
    <w:rsid w:val="007360E7"/>
    <w:rsid w:val="00737E2B"/>
    <w:rsid w:val="0074016E"/>
    <w:rsid w:val="00740489"/>
    <w:rsid w:val="00743157"/>
    <w:rsid w:val="00743E42"/>
    <w:rsid w:val="00744AA5"/>
    <w:rsid w:val="00746434"/>
    <w:rsid w:val="007466F1"/>
    <w:rsid w:val="007470F2"/>
    <w:rsid w:val="007471BD"/>
    <w:rsid w:val="00750F6A"/>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6435"/>
    <w:rsid w:val="00766C52"/>
    <w:rsid w:val="007676D9"/>
    <w:rsid w:val="00770572"/>
    <w:rsid w:val="007706BA"/>
    <w:rsid w:val="0077080A"/>
    <w:rsid w:val="00771FA6"/>
    <w:rsid w:val="00772206"/>
    <w:rsid w:val="00773933"/>
    <w:rsid w:val="00774631"/>
    <w:rsid w:val="007767F2"/>
    <w:rsid w:val="00781FE5"/>
    <w:rsid w:val="0078215A"/>
    <w:rsid w:val="007837C2"/>
    <w:rsid w:val="00784C52"/>
    <w:rsid w:val="0078506D"/>
    <w:rsid w:val="00785281"/>
    <w:rsid w:val="00786B14"/>
    <w:rsid w:val="00790A4B"/>
    <w:rsid w:val="00790B96"/>
    <w:rsid w:val="007912B3"/>
    <w:rsid w:val="00792B67"/>
    <w:rsid w:val="00794DCE"/>
    <w:rsid w:val="00795C65"/>
    <w:rsid w:val="007A0F4C"/>
    <w:rsid w:val="007A15C8"/>
    <w:rsid w:val="007A29A7"/>
    <w:rsid w:val="007A38EA"/>
    <w:rsid w:val="007A4E0C"/>
    <w:rsid w:val="007A52B5"/>
    <w:rsid w:val="007A55AD"/>
    <w:rsid w:val="007A6701"/>
    <w:rsid w:val="007A686F"/>
    <w:rsid w:val="007A69E5"/>
    <w:rsid w:val="007B0F1A"/>
    <w:rsid w:val="007B1713"/>
    <w:rsid w:val="007B256C"/>
    <w:rsid w:val="007B4C46"/>
    <w:rsid w:val="007B5C46"/>
    <w:rsid w:val="007B6CCA"/>
    <w:rsid w:val="007C2845"/>
    <w:rsid w:val="007C2CEF"/>
    <w:rsid w:val="007C34ED"/>
    <w:rsid w:val="007C561B"/>
    <w:rsid w:val="007C5878"/>
    <w:rsid w:val="007D03E1"/>
    <w:rsid w:val="007D13F2"/>
    <w:rsid w:val="007D28E2"/>
    <w:rsid w:val="007D2C82"/>
    <w:rsid w:val="007D4B62"/>
    <w:rsid w:val="007D4C55"/>
    <w:rsid w:val="007D58CD"/>
    <w:rsid w:val="007E0074"/>
    <w:rsid w:val="007E1F37"/>
    <w:rsid w:val="007E23E3"/>
    <w:rsid w:val="007E3FA2"/>
    <w:rsid w:val="007E49E3"/>
    <w:rsid w:val="007E665F"/>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651C"/>
    <w:rsid w:val="007F6909"/>
    <w:rsid w:val="007F6BF5"/>
    <w:rsid w:val="007F6DD6"/>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50D7"/>
    <w:rsid w:val="00815413"/>
    <w:rsid w:val="00815996"/>
    <w:rsid w:val="00816193"/>
    <w:rsid w:val="00816C42"/>
    <w:rsid w:val="00816F78"/>
    <w:rsid w:val="00820D51"/>
    <w:rsid w:val="00822F9D"/>
    <w:rsid w:val="008231B1"/>
    <w:rsid w:val="00824D1D"/>
    <w:rsid w:val="008250B2"/>
    <w:rsid w:val="0082558F"/>
    <w:rsid w:val="00825CF4"/>
    <w:rsid w:val="00826B4A"/>
    <w:rsid w:val="00826EC2"/>
    <w:rsid w:val="008275BF"/>
    <w:rsid w:val="00827A79"/>
    <w:rsid w:val="00830E99"/>
    <w:rsid w:val="008319F3"/>
    <w:rsid w:val="00832199"/>
    <w:rsid w:val="00833433"/>
    <w:rsid w:val="008348F7"/>
    <w:rsid w:val="00834EEE"/>
    <w:rsid w:val="00834EF2"/>
    <w:rsid w:val="00835434"/>
    <w:rsid w:val="00835CBC"/>
    <w:rsid w:val="00836F42"/>
    <w:rsid w:val="008400CD"/>
    <w:rsid w:val="0084094B"/>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8F"/>
    <w:rsid w:val="00865409"/>
    <w:rsid w:val="00865FE5"/>
    <w:rsid w:val="0086789D"/>
    <w:rsid w:val="008679BB"/>
    <w:rsid w:val="0087181E"/>
    <w:rsid w:val="00872007"/>
    <w:rsid w:val="00874924"/>
    <w:rsid w:val="00874978"/>
    <w:rsid w:val="00874EC1"/>
    <w:rsid w:val="0087707D"/>
    <w:rsid w:val="00880A5C"/>
    <w:rsid w:val="00881054"/>
    <w:rsid w:val="00882C64"/>
    <w:rsid w:val="00883EEA"/>
    <w:rsid w:val="00884341"/>
    <w:rsid w:val="00885132"/>
    <w:rsid w:val="00885434"/>
    <w:rsid w:val="00890FE0"/>
    <w:rsid w:val="00893E8B"/>
    <w:rsid w:val="00893FF8"/>
    <w:rsid w:val="0089409C"/>
    <w:rsid w:val="00894852"/>
    <w:rsid w:val="008963B1"/>
    <w:rsid w:val="00896BBF"/>
    <w:rsid w:val="008A18B8"/>
    <w:rsid w:val="008A2A76"/>
    <w:rsid w:val="008A4486"/>
    <w:rsid w:val="008A489F"/>
    <w:rsid w:val="008A5736"/>
    <w:rsid w:val="008A6435"/>
    <w:rsid w:val="008A7811"/>
    <w:rsid w:val="008B47AB"/>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14A2"/>
    <w:rsid w:val="008D2CEC"/>
    <w:rsid w:val="008D2E98"/>
    <w:rsid w:val="008D593B"/>
    <w:rsid w:val="008D69C4"/>
    <w:rsid w:val="008D6B47"/>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615"/>
    <w:rsid w:val="009341A7"/>
    <w:rsid w:val="009347FD"/>
    <w:rsid w:val="00942DAD"/>
    <w:rsid w:val="00943FE1"/>
    <w:rsid w:val="00950569"/>
    <w:rsid w:val="00950D9E"/>
    <w:rsid w:val="009519A2"/>
    <w:rsid w:val="00951B52"/>
    <w:rsid w:val="00954254"/>
    <w:rsid w:val="00954AA1"/>
    <w:rsid w:val="00956112"/>
    <w:rsid w:val="00957611"/>
    <w:rsid w:val="00961224"/>
    <w:rsid w:val="009628F4"/>
    <w:rsid w:val="0096396C"/>
    <w:rsid w:val="0096499D"/>
    <w:rsid w:val="009678D6"/>
    <w:rsid w:val="00970446"/>
    <w:rsid w:val="009713FA"/>
    <w:rsid w:val="00971699"/>
    <w:rsid w:val="009719D5"/>
    <w:rsid w:val="00971BF1"/>
    <w:rsid w:val="00972FB9"/>
    <w:rsid w:val="009735DD"/>
    <w:rsid w:val="00974B9F"/>
    <w:rsid w:val="00977198"/>
    <w:rsid w:val="009777ED"/>
    <w:rsid w:val="00980B01"/>
    <w:rsid w:val="00980C43"/>
    <w:rsid w:val="00980F1D"/>
    <w:rsid w:val="00983905"/>
    <w:rsid w:val="00984254"/>
    <w:rsid w:val="009865BA"/>
    <w:rsid w:val="0098669A"/>
    <w:rsid w:val="00987023"/>
    <w:rsid w:val="00987E77"/>
    <w:rsid w:val="0099109F"/>
    <w:rsid w:val="0099201D"/>
    <w:rsid w:val="00993563"/>
    <w:rsid w:val="009939A4"/>
    <w:rsid w:val="00993C48"/>
    <w:rsid w:val="0099484D"/>
    <w:rsid w:val="009965C8"/>
    <w:rsid w:val="00996BE5"/>
    <w:rsid w:val="009A04FA"/>
    <w:rsid w:val="009A2D7C"/>
    <w:rsid w:val="009A3913"/>
    <w:rsid w:val="009A477C"/>
    <w:rsid w:val="009A4C66"/>
    <w:rsid w:val="009A4F34"/>
    <w:rsid w:val="009A5789"/>
    <w:rsid w:val="009A5866"/>
    <w:rsid w:val="009A60BD"/>
    <w:rsid w:val="009A6A3F"/>
    <w:rsid w:val="009A6BC1"/>
    <w:rsid w:val="009B0C66"/>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E2D17"/>
    <w:rsid w:val="009E4004"/>
    <w:rsid w:val="009E4007"/>
    <w:rsid w:val="009E579C"/>
    <w:rsid w:val="009E5A6D"/>
    <w:rsid w:val="009E5AF6"/>
    <w:rsid w:val="009E6973"/>
    <w:rsid w:val="009E6AE9"/>
    <w:rsid w:val="009E6ECA"/>
    <w:rsid w:val="009F0B43"/>
    <w:rsid w:val="009F1D48"/>
    <w:rsid w:val="009F2D21"/>
    <w:rsid w:val="009F2FBC"/>
    <w:rsid w:val="009F33E8"/>
    <w:rsid w:val="009F39A0"/>
    <w:rsid w:val="009F4784"/>
    <w:rsid w:val="009F64E6"/>
    <w:rsid w:val="009F6BD3"/>
    <w:rsid w:val="009F6F95"/>
    <w:rsid w:val="009F7252"/>
    <w:rsid w:val="009F72B3"/>
    <w:rsid w:val="009F73F7"/>
    <w:rsid w:val="009F7F6E"/>
    <w:rsid w:val="00A00576"/>
    <w:rsid w:val="00A01772"/>
    <w:rsid w:val="00A02EF5"/>
    <w:rsid w:val="00A0395C"/>
    <w:rsid w:val="00A03B46"/>
    <w:rsid w:val="00A03DDC"/>
    <w:rsid w:val="00A03F66"/>
    <w:rsid w:val="00A04559"/>
    <w:rsid w:val="00A04560"/>
    <w:rsid w:val="00A04BCF"/>
    <w:rsid w:val="00A067FA"/>
    <w:rsid w:val="00A06C14"/>
    <w:rsid w:val="00A0707D"/>
    <w:rsid w:val="00A0711E"/>
    <w:rsid w:val="00A07167"/>
    <w:rsid w:val="00A072BA"/>
    <w:rsid w:val="00A07566"/>
    <w:rsid w:val="00A07743"/>
    <w:rsid w:val="00A07CDE"/>
    <w:rsid w:val="00A101A0"/>
    <w:rsid w:val="00A101E2"/>
    <w:rsid w:val="00A11B31"/>
    <w:rsid w:val="00A13ED7"/>
    <w:rsid w:val="00A150FD"/>
    <w:rsid w:val="00A1694C"/>
    <w:rsid w:val="00A171DD"/>
    <w:rsid w:val="00A175B0"/>
    <w:rsid w:val="00A216DB"/>
    <w:rsid w:val="00A22B29"/>
    <w:rsid w:val="00A22B81"/>
    <w:rsid w:val="00A233ED"/>
    <w:rsid w:val="00A23475"/>
    <w:rsid w:val="00A25670"/>
    <w:rsid w:val="00A25A37"/>
    <w:rsid w:val="00A26284"/>
    <w:rsid w:val="00A26341"/>
    <w:rsid w:val="00A26A60"/>
    <w:rsid w:val="00A27DE8"/>
    <w:rsid w:val="00A27E54"/>
    <w:rsid w:val="00A30407"/>
    <w:rsid w:val="00A317B8"/>
    <w:rsid w:val="00A320B7"/>
    <w:rsid w:val="00A341D5"/>
    <w:rsid w:val="00A3546A"/>
    <w:rsid w:val="00A37D56"/>
    <w:rsid w:val="00A4172F"/>
    <w:rsid w:val="00A441EC"/>
    <w:rsid w:val="00A448FA"/>
    <w:rsid w:val="00A44FC5"/>
    <w:rsid w:val="00A450AF"/>
    <w:rsid w:val="00A453BB"/>
    <w:rsid w:val="00A5079E"/>
    <w:rsid w:val="00A52CFF"/>
    <w:rsid w:val="00A52DC2"/>
    <w:rsid w:val="00A541AC"/>
    <w:rsid w:val="00A54512"/>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C52"/>
    <w:rsid w:val="00A76D83"/>
    <w:rsid w:val="00A77188"/>
    <w:rsid w:val="00A774A4"/>
    <w:rsid w:val="00A803EC"/>
    <w:rsid w:val="00A82545"/>
    <w:rsid w:val="00A836BE"/>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1A0C"/>
    <w:rsid w:val="00AA3B9B"/>
    <w:rsid w:val="00AA3F05"/>
    <w:rsid w:val="00AA420E"/>
    <w:rsid w:val="00AA427C"/>
    <w:rsid w:val="00AA4874"/>
    <w:rsid w:val="00AA6174"/>
    <w:rsid w:val="00AA695D"/>
    <w:rsid w:val="00AB069B"/>
    <w:rsid w:val="00AB1BDA"/>
    <w:rsid w:val="00AB4D6B"/>
    <w:rsid w:val="00AB4D8A"/>
    <w:rsid w:val="00AB5277"/>
    <w:rsid w:val="00AB5AAF"/>
    <w:rsid w:val="00AB7B43"/>
    <w:rsid w:val="00AC0915"/>
    <w:rsid w:val="00AC17D0"/>
    <w:rsid w:val="00AC2EEB"/>
    <w:rsid w:val="00AC3C11"/>
    <w:rsid w:val="00AC4C0D"/>
    <w:rsid w:val="00AC50A7"/>
    <w:rsid w:val="00AC5DA4"/>
    <w:rsid w:val="00AC5E8C"/>
    <w:rsid w:val="00AC60C1"/>
    <w:rsid w:val="00AC63A4"/>
    <w:rsid w:val="00AC71A6"/>
    <w:rsid w:val="00AC765A"/>
    <w:rsid w:val="00AD0006"/>
    <w:rsid w:val="00AD0646"/>
    <w:rsid w:val="00AD1BC5"/>
    <w:rsid w:val="00AD276B"/>
    <w:rsid w:val="00AD4178"/>
    <w:rsid w:val="00AD4C7C"/>
    <w:rsid w:val="00AD5A2A"/>
    <w:rsid w:val="00AD614F"/>
    <w:rsid w:val="00AD6C92"/>
    <w:rsid w:val="00AD7E80"/>
    <w:rsid w:val="00AE12E3"/>
    <w:rsid w:val="00AE133D"/>
    <w:rsid w:val="00AE40D3"/>
    <w:rsid w:val="00AE4C41"/>
    <w:rsid w:val="00AE5FF3"/>
    <w:rsid w:val="00AE611A"/>
    <w:rsid w:val="00AF14DE"/>
    <w:rsid w:val="00AF2FB7"/>
    <w:rsid w:val="00AF41E3"/>
    <w:rsid w:val="00AF614A"/>
    <w:rsid w:val="00B02FFE"/>
    <w:rsid w:val="00B0310F"/>
    <w:rsid w:val="00B03DB0"/>
    <w:rsid w:val="00B041BB"/>
    <w:rsid w:val="00B041E9"/>
    <w:rsid w:val="00B10696"/>
    <w:rsid w:val="00B10CF0"/>
    <w:rsid w:val="00B11602"/>
    <w:rsid w:val="00B1325D"/>
    <w:rsid w:val="00B1328A"/>
    <w:rsid w:val="00B13D44"/>
    <w:rsid w:val="00B169E6"/>
    <w:rsid w:val="00B20510"/>
    <w:rsid w:val="00B21ACD"/>
    <w:rsid w:val="00B24E59"/>
    <w:rsid w:val="00B257C3"/>
    <w:rsid w:val="00B30BCC"/>
    <w:rsid w:val="00B314DE"/>
    <w:rsid w:val="00B34734"/>
    <w:rsid w:val="00B36A92"/>
    <w:rsid w:val="00B3759B"/>
    <w:rsid w:val="00B37F09"/>
    <w:rsid w:val="00B40B45"/>
    <w:rsid w:val="00B4120D"/>
    <w:rsid w:val="00B41C7F"/>
    <w:rsid w:val="00B44896"/>
    <w:rsid w:val="00B47DA9"/>
    <w:rsid w:val="00B509E4"/>
    <w:rsid w:val="00B51A39"/>
    <w:rsid w:val="00B527CC"/>
    <w:rsid w:val="00B5334C"/>
    <w:rsid w:val="00B53573"/>
    <w:rsid w:val="00B56746"/>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2"/>
    <w:rsid w:val="00B97127"/>
    <w:rsid w:val="00B97D88"/>
    <w:rsid w:val="00BA1BA2"/>
    <w:rsid w:val="00BA1DA3"/>
    <w:rsid w:val="00BA3E02"/>
    <w:rsid w:val="00BA5ECA"/>
    <w:rsid w:val="00BA65E4"/>
    <w:rsid w:val="00BA71CC"/>
    <w:rsid w:val="00BB1833"/>
    <w:rsid w:val="00BB1BDA"/>
    <w:rsid w:val="00BB23CE"/>
    <w:rsid w:val="00BB271D"/>
    <w:rsid w:val="00BB2B0F"/>
    <w:rsid w:val="00BB36D3"/>
    <w:rsid w:val="00BB38B9"/>
    <w:rsid w:val="00BB4DDD"/>
    <w:rsid w:val="00BB4F8A"/>
    <w:rsid w:val="00BB62F7"/>
    <w:rsid w:val="00BB6A55"/>
    <w:rsid w:val="00BB734C"/>
    <w:rsid w:val="00BC00A6"/>
    <w:rsid w:val="00BC03F8"/>
    <w:rsid w:val="00BC1176"/>
    <w:rsid w:val="00BC2CE8"/>
    <w:rsid w:val="00BC38B4"/>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FF0"/>
    <w:rsid w:val="00BF27AA"/>
    <w:rsid w:val="00BF29B9"/>
    <w:rsid w:val="00BF2C5D"/>
    <w:rsid w:val="00BF51F0"/>
    <w:rsid w:val="00BF6F77"/>
    <w:rsid w:val="00BF77A7"/>
    <w:rsid w:val="00BF79AA"/>
    <w:rsid w:val="00C00746"/>
    <w:rsid w:val="00C0158B"/>
    <w:rsid w:val="00C018C0"/>
    <w:rsid w:val="00C0422C"/>
    <w:rsid w:val="00C048EB"/>
    <w:rsid w:val="00C04EE8"/>
    <w:rsid w:val="00C0535A"/>
    <w:rsid w:val="00C075E2"/>
    <w:rsid w:val="00C1181E"/>
    <w:rsid w:val="00C12C78"/>
    <w:rsid w:val="00C12CAD"/>
    <w:rsid w:val="00C147D0"/>
    <w:rsid w:val="00C14AF5"/>
    <w:rsid w:val="00C156BB"/>
    <w:rsid w:val="00C21833"/>
    <w:rsid w:val="00C21FA7"/>
    <w:rsid w:val="00C2206E"/>
    <w:rsid w:val="00C22656"/>
    <w:rsid w:val="00C22A9A"/>
    <w:rsid w:val="00C22EB9"/>
    <w:rsid w:val="00C22F48"/>
    <w:rsid w:val="00C23334"/>
    <w:rsid w:val="00C234FD"/>
    <w:rsid w:val="00C24FF2"/>
    <w:rsid w:val="00C26025"/>
    <w:rsid w:val="00C265F5"/>
    <w:rsid w:val="00C267F9"/>
    <w:rsid w:val="00C27064"/>
    <w:rsid w:val="00C30802"/>
    <w:rsid w:val="00C309C5"/>
    <w:rsid w:val="00C317DA"/>
    <w:rsid w:val="00C31B00"/>
    <w:rsid w:val="00C32412"/>
    <w:rsid w:val="00C3283B"/>
    <w:rsid w:val="00C33A75"/>
    <w:rsid w:val="00C407F5"/>
    <w:rsid w:val="00C40BDD"/>
    <w:rsid w:val="00C4322D"/>
    <w:rsid w:val="00C4441D"/>
    <w:rsid w:val="00C44740"/>
    <w:rsid w:val="00C46FAF"/>
    <w:rsid w:val="00C476BB"/>
    <w:rsid w:val="00C50FA8"/>
    <w:rsid w:val="00C51076"/>
    <w:rsid w:val="00C51211"/>
    <w:rsid w:val="00C51EBA"/>
    <w:rsid w:val="00C52051"/>
    <w:rsid w:val="00C52508"/>
    <w:rsid w:val="00C52775"/>
    <w:rsid w:val="00C53050"/>
    <w:rsid w:val="00C53E1F"/>
    <w:rsid w:val="00C5686D"/>
    <w:rsid w:val="00C61625"/>
    <w:rsid w:val="00C617FA"/>
    <w:rsid w:val="00C65757"/>
    <w:rsid w:val="00C67A30"/>
    <w:rsid w:val="00C67A47"/>
    <w:rsid w:val="00C706A0"/>
    <w:rsid w:val="00C716D9"/>
    <w:rsid w:val="00C71AAA"/>
    <w:rsid w:val="00C73CD5"/>
    <w:rsid w:val="00C7775E"/>
    <w:rsid w:val="00C80333"/>
    <w:rsid w:val="00C80609"/>
    <w:rsid w:val="00C808FB"/>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3285"/>
    <w:rsid w:val="00C93C23"/>
    <w:rsid w:val="00C93D9B"/>
    <w:rsid w:val="00C93E32"/>
    <w:rsid w:val="00C9643A"/>
    <w:rsid w:val="00C965AA"/>
    <w:rsid w:val="00CA09B2"/>
    <w:rsid w:val="00CA0C09"/>
    <w:rsid w:val="00CA171A"/>
    <w:rsid w:val="00CA299A"/>
    <w:rsid w:val="00CA5D50"/>
    <w:rsid w:val="00CA6A68"/>
    <w:rsid w:val="00CA76AA"/>
    <w:rsid w:val="00CB0DCA"/>
    <w:rsid w:val="00CB1544"/>
    <w:rsid w:val="00CB1545"/>
    <w:rsid w:val="00CB1F0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E1A33"/>
    <w:rsid w:val="00CE1C80"/>
    <w:rsid w:val="00CE1EF9"/>
    <w:rsid w:val="00CE2E8B"/>
    <w:rsid w:val="00CE4420"/>
    <w:rsid w:val="00CE575B"/>
    <w:rsid w:val="00CE5CF2"/>
    <w:rsid w:val="00CE6B54"/>
    <w:rsid w:val="00CE7DA6"/>
    <w:rsid w:val="00CE7DFB"/>
    <w:rsid w:val="00CE7F6A"/>
    <w:rsid w:val="00CF112C"/>
    <w:rsid w:val="00CF1511"/>
    <w:rsid w:val="00CF23C3"/>
    <w:rsid w:val="00CF27AC"/>
    <w:rsid w:val="00CF465A"/>
    <w:rsid w:val="00CF4CE6"/>
    <w:rsid w:val="00CF4F96"/>
    <w:rsid w:val="00CF531A"/>
    <w:rsid w:val="00CF6A8F"/>
    <w:rsid w:val="00D001B2"/>
    <w:rsid w:val="00D0030B"/>
    <w:rsid w:val="00D00505"/>
    <w:rsid w:val="00D00D06"/>
    <w:rsid w:val="00D00F13"/>
    <w:rsid w:val="00D0196E"/>
    <w:rsid w:val="00D02A54"/>
    <w:rsid w:val="00D02CB7"/>
    <w:rsid w:val="00D05655"/>
    <w:rsid w:val="00D05AA0"/>
    <w:rsid w:val="00D062BB"/>
    <w:rsid w:val="00D07873"/>
    <w:rsid w:val="00D118F4"/>
    <w:rsid w:val="00D11DC8"/>
    <w:rsid w:val="00D124EA"/>
    <w:rsid w:val="00D147B2"/>
    <w:rsid w:val="00D14D14"/>
    <w:rsid w:val="00D153C7"/>
    <w:rsid w:val="00D15BC5"/>
    <w:rsid w:val="00D163D7"/>
    <w:rsid w:val="00D16679"/>
    <w:rsid w:val="00D16CC8"/>
    <w:rsid w:val="00D2233B"/>
    <w:rsid w:val="00D2261E"/>
    <w:rsid w:val="00D234BC"/>
    <w:rsid w:val="00D27F97"/>
    <w:rsid w:val="00D35BBF"/>
    <w:rsid w:val="00D42A60"/>
    <w:rsid w:val="00D445BB"/>
    <w:rsid w:val="00D4472F"/>
    <w:rsid w:val="00D44A7C"/>
    <w:rsid w:val="00D44F60"/>
    <w:rsid w:val="00D45412"/>
    <w:rsid w:val="00D4570D"/>
    <w:rsid w:val="00D4575B"/>
    <w:rsid w:val="00D46DB8"/>
    <w:rsid w:val="00D50973"/>
    <w:rsid w:val="00D526DA"/>
    <w:rsid w:val="00D566C9"/>
    <w:rsid w:val="00D61644"/>
    <w:rsid w:val="00D64FE6"/>
    <w:rsid w:val="00D65BDA"/>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32F1"/>
    <w:rsid w:val="00D95390"/>
    <w:rsid w:val="00D9670A"/>
    <w:rsid w:val="00D97A83"/>
    <w:rsid w:val="00DA3020"/>
    <w:rsid w:val="00DA3683"/>
    <w:rsid w:val="00DA3DA2"/>
    <w:rsid w:val="00DA5373"/>
    <w:rsid w:val="00DA5419"/>
    <w:rsid w:val="00DA5431"/>
    <w:rsid w:val="00DA71C3"/>
    <w:rsid w:val="00DA7F0C"/>
    <w:rsid w:val="00DB0232"/>
    <w:rsid w:val="00DB1DB7"/>
    <w:rsid w:val="00DB1F4C"/>
    <w:rsid w:val="00DB1FF9"/>
    <w:rsid w:val="00DB63FC"/>
    <w:rsid w:val="00DC5469"/>
    <w:rsid w:val="00DC5A7B"/>
    <w:rsid w:val="00DD1DFC"/>
    <w:rsid w:val="00DD2545"/>
    <w:rsid w:val="00DD2A1B"/>
    <w:rsid w:val="00DD5686"/>
    <w:rsid w:val="00DD68AC"/>
    <w:rsid w:val="00DE104F"/>
    <w:rsid w:val="00DE1517"/>
    <w:rsid w:val="00DE170B"/>
    <w:rsid w:val="00DE22F0"/>
    <w:rsid w:val="00DE23AD"/>
    <w:rsid w:val="00DE263D"/>
    <w:rsid w:val="00DE4EDB"/>
    <w:rsid w:val="00DE500F"/>
    <w:rsid w:val="00DE754E"/>
    <w:rsid w:val="00DF0854"/>
    <w:rsid w:val="00DF3117"/>
    <w:rsid w:val="00DF6BA6"/>
    <w:rsid w:val="00DF6E89"/>
    <w:rsid w:val="00DF6EAD"/>
    <w:rsid w:val="00DF73C7"/>
    <w:rsid w:val="00DF75F2"/>
    <w:rsid w:val="00DF7C2C"/>
    <w:rsid w:val="00DF7CEB"/>
    <w:rsid w:val="00E04044"/>
    <w:rsid w:val="00E047BC"/>
    <w:rsid w:val="00E0523D"/>
    <w:rsid w:val="00E0529B"/>
    <w:rsid w:val="00E05829"/>
    <w:rsid w:val="00E072EE"/>
    <w:rsid w:val="00E105FF"/>
    <w:rsid w:val="00E13352"/>
    <w:rsid w:val="00E14D18"/>
    <w:rsid w:val="00E14F86"/>
    <w:rsid w:val="00E1651A"/>
    <w:rsid w:val="00E169A5"/>
    <w:rsid w:val="00E17B91"/>
    <w:rsid w:val="00E22DDD"/>
    <w:rsid w:val="00E237E3"/>
    <w:rsid w:val="00E24FB8"/>
    <w:rsid w:val="00E2633B"/>
    <w:rsid w:val="00E26BA0"/>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221"/>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6FA0"/>
    <w:rsid w:val="00E6718E"/>
    <w:rsid w:val="00E7001F"/>
    <w:rsid w:val="00E710E3"/>
    <w:rsid w:val="00E742A2"/>
    <w:rsid w:val="00E74801"/>
    <w:rsid w:val="00E75511"/>
    <w:rsid w:val="00E75909"/>
    <w:rsid w:val="00E76790"/>
    <w:rsid w:val="00E77466"/>
    <w:rsid w:val="00E802FE"/>
    <w:rsid w:val="00E8031C"/>
    <w:rsid w:val="00E80ABF"/>
    <w:rsid w:val="00E80CF7"/>
    <w:rsid w:val="00E80FFC"/>
    <w:rsid w:val="00E82026"/>
    <w:rsid w:val="00E8348F"/>
    <w:rsid w:val="00E838FB"/>
    <w:rsid w:val="00E83D00"/>
    <w:rsid w:val="00E83DA3"/>
    <w:rsid w:val="00E840BC"/>
    <w:rsid w:val="00E8721E"/>
    <w:rsid w:val="00E87F01"/>
    <w:rsid w:val="00E91A2E"/>
    <w:rsid w:val="00E92063"/>
    <w:rsid w:val="00E925F2"/>
    <w:rsid w:val="00E92E93"/>
    <w:rsid w:val="00E937B8"/>
    <w:rsid w:val="00E959C0"/>
    <w:rsid w:val="00E96E1F"/>
    <w:rsid w:val="00E96F71"/>
    <w:rsid w:val="00E97C2E"/>
    <w:rsid w:val="00EA0945"/>
    <w:rsid w:val="00EA1374"/>
    <w:rsid w:val="00EA3ECA"/>
    <w:rsid w:val="00EA657E"/>
    <w:rsid w:val="00EA688F"/>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7810"/>
    <w:rsid w:val="00EC7EF0"/>
    <w:rsid w:val="00ED14E4"/>
    <w:rsid w:val="00ED1551"/>
    <w:rsid w:val="00ED1744"/>
    <w:rsid w:val="00ED2A17"/>
    <w:rsid w:val="00ED3CA2"/>
    <w:rsid w:val="00ED4981"/>
    <w:rsid w:val="00ED53B8"/>
    <w:rsid w:val="00ED547A"/>
    <w:rsid w:val="00ED6DD1"/>
    <w:rsid w:val="00ED7604"/>
    <w:rsid w:val="00EE723A"/>
    <w:rsid w:val="00EE75C5"/>
    <w:rsid w:val="00EE7DB5"/>
    <w:rsid w:val="00EF174C"/>
    <w:rsid w:val="00EF3968"/>
    <w:rsid w:val="00EF6040"/>
    <w:rsid w:val="00EF78E4"/>
    <w:rsid w:val="00F003E0"/>
    <w:rsid w:val="00F00984"/>
    <w:rsid w:val="00F00AA1"/>
    <w:rsid w:val="00F010AD"/>
    <w:rsid w:val="00F016A6"/>
    <w:rsid w:val="00F02266"/>
    <w:rsid w:val="00F03105"/>
    <w:rsid w:val="00F03583"/>
    <w:rsid w:val="00F0371F"/>
    <w:rsid w:val="00F03AAD"/>
    <w:rsid w:val="00F0516A"/>
    <w:rsid w:val="00F06768"/>
    <w:rsid w:val="00F06E0A"/>
    <w:rsid w:val="00F101F1"/>
    <w:rsid w:val="00F12947"/>
    <w:rsid w:val="00F1367C"/>
    <w:rsid w:val="00F14A2D"/>
    <w:rsid w:val="00F14F25"/>
    <w:rsid w:val="00F15372"/>
    <w:rsid w:val="00F157ED"/>
    <w:rsid w:val="00F167DB"/>
    <w:rsid w:val="00F20232"/>
    <w:rsid w:val="00F251B7"/>
    <w:rsid w:val="00F2692D"/>
    <w:rsid w:val="00F26B77"/>
    <w:rsid w:val="00F3159C"/>
    <w:rsid w:val="00F319CA"/>
    <w:rsid w:val="00F31DAE"/>
    <w:rsid w:val="00F31E9F"/>
    <w:rsid w:val="00F328B0"/>
    <w:rsid w:val="00F32B6E"/>
    <w:rsid w:val="00F406D5"/>
    <w:rsid w:val="00F42E52"/>
    <w:rsid w:val="00F4309E"/>
    <w:rsid w:val="00F43502"/>
    <w:rsid w:val="00F477AF"/>
    <w:rsid w:val="00F47ACF"/>
    <w:rsid w:val="00F50817"/>
    <w:rsid w:val="00F51250"/>
    <w:rsid w:val="00F526FD"/>
    <w:rsid w:val="00F52CE3"/>
    <w:rsid w:val="00F52E36"/>
    <w:rsid w:val="00F54379"/>
    <w:rsid w:val="00F55B23"/>
    <w:rsid w:val="00F574EB"/>
    <w:rsid w:val="00F579FD"/>
    <w:rsid w:val="00F57BA4"/>
    <w:rsid w:val="00F57EDC"/>
    <w:rsid w:val="00F603CC"/>
    <w:rsid w:val="00F6322F"/>
    <w:rsid w:val="00F63608"/>
    <w:rsid w:val="00F63771"/>
    <w:rsid w:val="00F65B6E"/>
    <w:rsid w:val="00F6753D"/>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568"/>
    <w:rsid w:val="00F808D8"/>
    <w:rsid w:val="00F82418"/>
    <w:rsid w:val="00F83357"/>
    <w:rsid w:val="00F83F21"/>
    <w:rsid w:val="00F84867"/>
    <w:rsid w:val="00F84B84"/>
    <w:rsid w:val="00F84FEE"/>
    <w:rsid w:val="00F86361"/>
    <w:rsid w:val="00F90616"/>
    <w:rsid w:val="00F91205"/>
    <w:rsid w:val="00F950C1"/>
    <w:rsid w:val="00F95411"/>
    <w:rsid w:val="00F96DC6"/>
    <w:rsid w:val="00F97A6D"/>
    <w:rsid w:val="00F97DB5"/>
    <w:rsid w:val="00FA01C2"/>
    <w:rsid w:val="00FA0FC6"/>
    <w:rsid w:val="00FA27AC"/>
    <w:rsid w:val="00FA4281"/>
    <w:rsid w:val="00FA4841"/>
    <w:rsid w:val="00FA48E5"/>
    <w:rsid w:val="00FA572F"/>
    <w:rsid w:val="00FA6A6D"/>
    <w:rsid w:val="00FA76F2"/>
    <w:rsid w:val="00FB04C7"/>
    <w:rsid w:val="00FB2AB1"/>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05F"/>
    <w:rsid w:val="00FD4450"/>
    <w:rsid w:val="00FD6A02"/>
    <w:rsid w:val="00FD6EE6"/>
    <w:rsid w:val="00FD7E80"/>
    <w:rsid w:val="00FE0FF0"/>
    <w:rsid w:val="00FE1960"/>
    <w:rsid w:val="00FE2287"/>
    <w:rsid w:val="00FE5153"/>
    <w:rsid w:val="00FE51D2"/>
    <w:rsid w:val="00FE58B3"/>
    <w:rsid w:val="00FE5A1E"/>
    <w:rsid w:val="00FE6383"/>
    <w:rsid w:val="00FE6456"/>
    <w:rsid w:val="00FE79C6"/>
    <w:rsid w:val="00FE7F79"/>
    <w:rsid w:val="00FF0787"/>
    <w:rsid w:val="00FF1A32"/>
    <w:rsid w:val="00FF1BAD"/>
    <w:rsid w:val="00FF305B"/>
    <w:rsid w:val="00FF40E4"/>
    <w:rsid w:val="00FF45F2"/>
    <w:rsid w:val="00FF539C"/>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394F7BC0-8870-4EB0-9ABB-DEA4394A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uiPriority w:val="99"/>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896421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2788385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5351270">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076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0936754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280097">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3579354">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80898469">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2245755">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3506158">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353823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5975470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821953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1321040">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6481528">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7086144">
      <w:bodyDiv w:val="1"/>
      <w:marLeft w:val="0"/>
      <w:marRight w:val="0"/>
      <w:marTop w:val="0"/>
      <w:marBottom w:val="0"/>
      <w:divBdr>
        <w:top w:val="none" w:sz="0" w:space="0" w:color="auto"/>
        <w:left w:val="none" w:sz="0" w:space="0" w:color="auto"/>
        <w:bottom w:val="none" w:sz="0" w:space="0" w:color="auto"/>
        <w:right w:val="none" w:sz="0" w:space="0" w:color="auto"/>
      </w:divBdr>
    </w:div>
    <w:div w:id="1579288581">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0145116">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485059">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8941295">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115229">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909048-856D-4C21-914E-4B4E34C08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474</TotalTime>
  <Pages>23</Pages>
  <Words>4130</Words>
  <Characters>23545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doc.: IEEE 802.11-17/14120</vt:lpstr>
    </vt:vector>
  </TitlesOfParts>
  <Company>Some Company</Company>
  <LinksUpToDate>false</LinksUpToDate>
  <CharactersWithSpaces>27620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802.11-17/14120</dc:title>
  <dc:subject>Submission</dc:subject>
  <dc:creator>Mark RISON</dc:creator>
  <cp:keywords>September 2017</cp:keywords>
  <cp:lastModifiedBy>Mark Hamilton</cp:lastModifiedBy>
  <cp:revision>10</cp:revision>
  <cp:lastPrinted>1901-01-01T04:00:00Z</cp:lastPrinted>
  <dcterms:created xsi:type="dcterms:W3CDTF">2018-04-09T14:41:00Z</dcterms:created>
  <dcterms:modified xsi:type="dcterms:W3CDTF">2018-04-10T03:40:00Z</dcterms:modified>
</cp:coreProperties>
</file>