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2B6D603D" w:rsidR="005E768D" w:rsidRPr="004D2D75" w:rsidRDefault="00827E57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softHyphen/>
      </w:r>
      <w:r>
        <w:softHyphen/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1CEE13B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9C167E">
              <w:rPr>
                <w:lang w:eastAsia="ko-KR"/>
              </w:rPr>
              <w:t>10.38.7</w:t>
            </w:r>
            <w:r w:rsidR="0053335B">
              <w:rPr>
                <w:lang w:eastAsia="ko-KR"/>
              </w:rPr>
              <w:t xml:space="preserve"> (</w:t>
            </w:r>
            <w:r w:rsidR="009C167E">
              <w:rPr>
                <w:bCs/>
                <w:lang w:val="en-US" w:eastAsia="ko-KR"/>
              </w:rPr>
              <w:t>Beam Tracking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28C7641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4E7F45">
              <w:rPr>
                <w:b w:val="0"/>
                <w:sz w:val="20"/>
              </w:rPr>
              <w:t>2018</w:t>
            </w:r>
            <w:r w:rsidRPr="00183F4C">
              <w:rPr>
                <w:b w:val="0"/>
                <w:sz w:val="20"/>
              </w:rPr>
              <w:t>-</w:t>
            </w:r>
            <w:r w:rsidR="004E7F45">
              <w:rPr>
                <w:b w:val="0"/>
                <w:sz w:val="20"/>
                <w:lang w:eastAsia="ko-KR"/>
              </w:rPr>
              <w:t>0</w:t>
            </w:r>
            <w:r w:rsidR="00E16664">
              <w:rPr>
                <w:b w:val="0"/>
                <w:sz w:val="20"/>
                <w:lang w:eastAsia="ko-KR"/>
              </w:rPr>
              <w:t>2</w:t>
            </w:r>
            <w:r w:rsidR="004E7F45">
              <w:rPr>
                <w:b w:val="0"/>
                <w:sz w:val="20"/>
                <w:lang w:eastAsia="ko-KR"/>
              </w:rPr>
              <w:t>-</w:t>
            </w:r>
            <w:r w:rsidR="00E16664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965199A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0304554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7BF06118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9C167E">
        <w:rPr>
          <w:lang w:eastAsia="ko-KR"/>
        </w:rPr>
        <w:t>2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9C167E" w:rsidRPr="009C167E">
        <w:rPr>
          <w:lang w:eastAsia="ko-KR"/>
        </w:rPr>
        <w:t xml:space="preserve">Clause 10.38.7 (Beam Tracking)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9C167E">
        <w:rPr>
          <w:lang w:eastAsia="ko-KR"/>
        </w:rPr>
        <w:t>y</w:t>
      </w:r>
      <w:proofErr w:type="spellEnd"/>
      <w:r w:rsidR="003C315D">
        <w:rPr>
          <w:lang w:eastAsia="ko-KR"/>
        </w:rPr>
        <w:t xml:space="preserve"> D</w:t>
      </w:r>
      <w:r w:rsidR="009C167E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2152FED3" w14:textId="4C67FED0" w:rsidR="00E45B73" w:rsidRDefault="009C167E" w:rsidP="003E4403">
      <w:pPr>
        <w:jc w:val="both"/>
      </w:pPr>
      <w:r>
        <w:t>1925, 1926</w:t>
      </w:r>
    </w:p>
    <w:p w14:paraId="749BBDAA" w14:textId="77777777" w:rsidR="000631DB" w:rsidRDefault="000631DB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65B6F7F" w14:textId="72A07604" w:rsidR="003A7DBB" w:rsidRDefault="003A7DBB" w:rsidP="003A7DBB">
      <w:pPr>
        <w:pStyle w:val="ListParagraph"/>
        <w:numPr>
          <w:ilvl w:val="0"/>
          <w:numId w:val="34"/>
        </w:numPr>
        <w:ind w:leftChars="0"/>
        <w:jc w:val="both"/>
      </w:pPr>
      <w:r>
        <w:t>Rev 0: Initial version of document</w:t>
      </w:r>
    </w:p>
    <w:p w14:paraId="3CD12F0F" w14:textId="6C6F0AE4" w:rsidR="003A7DBB" w:rsidRDefault="003A7DBB" w:rsidP="009C167E">
      <w:pPr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4C847DDB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06557231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990"/>
        <w:gridCol w:w="810"/>
        <w:gridCol w:w="2778"/>
        <w:gridCol w:w="2409"/>
        <w:gridCol w:w="3453"/>
      </w:tblGrid>
      <w:tr w:rsidR="0079373D" w:rsidRPr="00952B64" w14:paraId="6BA44136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78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1629" w:rsidRPr="00952B64" w14:paraId="7E8823CC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6299F994" w14:textId="663FB29A" w:rsidR="00651629" w:rsidRPr="00C5507F" w:rsidRDefault="009C167E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rPr>
                <w:rFonts w:eastAsia="Times New Roman"/>
                <w:bCs/>
                <w:color w:val="000000"/>
                <w:sz w:val="20"/>
                <w:lang w:val="en-US"/>
              </w:rPr>
              <w:t>1925</w:t>
            </w:r>
          </w:p>
        </w:tc>
        <w:tc>
          <w:tcPr>
            <w:tcW w:w="990" w:type="dxa"/>
            <w:shd w:val="clear" w:color="auto" w:fill="auto"/>
            <w:noWrap/>
          </w:tcPr>
          <w:p w14:paraId="48089063" w14:textId="01886554" w:rsidR="00651629" w:rsidRPr="00C5507F" w:rsidRDefault="009C167E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>10.38.7</w:t>
            </w:r>
          </w:p>
        </w:tc>
        <w:tc>
          <w:tcPr>
            <w:tcW w:w="810" w:type="dxa"/>
            <w:shd w:val="clear" w:color="auto" w:fill="auto"/>
            <w:noWrap/>
          </w:tcPr>
          <w:p w14:paraId="269F297D" w14:textId="77777777" w:rsidR="009C167E" w:rsidRDefault="009C167E" w:rsidP="009C167E">
            <w:r>
              <w:t>161.04</w:t>
            </w:r>
          </w:p>
          <w:p w14:paraId="0B97F5D8" w14:textId="06AB6BC7" w:rsidR="00651629" w:rsidRPr="00C5507F" w:rsidRDefault="00651629" w:rsidP="009C167E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778" w:type="dxa"/>
            <w:shd w:val="clear" w:color="auto" w:fill="auto"/>
            <w:noWrap/>
          </w:tcPr>
          <w:p w14:paraId="5FBF04B5" w14:textId="6503F757" w:rsidR="00651629" w:rsidRPr="0064701A" w:rsidRDefault="009C167E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 xml:space="preserve">"NOTE--If the EDMG_BEAM_TRACKING_TYPE parameter in the RXVECTOR is Baseband Beam Tracking, the baseband beamformers at the initiator and responder can be set to a predetermined orthogonal matrix (e.g., the identity matrix) during the transmission of the appended TRN-R subfields only and the measurement at the initiator is based on the appended TRN-R packets". We can remove the transmitter as the TRN fields do not pass </w:t>
            </w:r>
            <w:proofErr w:type="spellStart"/>
            <w:r w:rsidRPr="009C167E">
              <w:t>throught</w:t>
            </w:r>
            <w:proofErr w:type="spellEnd"/>
            <w:r w:rsidRPr="009C167E">
              <w:t xml:space="preserve"> the Q matrix (the responder)</w:t>
            </w:r>
          </w:p>
        </w:tc>
        <w:tc>
          <w:tcPr>
            <w:tcW w:w="2409" w:type="dxa"/>
            <w:shd w:val="clear" w:color="auto" w:fill="auto"/>
            <w:noWrap/>
          </w:tcPr>
          <w:p w14:paraId="3E247829" w14:textId="179BE33E" w:rsidR="00651629" w:rsidRPr="0064701A" w:rsidRDefault="009C167E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>Modify text: NOTE--If the EDMG_BEAM_TRACKING_TYPE parameter in the RXVECTOR is Baseband Beam Tracking, the baseband beamformers at the INITIATOR can be set to a predetermined orthogonal matrix (e.g., the identity matrix) during the transmission of the appended TRN-R subfields only and the measurement at the initiator is based on the appended TRN-R packets</w:t>
            </w:r>
            <w:r w:rsidR="00CE3567">
              <w:t>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849610B" w14:textId="3BF478AF" w:rsidR="00651629" w:rsidRPr="00651629" w:rsidRDefault="00D577F2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Revised</w:t>
            </w:r>
          </w:p>
          <w:p w14:paraId="5AAF7200" w14:textId="77777777" w:rsidR="00D577F2" w:rsidRDefault="00D577F2" w:rsidP="009C167E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0CD67F2B" w14:textId="0ACB61B7" w:rsidR="00376F02" w:rsidRPr="00D577F2" w:rsidRDefault="00376F02" w:rsidP="00376F02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18/</w:t>
            </w:r>
            <w:r w:rsidR="0050353D">
              <w:rPr>
                <w:rFonts w:eastAsia="Times New Roman"/>
                <w:bCs/>
                <w:color w:val="000000"/>
                <w:sz w:val="20"/>
                <w:lang w:val="en-US"/>
              </w:rPr>
              <w:t>0500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1925</w:t>
            </w:r>
          </w:p>
          <w:p w14:paraId="18227FA9" w14:textId="3A7B11DA" w:rsidR="0018474C" w:rsidRPr="00952B64" w:rsidRDefault="0018474C" w:rsidP="009C167E">
            <w:pPr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651629" w:rsidRPr="00952B64" w14:paraId="41B0F61A" w14:textId="77777777" w:rsidTr="00C5507F">
        <w:trPr>
          <w:trHeight w:val="191"/>
        </w:trPr>
        <w:tc>
          <w:tcPr>
            <w:tcW w:w="787" w:type="dxa"/>
            <w:shd w:val="clear" w:color="auto" w:fill="auto"/>
            <w:noWrap/>
          </w:tcPr>
          <w:p w14:paraId="32AC38FA" w14:textId="2238344B" w:rsidR="00651629" w:rsidRPr="00C5507F" w:rsidRDefault="009C167E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rPr>
                <w:rFonts w:eastAsia="Times New Roman"/>
                <w:bCs/>
                <w:color w:val="000000"/>
                <w:sz w:val="20"/>
                <w:lang w:val="en-US"/>
              </w:rPr>
              <w:t>1926</w:t>
            </w:r>
          </w:p>
        </w:tc>
        <w:tc>
          <w:tcPr>
            <w:tcW w:w="990" w:type="dxa"/>
            <w:shd w:val="clear" w:color="auto" w:fill="auto"/>
            <w:noWrap/>
          </w:tcPr>
          <w:p w14:paraId="14129688" w14:textId="026AB1D5" w:rsidR="00651629" w:rsidRPr="00C5507F" w:rsidRDefault="009C167E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>10.38.7</w:t>
            </w:r>
          </w:p>
        </w:tc>
        <w:tc>
          <w:tcPr>
            <w:tcW w:w="810" w:type="dxa"/>
            <w:shd w:val="clear" w:color="auto" w:fill="auto"/>
            <w:noWrap/>
          </w:tcPr>
          <w:p w14:paraId="28258C5D" w14:textId="046E7B35" w:rsidR="00651629" w:rsidRPr="00C5507F" w:rsidRDefault="009C167E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t>161.17</w:t>
            </w:r>
          </w:p>
        </w:tc>
        <w:tc>
          <w:tcPr>
            <w:tcW w:w="2778" w:type="dxa"/>
            <w:shd w:val="clear" w:color="auto" w:fill="auto"/>
            <w:noWrap/>
          </w:tcPr>
          <w:p w14:paraId="4386A506" w14:textId="0DFCF737" w:rsidR="00651629" w:rsidRPr="00C5507F" w:rsidRDefault="009C167E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>Do not need identity matrix as TRN fields do not go through the Q matrix.</w:t>
            </w:r>
          </w:p>
        </w:tc>
        <w:tc>
          <w:tcPr>
            <w:tcW w:w="2409" w:type="dxa"/>
            <w:shd w:val="clear" w:color="auto" w:fill="auto"/>
            <w:noWrap/>
          </w:tcPr>
          <w:p w14:paraId="1F75BDD5" w14:textId="40C76537" w:rsidR="00651629" w:rsidRPr="00C5507F" w:rsidRDefault="009C167E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9C167E">
              <w:t>NOTE--If the EDMG_BEAM_TRACKING_TYPE parameter in the TXVECTOR is Baseband Beam Tracking, then  EDMG_TRN_LEN TRN units are appended to the PPDU (each with EDMG_TRN_P TRN subfields) and are transmitted using the same AWV as the preamble and Data field of the PPDU. The baseband beamformer for the   RESPONDER can be set to a predetermined orthogonal matrix (e.g., the identity matrix) during the transmission of the appended TRN-T subfields only and the measurement is based on the appended TRN-T subfields.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B3822B" w14:textId="5E1CFA8E" w:rsidR="00651629" w:rsidRDefault="00E46375" w:rsidP="00651629">
            <w:r>
              <w:t>Revised</w:t>
            </w:r>
          </w:p>
          <w:p w14:paraId="1EC220DB" w14:textId="77777777" w:rsidR="00A345DC" w:rsidRDefault="00A345DC" w:rsidP="00651629"/>
          <w:p w14:paraId="6F228114" w14:textId="377052C4" w:rsidR="00376F02" w:rsidRPr="00D577F2" w:rsidRDefault="00376F02" w:rsidP="00376F02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18/</w:t>
            </w:r>
            <w:r w:rsidR="0050353D">
              <w:rPr>
                <w:rFonts w:eastAsia="Times New Roman"/>
                <w:bCs/>
                <w:color w:val="000000"/>
                <w:sz w:val="20"/>
                <w:lang w:val="en-US"/>
              </w:rPr>
              <w:t>0500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1926</w:t>
            </w:r>
          </w:p>
          <w:p w14:paraId="03006861" w14:textId="3D8AC545" w:rsidR="00EB3CC9" w:rsidRPr="00A345DC" w:rsidRDefault="00EB3CC9" w:rsidP="00651629"/>
        </w:tc>
      </w:tr>
    </w:tbl>
    <w:p w14:paraId="2D43A42B" w14:textId="4742F135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1673DB2" w14:textId="6738364E" w:rsidR="008C172B" w:rsidRDefault="00FC6E55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Discussion</w:t>
      </w:r>
    </w:p>
    <w:p w14:paraId="49DDA94E" w14:textId="4992D8C3" w:rsidR="00210C55" w:rsidRDefault="00210C55" w:rsidP="00210C55">
      <w:pPr>
        <w:rPr>
          <w:bCs/>
          <w:iCs/>
          <w:lang w:eastAsia="ko-KR"/>
        </w:rPr>
      </w:pPr>
    </w:p>
    <w:p w14:paraId="1B3CE35F" w14:textId="6C8A8A0B" w:rsidR="0018474C" w:rsidRDefault="0018474C" w:rsidP="00210C55">
      <w:pPr>
        <w:rPr>
          <w:bCs/>
          <w:iCs/>
          <w:lang w:eastAsia="ko-KR"/>
        </w:rPr>
      </w:pPr>
      <w:r>
        <w:rPr>
          <w:bCs/>
          <w:iCs/>
          <w:lang w:eastAsia="ko-KR"/>
        </w:rPr>
        <w:t xml:space="preserve">The transmitter block diagram for the EDMG portion of the SU PPDU transmission in the </w:t>
      </w:r>
      <w:r w:rsidR="00B72420">
        <w:rPr>
          <w:bCs/>
          <w:iCs/>
          <w:lang w:eastAsia="ko-KR"/>
        </w:rPr>
        <w:t xml:space="preserve">EDMG </w:t>
      </w:r>
      <w:r>
        <w:rPr>
          <w:bCs/>
          <w:iCs/>
          <w:lang w:eastAsia="ko-KR"/>
        </w:rPr>
        <w:t xml:space="preserve">SC mode (Figure 129, </w:t>
      </w:r>
      <w:proofErr w:type="spellStart"/>
      <w:r>
        <w:rPr>
          <w:bCs/>
          <w:iCs/>
          <w:lang w:eastAsia="ko-KR"/>
        </w:rPr>
        <w:t>pg</w:t>
      </w:r>
      <w:proofErr w:type="spellEnd"/>
      <w:r>
        <w:rPr>
          <w:bCs/>
          <w:iCs/>
          <w:lang w:eastAsia="ko-KR"/>
        </w:rPr>
        <w:t xml:space="preserve"> 283, line11) shows that the TRN builder is placed after the spatial mapper and before the pulse shaping filter as shown below:</w:t>
      </w:r>
    </w:p>
    <w:p w14:paraId="66FBF5EF" w14:textId="2CB7AC02" w:rsidR="0018474C" w:rsidRDefault="0018474C" w:rsidP="00210C55">
      <w:pPr>
        <w:rPr>
          <w:bCs/>
          <w:iCs/>
          <w:lang w:eastAsia="ko-KR"/>
        </w:rPr>
      </w:pPr>
    </w:p>
    <w:p w14:paraId="1D4E92C2" w14:textId="45E25A84" w:rsidR="0018474C" w:rsidRDefault="00376F02" w:rsidP="0018474C">
      <w:pPr>
        <w:jc w:val="center"/>
        <w:rPr>
          <w:bCs/>
          <w:iCs/>
          <w:lang w:eastAsia="ko-KR"/>
        </w:rPr>
      </w:pPr>
      <w:r w:rsidRPr="00376F02">
        <w:rPr>
          <w:noProof/>
          <w:lang w:val="en-US"/>
        </w:rPr>
        <w:lastRenderedPageBreak/>
        <w:t xml:space="preserve"> </w:t>
      </w:r>
      <w:r>
        <w:rPr>
          <w:noProof/>
          <w:lang w:val="en-US"/>
        </w:rPr>
        <w:drawing>
          <wp:inline distT="0" distB="0" distL="0" distR="0" wp14:anchorId="33208C5E" wp14:editId="183CACEB">
            <wp:extent cx="5010150" cy="35874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220" cy="359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92362" w14:textId="3B236551" w:rsidR="0018474C" w:rsidRDefault="0018474C" w:rsidP="00210C55">
      <w:pPr>
        <w:rPr>
          <w:bCs/>
          <w:iCs/>
          <w:lang w:eastAsia="ko-KR"/>
        </w:rPr>
      </w:pPr>
    </w:p>
    <w:p w14:paraId="03571AF2" w14:textId="4055812A" w:rsidR="0018474C" w:rsidRPr="009C167E" w:rsidRDefault="0018474C" w:rsidP="0018474C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  <w:r w:rsidRPr="009C167E">
        <w:rPr>
          <w:bCs/>
          <w:iCs/>
          <w:lang w:eastAsia="ko-KR"/>
        </w:rPr>
        <w:t xml:space="preserve">This is the same for the EDMG portion of the MU PPDU Transmission (Figure </w:t>
      </w:r>
      <w:r w:rsidR="00376F02">
        <w:rPr>
          <w:bCs/>
          <w:iCs/>
          <w:lang w:eastAsia="ko-KR"/>
        </w:rPr>
        <w:t>130</w:t>
      </w:r>
      <w:r w:rsidRPr="009C167E">
        <w:rPr>
          <w:bCs/>
          <w:iCs/>
          <w:lang w:eastAsia="ko-KR"/>
        </w:rPr>
        <w:t xml:space="preserve">, </w:t>
      </w:r>
      <w:proofErr w:type="spellStart"/>
      <w:r w:rsidRPr="009C167E">
        <w:rPr>
          <w:bCs/>
          <w:iCs/>
          <w:lang w:eastAsia="ko-KR"/>
        </w:rPr>
        <w:t>pg</w:t>
      </w:r>
      <w:proofErr w:type="spellEnd"/>
      <w:r w:rsidRPr="009C167E">
        <w:rPr>
          <w:bCs/>
          <w:iCs/>
          <w:lang w:eastAsia="ko-KR"/>
        </w:rPr>
        <w:t xml:space="preserve"> </w:t>
      </w:r>
      <w:r w:rsidR="00376F02">
        <w:rPr>
          <w:bCs/>
          <w:iCs/>
          <w:lang w:eastAsia="ko-KR"/>
        </w:rPr>
        <w:t>284</w:t>
      </w:r>
      <w:r w:rsidRPr="009C167E">
        <w:rPr>
          <w:bCs/>
          <w:iCs/>
          <w:lang w:eastAsia="ko-KR"/>
        </w:rPr>
        <w:t>, line 3)</w:t>
      </w:r>
    </w:p>
    <w:p w14:paraId="57F2A19A" w14:textId="6711F794" w:rsidR="0018474C" w:rsidRDefault="0018474C" w:rsidP="00210C55">
      <w:pPr>
        <w:rPr>
          <w:bCs/>
          <w:iCs/>
          <w:lang w:eastAsia="ko-KR"/>
        </w:rPr>
      </w:pPr>
    </w:p>
    <w:p w14:paraId="3753E72C" w14:textId="297970B1" w:rsidR="0018474C" w:rsidRDefault="0018474C" w:rsidP="0018474C">
      <w:pPr>
        <w:jc w:val="center"/>
        <w:rPr>
          <w:bCs/>
          <w:iCs/>
          <w:lang w:eastAsia="ko-KR"/>
        </w:rPr>
      </w:pPr>
      <w:r>
        <w:rPr>
          <w:noProof/>
          <w:lang w:val="en-US"/>
        </w:rPr>
        <w:drawing>
          <wp:inline distT="0" distB="0" distL="0" distR="0" wp14:anchorId="32E50A72" wp14:editId="30D74CDD">
            <wp:extent cx="4095750" cy="38929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9243" cy="389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7F1AA" w14:textId="77777777" w:rsidR="0018474C" w:rsidRDefault="0018474C" w:rsidP="00210C55">
      <w:pPr>
        <w:rPr>
          <w:bCs/>
          <w:iCs/>
          <w:lang w:eastAsia="ko-KR"/>
        </w:rPr>
      </w:pPr>
    </w:p>
    <w:p w14:paraId="21927C98" w14:textId="05250BF0" w:rsidR="009C167E" w:rsidRDefault="009C167E" w:rsidP="00210C55">
      <w:pPr>
        <w:rPr>
          <w:bCs/>
          <w:iCs/>
          <w:lang w:eastAsia="ko-KR"/>
        </w:rPr>
      </w:pPr>
      <w:r>
        <w:rPr>
          <w:bCs/>
          <w:iCs/>
          <w:lang w:eastAsia="ko-KR"/>
        </w:rPr>
        <w:t>The transmitter block diagram for the EDMG portion of the SU PPDU transmission</w:t>
      </w:r>
      <w:r w:rsidR="0018474C">
        <w:rPr>
          <w:bCs/>
          <w:iCs/>
          <w:lang w:eastAsia="ko-KR"/>
        </w:rPr>
        <w:t xml:space="preserve"> in the OFDM mode</w:t>
      </w:r>
      <w:r>
        <w:rPr>
          <w:bCs/>
          <w:iCs/>
          <w:lang w:eastAsia="ko-KR"/>
        </w:rPr>
        <w:t xml:space="preserve"> (Figure 147, </w:t>
      </w:r>
      <w:proofErr w:type="spellStart"/>
      <w:r>
        <w:rPr>
          <w:bCs/>
          <w:iCs/>
          <w:lang w:eastAsia="ko-KR"/>
        </w:rPr>
        <w:t>pg</w:t>
      </w:r>
      <w:proofErr w:type="spellEnd"/>
      <w:r>
        <w:rPr>
          <w:bCs/>
          <w:iCs/>
          <w:lang w:eastAsia="ko-KR"/>
        </w:rPr>
        <w:t xml:space="preserve"> 338, line3) shows that the TRN builder is placed after the spatial mapper </w:t>
      </w:r>
      <w:r w:rsidR="0018474C">
        <w:rPr>
          <w:bCs/>
          <w:iCs/>
          <w:lang w:eastAsia="ko-KR"/>
        </w:rPr>
        <w:t xml:space="preserve">and before processing by the </w:t>
      </w:r>
      <w:r w:rsidR="00FD7D3C">
        <w:rPr>
          <w:bCs/>
          <w:iCs/>
          <w:lang w:eastAsia="ko-KR"/>
        </w:rPr>
        <w:t xml:space="preserve">IDFT </w:t>
      </w:r>
      <w:r>
        <w:rPr>
          <w:bCs/>
          <w:iCs/>
          <w:lang w:eastAsia="ko-KR"/>
        </w:rPr>
        <w:t>as shown below:</w:t>
      </w:r>
    </w:p>
    <w:p w14:paraId="3F365A43" w14:textId="7E353BC1" w:rsidR="009C167E" w:rsidRDefault="009C167E" w:rsidP="00210C55">
      <w:pPr>
        <w:rPr>
          <w:bCs/>
          <w:iCs/>
          <w:lang w:eastAsia="ko-KR"/>
        </w:rPr>
      </w:pPr>
    </w:p>
    <w:p w14:paraId="5B42602F" w14:textId="6B2E7987" w:rsidR="009C167E" w:rsidRDefault="009C167E" w:rsidP="009C167E">
      <w:pPr>
        <w:jc w:val="center"/>
        <w:rPr>
          <w:bCs/>
          <w:iCs/>
          <w:lang w:eastAsia="ko-KR"/>
        </w:rPr>
      </w:pPr>
      <w:r>
        <w:rPr>
          <w:noProof/>
          <w:lang w:val="en-US"/>
        </w:rPr>
        <w:lastRenderedPageBreak/>
        <w:drawing>
          <wp:inline distT="0" distB="0" distL="0" distR="0" wp14:anchorId="70F91C29" wp14:editId="223B865D">
            <wp:extent cx="4438650" cy="306258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4521" cy="30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F90D" w14:textId="77777777" w:rsidR="009C167E" w:rsidRDefault="009C167E" w:rsidP="00210C55">
      <w:pPr>
        <w:rPr>
          <w:bCs/>
          <w:iCs/>
          <w:lang w:eastAsia="ko-KR"/>
        </w:rPr>
      </w:pPr>
    </w:p>
    <w:p w14:paraId="78C5A907" w14:textId="22469D72" w:rsidR="009C167E" w:rsidRPr="009C167E" w:rsidRDefault="009C167E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  <w:r w:rsidRPr="009C167E">
        <w:rPr>
          <w:bCs/>
          <w:iCs/>
          <w:lang w:eastAsia="ko-KR"/>
        </w:rPr>
        <w:t xml:space="preserve">This is the same for the EDMG portion of the MU PPDU Transmission (Figure 148, </w:t>
      </w:r>
      <w:proofErr w:type="spellStart"/>
      <w:r w:rsidRPr="009C167E">
        <w:rPr>
          <w:bCs/>
          <w:iCs/>
          <w:lang w:eastAsia="ko-KR"/>
        </w:rPr>
        <w:t>pg</w:t>
      </w:r>
      <w:proofErr w:type="spellEnd"/>
      <w:r w:rsidRPr="009C167E">
        <w:rPr>
          <w:bCs/>
          <w:iCs/>
          <w:lang w:eastAsia="ko-KR"/>
        </w:rPr>
        <w:t xml:space="preserve"> 339, line 3)</w:t>
      </w:r>
    </w:p>
    <w:p w14:paraId="0A12E18E" w14:textId="31A4ACB4" w:rsidR="009C167E" w:rsidRDefault="009C167E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15823635" w14:textId="0343868B" w:rsidR="009C167E" w:rsidRDefault="009C167E" w:rsidP="009C167E">
      <w:pPr>
        <w:autoSpaceDE w:val="0"/>
        <w:autoSpaceDN w:val="0"/>
        <w:adjustRightInd w:val="0"/>
        <w:jc w:val="center"/>
        <w:rPr>
          <w:bCs/>
          <w:iCs/>
          <w:lang w:eastAsia="ko-KR"/>
        </w:rPr>
      </w:pPr>
      <w:r>
        <w:rPr>
          <w:noProof/>
          <w:lang w:val="en-US"/>
        </w:rPr>
        <w:drawing>
          <wp:inline distT="0" distB="0" distL="0" distR="0" wp14:anchorId="508D36B8" wp14:editId="56F830DD">
            <wp:extent cx="4162425" cy="367182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6327" cy="367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900E" w14:textId="0491C3D4" w:rsidR="009C167E" w:rsidRDefault="009C167E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6712594E" w14:textId="089534B8" w:rsidR="009C167E" w:rsidRDefault="009C167E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  <w:r>
        <w:rPr>
          <w:bCs/>
          <w:iCs/>
          <w:lang w:eastAsia="ko-KR"/>
        </w:rPr>
        <w:t>As such, there is no need for the specification to mandate a specific spatial mapper for the TRN fields</w:t>
      </w:r>
      <w:r w:rsidR="00836697">
        <w:rPr>
          <w:bCs/>
          <w:iCs/>
          <w:lang w:eastAsia="ko-KR"/>
        </w:rPr>
        <w:t>.</w:t>
      </w:r>
    </w:p>
    <w:p w14:paraId="45888886" w14:textId="62B52769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2B83EDC6" w14:textId="266EE196" w:rsidR="00894617" w:rsidRPr="00784095" w:rsidRDefault="00894617" w:rsidP="00894617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5AB5D43D" w14:textId="2749D942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5720888D" w14:textId="544CAF98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493BE0A3" w14:textId="42932422" w:rsidR="00894617" w:rsidRDefault="00894617" w:rsidP="0089461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89461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894617">
        <w:rPr>
          <w:b/>
          <w:bCs/>
          <w:i/>
          <w:iCs/>
          <w:highlight w:val="yellow"/>
          <w:lang w:eastAsia="ko-KR"/>
        </w:rPr>
        <w:t xml:space="preserve"> 161 line 4 </w:t>
      </w:r>
      <w:r>
        <w:rPr>
          <w:b/>
          <w:bCs/>
          <w:i/>
          <w:iCs/>
          <w:highlight w:val="yellow"/>
          <w:lang w:eastAsia="ko-KR"/>
        </w:rPr>
        <w:t>(#1925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62F69691" w14:textId="3CDB650E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47C0A86C" w14:textId="462DF8C3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18474C">
        <w:rPr>
          <w:bCs/>
          <w:iCs/>
          <w:lang w:val="en-US" w:eastAsia="ko-KR"/>
        </w:rPr>
        <w:lastRenderedPageBreak/>
        <w:t xml:space="preserve">NOTE—If the EDMG_BEAM_TRACKING_TYPE parameter in the RXVECTOR is Baseband Beam Tracking, the baseband beamformers at the initiator </w:t>
      </w:r>
      <w:r w:rsidRPr="0018474C">
        <w:rPr>
          <w:bCs/>
          <w:iCs/>
          <w:strike/>
          <w:color w:val="FF0000"/>
          <w:lang w:val="en-US" w:eastAsia="ko-KR"/>
        </w:rPr>
        <w:t>and responder</w:t>
      </w:r>
      <w:r w:rsidR="00350E04">
        <w:rPr>
          <w:bCs/>
          <w:iCs/>
          <w:strike/>
          <w:color w:val="FF0000"/>
          <w:lang w:val="en-US" w:eastAsia="ko-KR"/>
        </w:rPr>
        <w:t xml:space="preserve"> </w:t>
      </w:r>
      <w:r w:rsidR="00350E04" w:rsidRPr="00350E04">
        <w:rPr>
          <w:bCs/>
          <w:iCs/>
          <w:color w:val="FF0000"/>
          <w:lang w:val="en-US" w:eastAsia="ko-KR"/>
        </w:rPr>
        <w:t>(#1295)</w:t>
      </w:r>
      <w:r w:rsidRPr="00350E04">
        <w:rPr>
          <w:bCs/>
          <w:iCs/>
          <w:color w:val="FF0000"/>
          <w:lang w:val="en-US" w:eastAsia="ko-KR"/>
        </w:rPr>
        <w:t xml:space="preserve"> </w:t>
      </w:r>
      <w:r w:rsidRPr="0018474C">
        <w:rPr>
          <w:bCs/>
          <w:iCs/>
          <w:lang w:val="en-US" w:eastAsia="ko-KR"/>
        </w:rPr>
        <w:t>can be set to a predetermined orthogonal matrix (e.g., the identity matrix) during the transmission of the appended TRN-R subfields only and the measurement at the initiator is based on the appended TRN-R packets.</w:t>
      </w:r>
    </w:p>
    <w:p w14:paraId="0A4A4FBF" w14:textId="5ECCB262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0523C680" w14:textId="3B14B49E" w:rsidR="00894617" w:rsidRDefault="00894617" w:rsidP="0089461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89461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894617">
        <w:rPr>
          <w:b/>
          <w:bCs/>
          <w:i/>
          <w:iCs/>
          <w:highlight w:val="yellow"/>
          <w:lang w:eastAsia="ko-KR"/>
        </w:rPr>
        <w:t xml:space="preserve"> 161 line </w:t>
      </w:r>
      <w:r>
        <w:rPr>
          <w:b/>
          <w:bCs/>
          <w:i/>
          <w:iCs/>
          <w:highlight w:val="yellow"/>
          <w:lang w:eastAsia="ko-KR"/>
        </w:rPr>
        <w:t>17</w:t>
      </w:r>
      <w:r w:rsidRPr="0089461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(#1926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4F97B554" w14:textId="77777777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6DE43F34" w14:textId="7EC00089" w:rsidR="0018474C" w:rsidRPr="009C167E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  <w:r w:rsidRPr="0018474C">
        <w:rPr>
          <w:bCs/>
          <w:iCs/>
          <w:lang w:val="en-US" w:eastAsia="ko-KR"/>
        </w:rPr>
        <w:t xml:space="preserve">NOTE—If the EDMG_BEAM_TRACKING_TYPE parameter in the TXVECTOR is Baseband Beam Tracking, then  EDMG_TRN_LEN TRN units are appended to the PPDU (each with EDMG_TRN_P TRN subfields) and are transmitted using the same AWV as the preamble and Data field of the PPDU. The baseband beamformer for the </w:t>
      </w:r>
      <w:r w:rsidRPr="0018474C">
        <w:rPr>
          <w:bCs/>
          <w:iCs/>
          <w:strike/>
          <w:color w:val="FF0000"/>
          <w:lang w:val="en-US" w:eastAsia="ko-KR"/>
        </w:rPr>
        <w:t>initiator and</w:t>
      </w:r>
      <w:r w:rsidRPr="0018474C">
        <w:rPr>
          <w:bCs/>
          <w:iCs/>
          <w:color w:val="FF0000"/>
          <w:lang w:val="en-US" w:eastAsia="ko-KR"/>
        </w:rPr>
        <w:t xml:space="preserve"> </w:t>
      </w:r>
      <w:r w:rsidR="00350E04">
        <w:rPr>
          <w:bCs/>
          <w:iCs/>
          <w:color w:val="FF0000"/>
          <w:lang w:val="en-US" w:eastAsia="ko-KR"/>
        </w:rPr>
        <w:t>(#1296</w:t>
      </w:r>
      <w:r w:rsidR="00350E04" w:rsidRPr="00ED7F31">
        <w:rPr>
          <w:bCs/>
          <w:iCs/>
          <w:color w:val="FF0000"/>
          <w:lang w:val="en-US" w:eastAsia="ko-KR"/>
        </w:rPr>
        <w:t>)</w:t>
      </w:r>
      <w:r w:rsidR="00350E04" w:rsidRPr="00350E04">
        <w:rPr>
          <w:bCs/>
          <w:iCs/>
          <w:color w:val="FF0000"/>
          <w:lang w:val="en-US" w:eastAsia="ko-KR"/>
        </w:rPr>
        <w:t xml:space="preserve"> </w:t>
      </w:r>
      <w:r w:rsidRPr="0018474C">
        <w:rPr>
          <w:bCs/>
          <w:iCs/>
          <w:lang w:val="en-US" w:eastAsia="ko-KR"/>
        </w:rPr>
        <w:t xml:space="preserve">responder can be set to a predetermined orthogonal matrix (e.g., the identity matrix) during </w:t>
      </w:r>
      <w:r>
        <w:rPr>
          <w:bCs/>
          <w:iCs/>
          <w:lang w:val="en-US" w:eastAsia="ko-KR"/>
        </w:rPr>
        <w:t>the</w:t>
      </w:r>
      <w:r w:rsidRPr="0018474C">
        <w:rPr>
          <w:bCs/>
          <w:iCs/>
          <w:lang w:val="en-US" w:eastAsia="ko-KR"/>
        </w:rPr>
        <w:t xml:space="preserve"> transmission of the appended TRN-T subfields only and the measurement is based on the appended TRN-T subfields.</w:t>
      </w:r>
    </w:p>
    <w:p w14:paraId="1D14C090" w14:textId="217ED0EE" w:rsidR="009C167E" w:rsidRDefault="009C167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34C605D8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06BA3FA5" w:rsidR="00E20BEE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</w:t>
      </w:r>
      <w:r w:rsidR="0018474C"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18474C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>.</w:t>
      </w:r>
    </w:p>
    <w:p w14:paraId="2C57442C" w14:textId="06DF01F4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345A9F18" w14:textId="67844167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57CDEDAC" w14:textId="77777777" w:rsidR="00EB797C" w:rsidRP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sectPr w:rsidR="00EB797C" w:rsidRPr="00EB797C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3BA6" w14:textId="77777777" w:rsidR="00956A1E" w:rsidRDefault="00956A1E">
      <w:r>
        <w:separator/>
      </w:r>
    </w:p>
  </w:endnote>
  <w:endnote w:type="continuationSeparator" w:id="0">
    <w:p w14:paraId="56336C88" w14:textId="77777777" w:rsidR="00956A1E" w:rsidRDefault="0095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0E82" w14:textId="77777777" w:rsidR="00CA7ADC" w:rsidRDefault="00CA7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617478F3" w:rsidR="00C5507F" w:rsidRDefault="004051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507F">
      <w:t>Submission</w:t>
    </w:r>
    <w:r>
      <w:fldChar w:fldCharType="end"/>
    </w:r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CA7ADC">
      <w:rPr>
        <w:noProof/>
      </w:rPr>
      <w:t>5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2236" w14:textId="77777777" w:rsidR="00CA7ADC" w:rsidRDefault="00CA7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CD04" w14:textId="77777777" w:rsidR="00956A1E" w:rsidRDefault="00956A1E">
      <w:r>
        <w:separator/>
      </w:r>
    </w:p>
  </w:footnote>
  <w:footnote w:type="continuationSeparator" w:id="0">
    <w:p w14:paraId="1FF46FC3" w14:textId="77777777" w:rsidR="00956A1E" w:rsidRDefault="0095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905D" w14:textId="77777777" w:rsidR="00CA7ADC" w:rsidRDefault="00CA7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6B240643" w:rsidR="00C5507F" w:rsidRDefault="009C16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AA6BD6">
      <w:rPr>
        <w:lang w:eastAsia="ko-KR"/>
      </w:rPr>
      <w:t xml:space="preserve"> 2018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r w:rsidR="004051BC">
      <w:fldChar w:fldCharType="begin"/>
    </w:r>
    <w:r w:rsidR="004051BC">
      <w:instrText xml:space="preserve"> TITLE  \* MERGEFORMAT </w:instrText>
    </w:r>
    <w:r w:rsidR="004051BC">
      <w:fldChar w:fldCharType="separate"/>
    </w:r>
    <w:r w:rsidR="004E7F45">
      <w:t>doc.: IEEE 802.11-18</w:t>
    </w:r>
    <w:r w:rsidR="00C5507F">
      <w:t>/</w:t>
    </w:r>
    <w:r w:rsidR="0050353D">
      <w:t>0500</w:t>
    </w:r>
    <w:r w:rsidR="00C5507F">
      <w:rPr>
        <w:lang w:eastAsia="ko-KR"/>
      </w:rPr>
      <w:t>r</w:t>
    </w:r>
    <w:r w:rsidR="004051BC">
      <w:rPr>
        <w:lang w:eastAsia="ko-KR"/>
      </w:rPr>
      <w:fldChar w:fldCharType="end"/>
    </w:r>
    <w:r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A26A" w14:textId="77777777" w:rsidR="00CA7ADC" w:rsidRDefault="00CA7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2E1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861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E72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428"/>
    <w:rsid w:val="0013699E"/>
    <w:rsid w:val="001420E5"/>
    <w:rsid w:val="001448D8"/>
    <w:rsid w:val="001449D1"/>
    <w:rsid w:val="001450BB"/>
    <w:rsid w:val="001459E7"/>
    <w:rsid w:val="00145C98"/>
    <w:rsid w:val="00146D19"/>
    <w:rsid w:val="00150571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47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6EF2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398D"/>
    <w:rsid w:val="0026408E"/>
    <w:rsid w:val="00264425"/>
    <w:rsid w:val="002662A5"/>
    <w:rsid w:val="002674D1"/>
    <w:rsid w:val="00270171"/>
    <w:rsid w:val="00270720"/>
    <w:rsid w:val="00270F98"/>
    <w:rsid w:val="00273257"/>
    <w:rsid w:val="00273500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2F46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E04"/>
    <w:rsid w:val="00350F44"/>
    <w:rsid w:val="0035213C"/>
    <w:rsid w:val="00352DC1"/>
    <w:rsid w:val="00353DB8"/>
    <w:rsid w:val="00355254"/>
    <w:rsid w:val="0035591D"/>
    <w:rsid w:val="00355B79"/>
    <w:rsid w:val="00356265"/>
    <w:rsid w:val="0035696A"/>
    <w:rsid w:val="00357F36"/>
    <w:rsid w:val="00360C87"/>
    <w:rsid w:val="003622ED"/>
    <w:rsid w:val="00362BFB"/>
    <w:rsid w:val="00362C5B"/>
    <w:rsid w:val="00366AF0"/>
    <w:rsid w:val="00367D06"/>
    <w:rsid w:val="00370A6C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6F02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DBB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05A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BC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94E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E7F45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53D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9C4"/>
    <w:rsid w:val="00540A28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5B2"/>
    <w:rsid w:val="00555EF7"/>
    <w:rsid w:val="00561999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3C03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E57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697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076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617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2CA"/>
    <w:rsid w:val="00947B3B"/>
    <w:rsid w:val="00947FF8"/>
    <w:rsid w:val="00950ADF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5BF6"/>
    <w:rsid w:val="00956A1E"/>
    <w:rsid w:val="0095758E"/>
    <w:rsid w:val="00960546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1E30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167E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669"/>
    <w:rsid w:val="009F39CB"/>
    <w:rsid w:val="009F3F07"/>
    <w:rsid w:val="009F48D6"/>
    <w:rsid w:val="009F6BE0"/>
    <w:rsid w:val="009F72F4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412"/>
    <w:rsid w:val="00A6389A"/>
    <w:rsid w:val="00A63DC8"/>
    <w:rsid w:val="00A66CBC"/>
    <w:rsid w:val="00A70990"/>
    <w:rsid w:val="00A73589"/>
    <w:rsid w:val="00A75B8C"/>
    <w:rsid w:val="00A809AC"/>
    <w:rsid w:val="00A80E2F"/>
    <w:rsid w:val="00A81018"/>
    <w:rsid w:val="00A8197A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BD6"/>
    <w:rsid w:val="00AA6C67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3643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420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40CC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2E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A7ADC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EBB"/>
    <w:rsid w:val="00CC0F15"/>
    <w:rsid w:val="00CC3806"/>
    <w:rsid w:val="00CC6468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567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32A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7AC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338D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26A7"/>
    <w:rsid w:val="00DA3576"/>
    <w:rsid w:val="00DA3D06"/>
    <w:rsid w:val="00DA3D0C"/>
    <w:rsid w:val="00DA3EDB"/>
    <w:rsid w:val="00DA6202"/>
    <w:rsid w:val="00DA63CC"/>
    <w:rsid w:val="00DA7631"/>
    <w:rsid w:val="00DA7F0D"/>
    <w:rsid w:val="00DB117E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6664"/>
    <w:rsid w:val="00E176D4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5B73"/>
    <w:rsid w:val="00E461AF"/>
    <w:rsid w:val="00E46262"/>
    <w:rsid w:val="00E46375"/>
    <w:rsid w:val="00E46D15"/>
    <w:rsid w:val="00E470B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3CC9"/>
    <w:rsid w:val="00EB5AA5"/>
    <w:rsid w:val="00EB5ADB"/>
    <w:rsid w:val="00EB5D4B"/>
    <w:rsid w:val="00EB6218"/>
    <w:rsid w:val="00EB69EF"/>
    <w:rsid w:val="00EB7706"/>
    <w:rsid w:val="00EB797C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4EB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215B"/>
    <w:rsid w:val="00EF3461"/>
    <w:rsid w:val="00EF34D3"/>
    <w:rsid w:val="00EF34F1"/>
    <w:rsid w:val="00EF38CF"/>
    <w:rsid w:val="00EF3C89"/>
    <w:rsid w:val="00EF3EC3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C1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D7D3C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2018-03-03T17:12:00Z</dcterms:created>
  <dcterms:modified xsi:type="dcterms:W3CDTF">2018-03-03T17:13:00Z</dcterms:modified>
  <cp:category/>
</cp:coreProperties>
</file>