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2B6D603D" w:rsidR="005E768D" w:rsidRPr="004D2D75" w:rsidRDefault="00827E57">
      <w:pPr>
        <w:pStyle w:val="T1"/>
        <w:pBdr>
          <w:bottom w:val="single" w:sz="6" w:space="0" w:color="auto"/>
        </w:pBdr>
        <w:spacing w:after="240"/>
      </w:pPr>
      <w:r>
        <w:softHyphen/>
      </w:r>
      <w:r>
        <w:softHyphen/>
      </w:r>
      <w:r w:rsidR="005E768D" w:rsidRPr="004D2D75">
        <w:t>IEEE P802.11</w:t>
      </w:r>
      <w:r w:rsidR="005E768D"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4410110" w:rsidR="00C723BC" w:rsidRPr="00183F4C" w:rsidRDefault="00E163E8" w:rsidP="00C5507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9C167E">
              <w:rPr>
                <w:lang w:eastAsia="ko-KR"/>
              </w:rPr>
              <w:t>10.3</w:t>
            </w:r>
            <w:r w:rsidR="00E662A0">
              <w:rPr>
                <w:lang w:eastAsia="ko-KR"/>
              </w:rPr>
              <w:t>6.</w:t>
            </w:r>
            <w:r w:rsidR="00DB74C4">
              <w:rPr>
                <w:lang w:eastAsia="ko-KR"/>
              </w:rPr>
              <w:t>11.</w:t>
            </w:r>
            <w:r w:rsidR="00E662A0">
              <w:rPr>
                <w:lang w:eastAsia="ko-KR"/>
              </w:rPr>
              <w:t>4.3 and 10.36.</w:t>
            </w:r>
            <w:r w:rsidR="00DB74C4">
              <w:rPr>
                <w:lang w:eastAsia="ko-KR"/>
              </w:rPr>
              <w:t>11.</w:t>
            </w:r>
            <w:r w:rsidR="00E662A0">
              <w:rPr>
                <w:lang w:eastAsia="ko-KR"/>
              </w:rPr>
              <w:t>4.4</w:t>
            </w:r>
            <w:r w:rsidR="0053335B">
              <w:rPr>
                <w:lang w:eastAsia="ko-KR"/>
              </w:rPr>
              <w:t xml:space="preserve"> (</w:t>
            </w:r>
            <w:r w:rsidR="00E662A0">
              <w:rPr>
                <w:bCs/>
                <w:lang w:val="en-US" w:eastAsia="ko-KR"/>
              </w:rPr>
              <w:t>Channel Access</w:t>
            </w:r>
            <w:r w:rsidR="00027596">
              <w:rPr>
                <w:lang w:eastAsia="ko-KR"/>
              </w:rPr>
              <w:t>)</w:t>
            </w:r>
            <w:r w:rsidR="00FD13DD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01C66191" w:rsidR="00C723BC" w:rsidRPr="00183F4C" w:rsidRDefault="00C723BC" w:rsidP="00C5507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4E7F45">
              <w:rPr>
                <w:b w:val="0"/>
                <w:sz w:val="20"/>
              </w:rPr>
              <w:t>2018</w:t>
            </w:r>
            <w:r w:rsidRPr="00183F4C">
              <w:rPr>
                <w:b w:val="0"/>
                <w:sz w:val="20"/>
              </w:rPr>
              <w:t>-</w:t>
            </w:r>
            <w:r w:rsidR="004E7F45">
              <w:rPr>
                <w:b w:val="0"/>
                <w:sz w:val="20"/>
                <w:lang w:eastAsia="ko-KR"/>
              </w:rPr>
              <w:t>0</w:t>
            </w:r>
            <w:r w:rsidR="00E662A0">
              <w:rPr>
                <w:b w:val="0"/>
                <w:sz w:val="20"/>
                <w:lang w:eastAsia="ko-KR"/>
              </w:rPr>
              <w:t>2</w:t>
            </w:r>
            <w:r w:rsidR="004E7F45">
              <w:rPr>
                <w:b w:val="0"/>
                <w:sz w:val="20"/>
                <w:lang w:eastAsia="ko-KR"/>
              </w:rPr>
              <w:t>-</w:t>
            </w:r>
            <w:r w:rsidR="00E662A0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93B54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965199A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Kome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Oteri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745A5757" w:rsidR="00193B54" w:rsidRDefault="00C5507F" w:rsidP="00C5507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610" w:type="dxa"/>
            <w:vAlign w:val="center"/>
          </w:tcPr>
          <w:p w14:paraId="57CF593C" w14:textId="75EC773C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9710 Scranton Road, San Diego, CA 92121</w:t>
            </w:r>
          </w:p>
        </w:tc>
        <w:tc>
          <w:tcPr>
            <w:tcW w:w="1507" w:type="dxa"/>
            <w:vAlign w:val="center"/>
          </w:tcPr>
          <w:p w14:paraId="489F33FB" w14:textId="28A56677" w:rsidR="00193B54" w:rsidRPr="002C60AE" w:rsidRDefault="00C5507F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+1-858-210-</w:t>
            </w:r>
            <w:r w:rsidRPr="00C5507F">
              <w:rPr>
                <w:b w:val="0"/>
                <w:sz w:val="18"/>
                <w:szCs w:val="18"/>
                <w:lang w:eastAsia="ko-KR"/>
              </w:rPr>
              <w:t>4826</w:t>
            </w:r>
          </w:p>
        </w:tc>
        <w:tc>
          <w:tcPr>
            <w:tcW w:w="2471" w:type="dxa"/>
            <w:vAlign w:val="center"/>
          </w:tcPr>
          <w:p w14:paraId="1E99EE37" w14:textId="5BD61180" w:rsidR="00193B54" w:rsidRDefault="00C5507F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5507F">
              <w:rPr>
                <w:b w:val="0"/>
                <w:sz w:val="18"/>
                <w:szCs w:val="18"/>
                <w:lang w:eastAsia="ko-KR"/>
              </w:rPr>
              <w:t>kome.oteri@interdigital.com</w:t>
            </w:r>
          </w:p>
        </w:tc>
      </w:tr>
      <w:tr w:rsidR="00193B54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20304554" w:rsidR="00193B54" w:rsidRDefault="00773C0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93B54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E6F98BC" w14:textId="767DE98E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93B54" w:rsidRPr="002C60AE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15B028B7" w:rsidR="00193B54" w:rsidRPr="001D7948" w:rsidRDefault="00193B54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749BBDAA" w14:textId="05134253" w:rsidR="000631DB" w:rsidRDefault="003E4403" w:rsidP="007A66B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7A66B1">
        <w:rPr>
          <w:lang w:eastAsia="ko-KR"/>
        </w:rPr>
        <w:t>3</w:t>
      </w:r>
      <w:r w:rsidR="000631DB">
        <w:rPr>
          <w:lang w:eastAsia="ko-KR"/>
        </w:rPr>
        <w:t xml:space="preserve">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7A66B1" w:rsidRPr="007A66B1">
        <w:rPr>
          <w:lang w:eastAsia="ko-KR"/>
        </w:rPr>
        <w:t>Clause 10.36.11.4.3 and 10.36.11.4.4 (Channel Access)</w:t>
      </w:r>
      <w:r w:rsidR="007A66B1">
        <w:rPr>
          <w:lang w:eastAsia="ko-KR"/>
        </w:rPr>
        <w:t xml:space="preserve">: </w:t>
      </w:r>
    </w:p>
    <w:p w14:paraId="43341C1D" w14:textId="43B45921" w:rsidR="007A66B1" w:rsidRDefault="003D37CD" w:rsidP="007A66B1">
      <w:pPr>
        <w:jc w:val="both"/>
        <w:rPr>
          <w:lang w:eastAsia="ko-KR"/>
        </w:rPr>
      </w:pPr>
      <w:r>
        <w:rPr>
          <w:lang w:eastAsia="ko-KR"/>
        </w:rPr>
        <w:t xml:space="preserve">1376, 1377, </w:t>
      </w:r>
      <w:r w:rsidR="007A66B1">
        <w:rPr>
          <w:lang w:eastAsia="ko-KR"/>
        </w:rPr>
        <w:t>2297</w:t>
      </w:r>
      <w:r>
        <w:rPr>
          <w:lang w:eastAsia="ko-KR"/>
        </w:rPr>
        <w:t xml:space="preserve"> and 1897.</w:t>
      </w:r>
    </w:p>
    <w:p w14:paraId="34797FF9" w14:textId="77777777" w:rsidR="007A66B1" w:rsidRDefault="007A66B1" w:rsidP="007A66B1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465B6F7F" w14:textId="72A07604" w:rsidR="003A7DBB" w:rsidRDefault="003A7DBB" w:rsidP="003A7DBB">
      <w:pPr>
        <w:pStyle w:val="ListParagraph"/>
        <w:numPr>
          <w:ilvl w:val="0"/>
          <w:numId w:val="34"/>
        </w:numPr>
        <w:ind w:leftChars="0"/>
        <w:jc w:val="both"/>
      </w:pPr>
      <w:r>
        <w:t>Rev 0: Initial version of document</w:t>
      </w:r>
    </w:p>
    <w:p w14:paraId="3CD12F0F" w14:textId="6C6F0AE4" w:rsidR="003A7DBB" w:rsidRDefault="003A7DBB" w:rsidP="009C167E">
      <w:pPr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4C847DDB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06557231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</w:t>
      </w:r>
      <w:r w:rsidR="00894617">
        <w:rPr>
          <w:b/>
          <w:bCs/>
          <w:i/>
          <w:iCs/>
          <w:lang w:eastAsia="ko-KR"/>
        </w:rPr>
        <w:t>y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14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60"/>
        <w:gridCol w:w="720"/>
        <w:gridCol w:w="2430"/>
        <w:gridCol w:w="2250"/>
        <w:gridCol w:w="2790"/>
      </w:tblGrid>
      <w:tr w:rsidR="0079373D" w:rsidRPr="00952B64" w14:paraId="6BA44136" w14:textId="77777777" w:rsidTr="00D2189C">
        <w:trPr>
          <w:trHeight w:val="191"/>
        </w:trPr>
        <w:tc>
          <w:tcPr>
            <w:tcW w:w="697" w:type="dxa"/>
            <w:shd w:val="clear" w:color="auto" w:fill="auto"/>
            <w:noWrap/>
            <w:vAlign w:val="center"/>
          </w:tcPr>
          <w:p w14:paraId="3DC2D089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C6E83D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C86F8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6AB81A" w14:textId="77777777" w:rsidR="0079373D" w:rsidRPr="00952B64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7258A3F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63573B2" w14:textId="77777777" w:rsidR="0079373D" w:rsidRPr="00952B64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952B64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51629" w:rsidRPr="00952B64" w14:paraId="41B0F61A" w14:textId="77777777" w:rsidTr="00D2189C">
        <w:trPr>
          <w:trHeight w:val="191"/>
        </w:trPr>
        <w:tc>
          <w:tcPr>
            <w:tcW w:w="697" w:type="dxa"/>
            <w:shd w:val="clear" w:color="auto" w:fill="auto"/>
            <w:noWrap/>
          </w:tcPr>
          <w:p w14:paraId="32AC38FA" w14:textId="368CA6F5" w:rsidR="00651629" w:rsidRPr="00C5507F" w:rsidRDefault="00DB74C4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1376</w:t>
            </w:r>
          </w:p>
        </w:tc>
        <w:tc>
          <w:tcPr>
            <w:tcW w:w="1260" w:type="dxa"/>
            <w:shd w:val="clear" w:color="auto" w:fill="auto"/>
            <w:noWrap/>
          </w:tcPr>
          <w:p w14:paraId="14129688" w14:textId="2130C966" w:rsidR="00651629" w:rsidRPr="00C5507F" w:rsidRDefault="00DB74C4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10.36.11.4.3</w:t>
            </w:r>
          </w:p>
        </w:tc>
        <w:tc>
          <w:tcPr>
            <w:tcW w:w="720" w:type="dxa"/>
            <w:shd w:val="clear" w:color="auto" w:fill="auto"/>
            <w:noWrap/>
          </w:tcPr>
          <w:p w14:paraId="28BCCCFA" w14:textId="77777777" w:rsidR="00DB74C4" w:rsidRDefault="00DB74C4" w:rsidP="00DB74C4">
            <w:r>
              <w:t>140.27</w:t>
            </w:r>
          </w:p>
          <w:p w14:paraId="28258C5D" w14:textId="15CD68F8" w:rsidR="00651629" w:rsidRPr="00C5507F" w:rsidRDefault="00651629" w:rsidP="00DB74C4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14:paraId="4386A506" w14:textId="57C74631" w:rsidR="00651629" w:rsidRPr="00C5507F" w:rsidRDefault="00DB74C4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DB74C4">
              <w:t>Replace "hybrid beamforming" with "hybrid beamforming training", otherwise it is not well defined</w:t>
            </w:r>
          </w:p>
        </w:tc>
        <w:tc>
          <w:tcPr>
            <w:tcW w:w="2250" w:type="dxa"/>
            <w:shd w:val="clear" w:color="auto" w:fill="auto"/>
            <w:noWrap/>
          </w:tcPr>
          <w:p w14:paraId="1F75BDD5" w14:textId="2CE9052B" w:rsidR="00651629" w:rsidRPr="00C5507F" w:rsidRDefault="00DB74C4" w:rsidP="00651629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 w:rsidRPr="00DB74C4">
              <w:t>as in comment, consider also adding a reference to 10.38.9.2.4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B3822B" w14:textId="5E1CFA8E" w:rsidR="00651629" w:rsidRDefault="00E46375" w:rsidP="00651629">
            <w:r>
              <w:t>Revised</w:t>
            </w:r>
          </w:p>
          <w:p w14:paraId="1EC220DB" w14:textId="77777777" w:rsidR="00A345DC" w:rsidRDefault="00A345DC" w:rsidP="00651629"/>
          <w:p w14:paraId="54EFF2B1" w14:textId="6D47A743" w:rsidR="00EB3CC9" w:rsidRDefault="003D06C4" w:rsidP="00651629">
            <w:r>
              <w:t xml:space="preserve">Accept in principle. </w:t>
            </w:r>
            <w:r w:rsidR="009F0F23">
              <w:t>There is a n</w:t>
            </w:r>
            <w:r>
              <w:t xml:space="preserve">eed to </w:t>
            </w:r>
            <w:r w:rsidR="009F0F23">
              <w:t>clarify whether</w:t>
            </w:r>
            <w:r>
              <w:t xml:space="preserve"> </w:t>
            </w:r>
            <w:r w:rsidR="007A66B1">
              <w:t>a statement</w:t>
            </w:r>
            <w:r w:rsidR="009F0F23">
              <w:t xml:space="preserve"> of </w:t>
            </w:r>
            <w:r>
              <w:t xml:space="preserve"> hybrid beamforming </w:t>
            </w:r>
            <w:r w:rsidR="009F0F23">
              <w:t xml:space="preserve">in the text refers to the HBF </w:t>
            </w:r>
            <w:r>
              <w:t xml:space="preserve">protocol, the </w:t>
            </w:r>
            <w:r w:rsidR="009F0F23">
              <w:t xml:space="preserve">HBF </w:t>
            </w:r>
            <w:r>
              <w:t>announcement</w:t>
            </w:r>
            <w:r w:rsidR="009F0F23">
              <w:t xml:space="preserve">, </w:t>
            </w:r>
            <w:r>
              <w:t xml:space="preserve">or </w:t>
            </w:r>
            <w:r w:rsidR="009F0F23">
              <w:t xml:space="preserve">HBF </w:t>
            </w:r>
            <w:r>
              <w:t xml:space="preserve">training. </w:t>
            </w:r>
            <w:r w:rsidR="009F0F23">
              <w:t xml:space="preserve"> We also add some references as requested by the commenter.</w:t>
            </w:r>
          </w:p>
          <w:p w14:paraId="2CE2BB60" w14:textId="2A60D5FB" w:rsidR="009F0F23" w:rsidRDefault="009F0F23" w:rsidP="00651629"/>
          <w:p w14:paraId="387562FB" w14:textId="1BEFF569" w:rsidR="007A66B1" w:rsidRPr="00D577F2" w:rsidRDefault="007A66B1" w:rsidP="007A66B1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 w:rsidR="00F86584">
              <w:rPr>
                <w:rFonts w:eastAsia="Times New Roman"/>
                <w:bCs/>
                <w:color w:val="000000"/>
                <w:sz w:val="20"/>
                <w:lang w:val="en-US"/>
              </w:rPr>
              <w:t>18/0499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1376</w:t>
            </w:r>
          </w:p>
          <w:p w14:paraId="5FFDD4F3" w14:textId="77777777" w:rsidR="007A66B1" w:rsidRDefault="007A66B1" w:rsidP="00651629"/>
          <w:p w14:paraId="03006861" w14:textId="05BC890F" w:rsidR="009F0F23" w:rsidRPr="00A345DC" w:rsidRDefault="009F0F23" w:rsidP="00651629"/>
        </w:tc>
      </w:tr>
      <w:tr w:rsidR="00E662A0" w:rsidRPr="00952B64" w14:paraId="781CAEB6" w14:textId="77777777" w:rsidTr="00D2189C">
        <w:trPr>
          <w:trHeight w:val="191"/>
        </w:trPr>
        <w:tc>
          <w:tcPr>
            <w:tcW w:w="697" w:type="dxa"/>
            <w:shd w:val="clear" w:color="auto" w:fill="auto"/>
            <w:noWrap/>
          </w:tcPr>
          <w:p w14:paraId="2E406AB7" w14:textId="2F8441CF" w:rsidR="00E662A0" w:rsidRPr="009C167E" w:rsidRDefault="00DB74C4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1377</w:t>
            </w:r>
          </w:p>
        </w:tc>
        <w:tc>
          <w:tcPr>
            <w:tcW w:w="1260" w:type="dxa"/>
            <w:shd w:val="clear" w:color="auto" w:fill="auto"/>
            <w:noWrap/>
          </w:tcPr>
          <w:p w14:paraId="784AB2D0" w14:textId="4CBDA251" w:rsidR="00E662A0" w:rsidRPr="009C167E" w:rsidRDefault="00DB74C4" w:rsidP="00651629">
            <w:pPr>
              <w:jc w:val="center"/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10.36.11.4.3</w:t>
            </w:r>
          </w:p>
        </w:tc>
        <w:tc>
          <w:tcPr>
            <w:tcW w:w="720" w:type="dxa"/>
            <w:shd w:val="clear" w:color="auto" w:fill="auto"/>
            <w:noWrap/>
          </w:tcPr>
          <w:p w14:paraId="0D34B4D6" w14:textId="77777777" w:rsidR="00DB74C4" w:rsidRDefault="00DB74C4" w:rsidP="00DB74C4">
            <w:r>
              <w:t>140.43</w:t>
            </w:r>
          </w:p>
          <w:p w14:paraId="64BAC893" w14:textId="29D6AFE6" w:rsidR="00E662A0" w:rsidRDefault="00E662A0" w:rsidP="00DB74C4"/>
        </w:tc>
        <w:tc>
          <w:tcPr>
            <w:tcW w:w="2430" w:type="dxa"/>
            <w:shd w:val="clear" w:color="auto" w:fill="auto"/>
            <w:noWrap/>
          </w:tcPr>
          <w:p w14:paraId="6CADA8B5" w14:textId="61B0F132" w:rsidR="00E662A0" w:rsidRPr="009C167E" w:rsidRDefault="00DB74C4" w:rsidP="00651629">
            <w:r w:rsidRPr="00DB74C4">
              <w:t>Replace "hybrid beamforming" with "hybrid beamforming training", otherwise it is not well defined</w:t>
            </w:r>
          </w:p>
        </w:tc>
        <w:tc>
          <w:tcPr>
            <w:tcW w:w="2250" w:type="dxa"/>
            <w:shd w:val="clear" w:color="auto" w:fill="auto"/>
            <w:noWrap/>
          </w:tcPr>
          <w:p w14:paraId="5D2E2AE1" w14:textId="39A2402B" w:rsidR="00E662A0" w:rsidRPr="009C167E" w:rsidRDefault="00DB74C4" w:rsidP="00651629">
            <w:r w:rsidRPr="00DB74C4">
              <w:t>as in comment, consider also adding a reference to 10.38.9.2.4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862098" w14:textId="77777777" w:rsidR="00E662A0" w:rsidRDefault="003D06C4" w:rsidP="00651629">
            <w:r>
              <w:t>Rejected</w:t>
            </w:r>
          </w:p>
          <w:p w14:paraId="38B90B3D" w14:textId="77777777" w:rsidR="003D06C4" w:rsidRDefault="003D06C4" w:rsidP="00651629"/>
          <w:p w14:paraId="441199E0" w14:textId="00E9DEDC" w:rsidR="003D06C4" w:rsidRDefault="003D06C4" w:rsidP="00651629">
            <w:pPr>
              <w:rPr>
                <w:lang w:val="en-US"/>
              </w:rPr>
            </w:pPr>
            <w:r>
              <w:t xml:space="preserve">Wrong reference: </w:t>
            </w:r>
            <w:r w:rsidR="00F86584">
              <w:t xml:space="preserve">The statement says that “ </w:t>
            </w:r>
            <w:r w:rsidRPr="003D06C4">
              <w:rPr>
                <w:lang w:val="en-US"/>
              </w:rPr>
              <w:t xml:space="preserve">An EDMG STA shall transmit an RTS frame with a control trailer to a peer EDMG STA to access the 42 channel and establish a SU-MIMO TXOP or announce the start of the </w:t>
            </w:r>
            <w:r w:rsidRPr="00F86584">
              <w:rPr>
                <w:u w:val="single"/>
                <w:lang w:val="en-US"/>
              </w:rPr>
              <w:t>hybrid beamforming protocol</w:t>
            </w:r>
            <w:r>
              <w:rPr>
                <w:lang w:val="en-US"/>
              </w:rPr>
              <w:t>.</w:t>
            </w:r>
            <w:r w:rsidR="00F86584">
              <w:rPr>
                <w:lang w:val="en-US"/>
              </w:rPr>
              <w:t>”</w:t>
            </w:r>
          </w:p>
          <w:p w14:paraId="6E530E81" w14:textId="0E317230" w:rsidR="003D06C4" w:rsidRDefault="003D06C4" w:rsidP="00651629">
            <w:pPr>
              <w:rPr>
                <w:lang w:val="en-US"/>
              </w:rPr>
            </w:pPr>
          </w:p>
          <w:p w14:paraId="5883F709" w14:textId="423EF803" w:rsidR="003D06C4" w:rsidRDefault="00F86584" w:rsidP="00651629">
            <w:r>
              <w:rPr>
                <w:lang w:val="en-US"/>
              </w:rPr>
              <w:t>In this case, t</w:t>
            </w:r>
            <w:r w:rsidR="003D06C4">
              <w:rPr>
                <w:lang w:val="en-US"/>
              </w:rPr>
              <w:t xml:space="preserve">he word </w:t>
            </w:r>
            <w:r>
              <w:rPr>
                <w:lang w:val="en-US"/>
              </w:rPr>
              <w:t>“</w:t>
            </w:r>
            <w:r w:rsidR="003D06C4">
              <w:rPr>
                <w:lang w:val="en-US"/>
              </w:rPr>
              <w:t>protocol</w:t>
            </w:r>
            <w:r>
              <w:rPr>
                <w:lang w:val="en-US"/>
              </w:rPr>
              <w:t>” is appropriate and so no change is made.</w:t>
            </w:r>
          </w:p>
          <w:p w14:paraId="7D8BD1CD" w14:textId="77777777" w:rsidR="003D06C4" w:rsidRDefault="003D06C4" w:rsidP="00651629"/>
          <w:p w14:paraId="4F2FCEC8" w14:textId="60537A68" w:rsidR="003D06C4" w:rsidRDefault="003D06C4" w:rsidP="00651629"/>
        </w:tc>
      </w:tr>
      <w:tr w:rsidR="00E662A0" w:rsidRPr="00952B64" w14:paraId="036B768E" w14:textId="77777777" w:rsidTr="00D2189C">
        <w:trPr>
          <w:trHeight w:val="191"/>
        </w:trPr>
        <w:tc>
          <w:tcPr>
            <w:tcW w:w="697" w:type="dxa"/>
            <w:shd w:val="clear" w:color="auto" w:fill="auto"/>
            <w:noWrap/>
          </w:tcPr>
          <w:p w14:paraId="6B2CC4A8" w14:textId="3B5FE945" w:rsidR="00E662A0" w:rsidRPr="009C167E" w:rsidRDefault="00DB74C4" w:rsidP="00651629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2297</w:t>
            </w:r>
          </w:p>
        </w:tc>
        <w:tc>
          <w:tcPr>
            <w:tcW w:w="1260" w:type="dxa"/>
            <w:shd w:val="clear" w:color="auto" w:fill="auto"/>
            <w:noWrap/>
          </w:tcPr>
          <w:p w14:paraId="2F814031" w14:textId="5F7D22CC" w:rsidR="00E662A0" w:rsidRPr="009C167E" w:rsidRDefault="00DB74C4" w:rsidP="00651629">
            <w:pPr>
              <w:jc w:val="center"/>
            </w:pPr>
            <w:r w:rsidRPr="00DB74C4">
              <w:t>10.36.11.4.4</w:t>
            </w:r>
          </w:p>
        </w:tc>
        <w:tc>
          <w:tcPr>
            <w:tcW w:w="720" w:type="dxa"/>
            <w:shd w:val="clear" w:color="auto" w:fill="auto"/>
            <w:noWrap/>
          </w:tcPr>
          <w:p w14:paraId="0C8865A8" w14:textId="7E02091B" w:rsidR="00E662A0" w:rsidRDefault="00DB74C4" w:rsidP="00651629">
            <w:r>
              <w:t>142.40</w:t>
            </w:r>
          </w:p>
        </w:tc>
        <w:tc>
          <w:tcPr>
            <w:tcW w:w="2430" w:type="dxa"/>
            <w:shd w:val="clear" w:color="auto" w:fill="auto"/>
            <w:noWrap/>
          </w:tcPr>
          <w:p w14:paraId="2A5C8E54" w14:textId="6F1E169F" w:rsidR="00DB74C4" w:rsidRDefault="00DB74C4" w:rsidP="00DB74C4">
            <w:r>
              <w:t>The MU-MIMO transmission or hybrid beamforming protocol begins SIFS interval following the reception or expected reception of the 41 DMG CTS frame by the initiator'.</w:t>
            </w:r>
            <w:r>
              <w:cr/>
            </w:r>
          </w:p>
          <w:p w14:paraId="3EDC37E2" w14:textId="5FA96D9C" w:rsidR="00DB74C4" w:rsidRDefault="00DB74C4" w:rsidP="00DB74C4">
            <w:r>
              <w:t xml:space="preserve">This sentence indicates that there is no requirement for AP to receive DMG CTS to begin MU-MIMO </w:t>
            </w:r>
            <w:proofErr w:type="spellStart"/>
            <w:r>
              <w:t>transmissiom</w:t>
            </w:r>
            <w:proofErr w:type="spellEnd"/>
            <w:r>
              <w:t>.</w:t>
            </w:r>
            <w:r>
              <w:cr/>
            </w:r>
          </w:p>
          <w:p w14:paraId="63A1B00A" w14:textId="299A63E8" w:rsidR="00DB74C4" w:rsidRDefault="00DB74C4" w:rsidP="00DB74C4">
            <w:r>
              <w:t xml:space="preserve">A STA's SISO antenna pattern used to send DMG CTS may differ from the antenna pattern used to receive MU-MIMO </w:t>
            </w:r>
            <w:r>
              <w:lastRenderedPageBreak/>
              <w:t>PPDU</w:t>
            </w:r>
            <w:r>
              <w:cr/>
            </w:r>
          </w:p>
          <w:p w14:paraId="67B086F1" w14:textId="4CEB5755" w:rsidR="00E662A0" w:rsidRPr="009C167E" w:rsidRDefault="00DB74C4" w:rsidP="00DB74C4">
            <w:r>
              <w:t>Based on this requirement that AP does not need to receive DMG CTS, STA should be able to send DMG CTS using MU-MIMO reception antenna config to better protect its MU-MIMO reception</w:t>
            </w:r>
          </w:p>
        </w:tc>
        <w:tc>
          <w:tcPr>
            <w:tcW w:w="2250" w:type="dxa"/>
            <w:shd w:val="clear" w:color="auto" w:fill="auto"/>
            <w:noWrap/>
          </w:tcPr>
          <w:p w14:paraId="7A35AC21" w14:textId="043511BB" w:rsidR="00E662A0" w:rsidRPr="009C167E" w:rsidRDefault="00DB74C4" w:rsidP="00651629">
            <w:r w:rsidRPr="00DB74C4">
              <w:lastRenderedPageBreak/>
              <w:t>change the first sentence (on L29) to 'A STA that receives an RTS frame addressed to an MU group that the STA belongs to shall transmit a DMG CTS frame back to the initiator employing the most recent SISO or MU-MIMO antenna configuration used between the responder and the initiator'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C34DAF" w14:textId="1F66EDEF" w:rsidR="00E662A0" w:rsidRDefault="00C132D1" w:rsidP="00651629">
            <w:r>
              <w:t>Revised</w:t>
            </w:r>
          </w:p>
          <w:p w14:paraId="645BE0E3" w14:textId="77777777" w:rsidR="00C132D1" w:rsidRDefault="00C132D1" w:rsidP="00651629"/>
          <w:p w14:paraId="442C6137" w14:textId="44215EB6" w:rsidR="00B40B44" w:rsidRDefault="007A66B1" w:rsidP="007A66B1">
            <w:r>
              <w:t xml:space="preserve">As the commenter has pointed out, the term “expected reception” implies that even if there is no receipt of the DMG CTS by the AP, the AP may transmit the MU-MIMO transmission or HBF training and logically that the </w:t>
            </w:r>
            <w:r w:rsidR="00230FC9">
              <w:t xml:space="preserve">DMG </w:t>
            </w:r>
            <w:r>
              <w:t>CTS may not</w:t>
            </w:r>
            <w:r w:rsidR="00230FC9">
              <w:t xml:space="preserve"> even </w:t>
            </w:r>
            <w:r>
              <w:t xml:space="preserve">be needed to indicate that any of the recipient STAs has a clear channel. Removal of the term “expected reception” </w:t>
            </w:r>
            <w:r w:rsidR="00230FC9">
              <w:t xml:space="preserve">resolved this problem by implying </w:t>
            </w:r>
            <w:r>
              <w:t>that at least one of the recipient STAs is ready to receive the transmission</w:t>
            </w:r>
            <w:r w:rsidR="00230FC9">
              <w:t xml:space="preserve"> </w:t>
            </w:r>
            <w:r>
              <w:t>/</w:t>
            </w:r>
            <w:r w:rsidR="00230FC9">
              <w:t xml:space="preserve"> </w:t>
            </w:r>
            <w:r>
              <w:t xml:space="preserve">HBF training. </w:t>
            </w:r>
          </w:p>
          <w:p w14:paraId="3C1E5084" w14:textId="77777777" w:rsidR="007A66B1" w:rsidRDefault="007A66B1" w:rsidP="007A66B1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</w:p>
          <w:p w14:paraId="5CC69CC6" w14:textId="1DE0144C" w:rsidR="007A66B1" w:rsidRPr="00D577F2" w:rsidRDefault="007A66B1" w:rsidP="007A66B1">
            <w:pPr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 w:rsidR="00F86584">
              <w:rPr>
                <w:rFonts w:eastAsia="Times New Roman"/>
                <w:bCs/>
                <w:color w:val="000000"/>
                <w:sz w:val="20"/>
                <w:lang w:val="en-US"/>
              </w:rPr>
              <w:t>18/0499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r0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2297</w:t>
            </w:r>
          </w:p>
          <w:p w14:paraId="7819735C" w14:textId="39B73300" w:rsidR="007A66B1" w:rsidRDefault="007A66B1" w:rsidP="007A66B1"/>
        </w:tc>
      </w:tr>
      <w:tr w:rsidR="00960A27" w:rsidRPr="00952B64" w14:paraId="0A6F3518" w14:textId="77777777" w:rsidTr="00D2189C">
        <w:trPr>
          <w:trHeight w:val="191"/>
        </w:trPr>
        <w:tc>
          <w:tcPr>
            <w:tcW w:w="697" w:type="dxa"/>
            <w:shd w:val="clear" w:color="auto" w:fill="auto"/>
            <w:noWrap/>
          </w:tcPr>
          <w:p w14:paraId="4AF5B9C4" w14:textId="7FD68850" w:rsidR="00960A27" w:rsidRDefault="00960A27" w:rsidP="00960A27">
            <w:pPr>
              <w:jc w:val="center"/>
              <w:rPr>
                <w:rFonts w:eastAsia="Times New Roman"/>
                <w:bCs/>
                <w:color w:val="000000"/>
                <w:sz w:val="20"/>
                <w:lang w:val="en-US"/>
              </w:rPr>
            </w:pPr>
            <w:r>
              <w:rPr>
                <w:bCs/>
                <w:iCs/>
                <w:lang w:eastAsia="ko-KR"/>
              </w:rPr>
              <w:lastRenderedPageBreak/>
              <w:t>1897</w:t>
            </w:r>
          </w:p>
        </w:tc>
        <w:tc>
          <w:tcPr>
            <w:tcW w:w="1260" w:type="dxa"/>
            <w:shd w:val="clear" w:color="auto" w:fill="auto"/>
            <w:noWrap/>
          </w:tcPr>
          <w:p w14:paraId="4FE45EE8" w14:textId="6438650A" w:rsidR="00960A27" w:rsidRPr="00DB74C4" w:rsidRDefault="00960A27" w:rsidP="00960A27">
            <w:pPr>
              <w:jc w:val="center"/>
            </w:pPr>
            <w:r>
              <w:rPr>
                <w:bCs/>
                <w:iCs/>
                <w:lang w:eastAsia="ko-KR"/>
              </w:rPr>
              <w:t>10.36.11.4.3</w:t>
            </w:r>
          </w:p>
        </w:tc>
        <w:tc>
          <w:tcPr>
            <w:tcW w:w="720" w:type="dxa"/>
            <w:shd w:val="clear" w:color="auto" w:fill="auto"/>
            <w:noWrap/>
          </w:tcPr>
          <w:p w14:paraId="0719C7CC" w14:textId="628913C3" w:rsidR="00960A27" w:rsidRDefault="00960A27" w:rsidP="00960A27">
            <w:r>
              <w:rPr>
                <w:bCs/>
                <w:iCs/>
                <w:lang w:eastAsia="ko-KR"/>
              </w:rPr>
              <w:t>142.01</w:t>
            </w:r>
          </w:p>
        </w:tc>
        <w:tc>
          <w:tcPr>
            <w:tcW w:w="2430" w:type="dxa"/>
            <w:shd w:val="clear" w:color="auto" w:fill="auto"/>
            <w:noWrap/>
          </w:tcPr>
          <w:p w14:paraId="0312849A" w14:textId="3FC80598" w:rsidR="00960A27" w:rsidRDefault="00960A27" w:rsidP="00960A27">
            <w:r w:rsidRPr="00877DBD">
              <w:rPr>
                <w:bCs/>
                <w:iCs/>
                <w:lang w:eastAsia="ko-KR"/>
              </w:rPr>
              <w:t>Editor Note: what is a "small delay"? This needs to be defined.</w:t>
            </w:r>
          </w:p>
        </w:tc>
        <w:tc>
          <w:tcPr>
            <w:tcW w:w="2250" w:type="dxa"/>
            <w:shd w:val="clear" w:color="auto" w:fill="auto"/>
            <w:noWrap/>
          </w:tcPr>
          <w:p w14:paraId="7875B0DA" w14:textId="778B6551" w:rsidR="00960A27" w:rsidRPr="00D2189C" w:rsidRDefault="00960A27" w:rsidP="00960A27">
            <w:r w:rsidRPr="00D2189C">
              <w:rPr>
                <w:bCs/>
                <w:iCs/>
                <w:lang w:eastAsia="ko-KR"/>
              </w:rPr>
              <w:t>Address editor comment</w:t>
            </w:r>
          </w:p>
        </w:tc>
        <w:tc>
          <w:tcPr>
            <w:tcW w:w="2790" w:type="dxa"/>
            <w:shd w:val="clear" w:color="auto" w:fill="auto"/>
          </w:tcPr>
          <w:p w14:paraId="39BAD11B" w14:textId="77777777" w:rsidR="00960A27" w:rsidRPr="00D2189C" w:rsidRDefault="00960A27" w:rsidP="00960A27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ko-KR"/>
              </w:rPr>
            </w:pPr>
            <w:r w:rsidRPr="00D2189C">
              <w:rPr>
                <w:bCs/>
                <w:iCs/>
                <w:lang w:eastAsia="ko-KR"/>
              </w:rPr>
              <w:t>Revised</w:t>
            </w:r>
          </w:p>
          <w:p w14:paraId="4EF4DC3D" w14:textId="77777777" w:rsidR="00960A27" w:rsidRPr="00D2189C" w:rsidRDefault="00960A27" w:rsidP="00960A27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ko-KR"/>
              </w:rPr>
            </w:pPr>
          </w:p>
          <w:p w14:paraId="22B1EB6D" w14:textId="0891B34B" w:rsidR="00960A27" w:rsidRPr="00D2189C" w:rsidRDefault="00960A27" w:rsidP="00960A27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ko-KR"/>
              </w:rPr>
            </w:pPr>
            <w:r w:rsidRPr="00D2189C">
              <w:rPr>
                <w:bCs/>
                <w:iCs/>
                <w:lang w:eastAsia="ko-KR"/>
              </w:rPr>
              <w:t xml:space="preserve">Small delay behaviour is already defined by Cyclic Shift Diversity (CSD) as defined </w:t>
            </w:r>
            <w:r w:rsidR="00D2189C" w:rsidRPr="00D2189C">
              <w:rPr>
                <w:bCs/>
                <w:iCs/>
                <w:lang w:eastAsia="ko-KR"/>
              </w:rPr>
              <w:t xml:space="preserve">in </w:t>
            </w:r>
            <w:r w:rsidR="00D2189C" w:rsidRPr="00D2189C">
              <w:rPr>
                <w:bCs/>
                <w:iCs/>
                <w:lang w:val="en-US" w:eastAsia="ko-KR"/>
              </w:rPr>
              <w:t>(</w:t>
            </w:r>
            <w:r w:rsidRPr="00D2189C">
              <w:rPr>
                <w:bCs/>
                <w:iCs/>
                <w:lang w:eastAsia="ko-KR"/>
              </w:rPr>
              <w:t xml:space="preserve">30.4 EDMG Control Mode). </w:t>
            </w:r>
            <w:r w:rsidR="00D2189C">
              <w:rPr>
                <w:bCs/>
                <w:iCs/>
                <w:lang w:eastAsia="ko-KR"/>
              </w:rPr>
              <w:t>We will d</w:t>
            </w:r>
            <w:r w:rsidRPr="00D2189C">
              <w:rPr>
                <w:bCs/>
                <w:iCs/>
                <w:lang w:eastAsia="ko-KR"/>
              </w:rPr>
              <w:t xml:space="preserve">elete </w:t>
            </w:r>
            <w:proofErr w:type="spellStart"/>
            <w:r w:rsidR="00D2189C">
              <w:rPr>
                <w:bCs/>
                <w:iCs/>
                <w:lang w:eastAsia="ko-KR"/>
              </w:rPr>
              <w:t>ther</w:t>
            </w:r>
            <w:proofErr w:type="spellEnd"/>
            <w:r w:rsidR="00D2189C">
              <w:rPr>
                <w:bCs/>
                <w:iCs/>
                <w:lang w:eastAsia="ko-KR"/>
              </w:rPr>
              <w:t xml:space="preserve"> text on adding a small delay and </w:t>
            </w:r>
            <w:r w:rsidRPr="00D2189C">
              <w:rPr>
                <w:bCs/>
                <w:iCs/>
                <w:lang w:eastAsia="ko-KR"/>
              </w:rPr>
              <w:t xml:space="preserve">add </w:t>
            </w:r>
            <w:r w:rsidR="00D2189C">
              <w:rPr>
                <w:bCs/>
                <w:iCs/>
                <w:lang w:eastAsia="ko-KR"/>
              </w:rPr>
              <w:t>text discussing CSD with a</w:t>
            </w:r>
            <w:r w:rsidRPr="00D2189C">
              <w:rPr>
                <w:bCs/>
                <w:iCs/>
                <w:lang w:eastAsia="ko-KR"/>
              </w:rPr>
              <w:t xml:space="preserve"> reference. </w:t>
            </w:r>
          </w:p>
          <w:p w14:paraId="1EA17138" w14:textId="204F0E44" w:rsidR="00960A27" w:rsidRDefault="00960A27" w:rsidP="00960A27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eastAsia="ko-KR"/>
              </w:rPr>
            </w:pPr>
          </w:p>
          <w:p w14:paraId="13E300B3" w14:textId="6039D864" w:rsidR="00374D61" w:rsidRPr="00D2189C" w:rsidRDefault="00374D61" w:rsidP="00374D61">
            <w:pPr>
              <w:rPr>
                <w:bCs/>
                <w:iCs/>
                <w:lang w:eastAsia="ko-KR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TGay</w:t>
            </w:r>
            <w:proofErr w:type="spellEnd"/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editor to make the changes shown in 11-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18/0499r0</w:t>
            </w:r>
            <w:r w:rsidRPr="00EB3CC9">
              <w:rPr>
                <w:rFonts w:eastAsia="Times New Roman"/>
                <w:bCs/>
                <w:color w:val="000000"/>
                <w:sz w:val="20"/>
                <w:lang w:val="en-US"/>
              </w:rPr>
              <w:t xml:space="preserve"> under all headings that include CID </w:t>
            </w:r>
            <w:r>
              <w:rPr>
                <w:rFonts w:eastAsia="Times New Roman"/>
                <w:bCs/>
                <w:color w:val="000000"/>
                <w:sz w:val="20"/>
                <w:lang w:val="en-US"/>
              </w:rPr>
              <w:t>1897.</w:t>
            </w:r>
          </w:p>
          <w:p w14:paraId="560EA224" w14:textId="77777777" w:rsidR="00960A27" w:rsidRPr="00D2189C" w:rsidRDefault="00960A27" w:rsidP="00960A27"/>
        </w:tc>
      </w:tr>
    </w:tbl>
    <w:p w14:paraId="45888886" w14:textId="62B52769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5AB5D43D" w14:textId="5A731788" w:rsidR="0018474C" w:rsidRPr="00230FC9" w:rsidRDefault="00894617" w:rsidP="00230FC9">
      <w:pPr>
        <w:spacing w:after="160" w:line="256" w:lineRule="auto"/>
        <w:rPr>
          <w:rFonts w:ascii="Arial" w:eastAsia="Calibri" w:hAnsi="Arial" w:cs="Arial"/>
          <w:i/>
          <w:sz w:val="24"/>
          <w:highlight w:val="yellow"/>
          <w:u w:val="single"/>
        </w:rPr>
      </w:pPr>
      <w:r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Changes to D1.0 </w:t>
      </w:r>
    </w:p>
    <w:p w14:paraId="5720888D" w14:textId="0676BC17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141A719C" w14:textId="77777777" w:rsidR="00230FC9" w:rsidRDefault="00230FC9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493BE0A3" w14:textId="566666DF" w:rsidR="00894617" w:rsidRDefault="00894617" w:rsidP="0089461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89461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894617">
        <w:rPr>
          <w:b/>
          <w:bCs/>
          <w:i/>
          <w:iCs/>
          <w:highlight w:val="yellow"/>
          <w:lang w:eastAsia="ko-KR"/>
        </w:rPr>
        <w:t xml:space="preserve"> </w:t>
      </w:r>
      <w:r w:rsidR="00230FC9">
        <w:rPr>
          <w:b/>
          <w:bCs/>
          <w:i/>
          <w:iCs/>
          <w:highlight w:val="yellow"/>
          <w:lang w:eastAsia="ko-KR"/>
        </w:rPr>
        <w:t xml:space="preserve">140 </w:t>
      </w:r>
      <w:r w:rsidR="00230FC9" w:rsidRPr="00894617">
        <w:rPr>
          <w:b/>
          <w:bCs/>
          <w:i/>
          <w:iCs/>
          <w:highlight w:val="yellow"/>
          <w:lang w:eastAsia="ko-KR"/>
        </w:rPr>
        <w:t>line</w:t>
      </w:r>
      <w:r w:rsidR="009F0F23">
        <w:rPr>
          <w:b/>
          <w:bCs/>
          <w:i/>
          <w:iCs/>
          <w:highlight w:val="yellow"/>
          <w:lang w:eastAsia="ko-KR"/>
        </w:rPr>
        <w:t xml:space="preserve"> </w:t>
      </w:r>
      <w:r w:rsidR="003852AD">
        <w:rPr>
          <w:b/>
          <w:bCs/>
          <w:i/>
          <w:iCs/>
          <w:highlight w:val="yellow"/>
          <w:lang w:eastAsia="ko-KR"/>
        </w:rPr>
        <w:t>13</w:t>
      </w:r>
      <w:r w:rsidRPr="0089461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(#</w:t>
      </w:r>
      <w:r w:rsidR="00E93AE5">
        <w:rPr>
          <w:b/>
          <w:bCs/>
          <w:i/>
          <w:iCs/>
          <w:highlight w:val="yellow"/>
          <w:lang w:eastAsia="ko-KR"/>
        </w:rPr>
        <w:t>1376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960A27">
        <w:rPr>
          <w:b/>
          <w:bCs/>
          <w:i/>
          <w:iCs/>
          <w:highlight w:val="yellow"/>
          <w:lang w:eastAsia="ko-KR"/>
        </w:rPr>
        <w:t xml:space="preserve"> (#1897)</w:t>
      </w:r>
      <w:r w:rsidR="009F0F23">
        <w:rPr>
          <w:b/>
          <w:bCs/>
          <w:i/>
          <w:iCs/>
          <w:highlight w:val="yellow"/>
          <w:lang w:eastAsia="ko-KR"/>
        </w:rPr>
        <w:t xml:space="preserve">; Note that the yellow highlighting of HBF is just to track all </w:t>
      </w:r>
      <w:proofErr w:type="spellStart"/>
      <w:r w:rsidR="009F0F23">
        <w:rPr>
          <w:b/>
          <w:bCs/>
          <w:i/>
          <w:iCs/>
          <w:highlight w:val="yellow"/>
          <w:lang w:eastAsia="ko-KR"/>
        </w:rPr>
        <w:t>occurences</w:t>
      </w:r>
      <w:proofErr w:type="spellEnd"/>
      <w:r w:rsidR="009F0F23">
        <w:rPr>
          <w:b/>
          <w:bCs/>
          <w:i/>
          <w:iCs/>
          <w:highlight w:val="yellow"/>
          <w:lang w:eastAsia="ko-KR"/>
        </w:rPr>
        <w:t xml:space="preserve"> of the term </w:t>
      </w:r>
      <w:r w:rsidR="0028447B">
        <w:rPr>
          <w:b/>
          <w:bCs/>
          <w:i/>
          <w:iCs/>
          <w:highlight w:val="yellow"/>
          <w:lang w:eastAsia="ko-KR"/>
        </w:rPr>
        <w:t xml:space="preserve">to assist with the online presentation </w:t>
      </w:r>
      <w:r w:rsidR="009F0F23">
        <w:rPr>
          <w:b/>
          <w:bCs/>
          <w:i/>
          <w:iCs/>
          <w:highlight w:val="yellow"/>
          <w:lang w:eastAsia="ko-KR"/>
        </w:rPr>
        <w:t>and may be ignored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62F69691" w14:textId="0D10F769" w:rsidR="0018474C" w:rsidRDefault="0018474C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5EF02992" w14:textId="77777777" w:rsidR="00230FC9" w:rsidRDefault="00230FC9" w:rsidP="00E20BEE">
      <w:pPr>
        <w:autoSpaceDE w:val="0"/>
        <w:autoSpaceDN w:val="0"/>
        <w:adjustRightInd w:val="0"/>
        <w:jc w:val="both"/>
        <w:rPr>
          <w:bCs/>
          <w:iCs/>
          <w:lang w:eastAsia="ko-KR"/>
        </w:rPr>
      </w:pPr>
    </w:p>
    <w:p w14:paraId="153750B1" w14:textId="70C15D8F" w:rsidR="00E43927" w:rsidRDefault="003852AD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3852AD">
        <w:rPr>
          <w:b/>
          <w:bCs/>
          <w:iCs/>
          <w:lang w:val="en-US" w:eastAsia="ko-KR"/>
        </w:rPr>
        <w:t>10.36.11.4.3 SU-MIMO channel access procedure</w:t>
      </w:r>
    </w:p>
    <w:p w14:paraId="0DB8771D" w14:textId="28FA5872" w:rsid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4733CBD2" w14:textId="43708A18" w:rsidR="00E93AE5" w:rsidRP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E93AE5">
        <w:rPr>
          <w:bCs/>
          <w:iCs/>
          <w:lang w:val="en-US" w:eastAsia="ko-KR"/>
        </w:rPr>
        <w:t xml:space="preserve">An EDMG STA shall transmit a Grant frame with a control trailer to </w:t>
      </w:r>
      <w:r w:rsidR="00F46BDB">
        <w:rPr>
          <w:bCs/>
          <w:iCs/>
          <w:lang w:val="en-US" w:eastAsia="ko-KR"/>
        </w:rPr>
        <w:t>a peer EDMG STA to indicate the</w:t>
      </w:r>
      <w:r w:rsidRPr="00E93AE5">
        <w:rPr>
          <w:bCs/>
          <w:iCs/>
          <w:lang w:val="en-US" w:eastAsia="ko-KR"/>
        </w:rPr>
        <w:t xml:space="preserve"> intent to transmit a MIMO PPDU to the peer STA or announce the </w:t>
      </w:r>
      <w:r w:rsidR="00F46BDB">
        <w:rPr>
          <w:bCs/>
          <w:iCs/>
          <w:lang w:val="en-US" w:eastAsia="ko-KR"/>
        </w:rPr>
        <w:t xml:space="preserve">start of the </w:t>
      </w:r>
      <w:r w:rsidR="00F46BDB" w:rsidRPr="003D06C4">
        <w:rPr>
          <w:bCs/>
          <w:iCs/>
          <w:highlight w:val="yellow"/>
          <w:lang w:val="en-US" w:eastAsia="ko-KR"/>
        </w:rPr>
        <w:t>hybrid beamforming</w:t>
      </w:r>
      <w:r w:rsidRPr="003D06C4">
        <w:rPr>
          <w:bCs/>
          <w:iCs/>
          <w:highlight w:val="yellow"/>
          <w:lang w:val="en-US" w:eastAsia="ko-KR"/>
        </w:rPr>
        <w:t xml:space="preserve"> protocol</w:t>
      </w:r>
      <w:r w:rsidRPr="00E93AE5">
        <w:rPr>
          <w:bCs/>
          <w:iCs/>
          <w:lang w:val="en-US" w:eastAsia="ko-KR"/>
        </w:rPr>
        <w:t xml:space="preserve"> if the Grant Required field within the peer STA’s EDMG Capabiliti</w:t>
      </w:r>
      <w:r w:rsidR="00F46BDB">
        <w:rPr>
          <w:bCs/>
          <w:iCs/>
          <w:lang w:val="en-US" w:eastAsia="ko-KR"/>
        </w:rPr>
        <w:t>es element is one. Otherwise if</w:t>
      </w:r>
      <w:r w:rsidRPr="00E93AE5">
        <w:rPr>
          <w:bCs/>
          <w:iCs/>
          <w:lang w:val="en-US" w:eastAsia="ko-KR"/>
        </w:rPr>
        <w:t xml:space="preserve"> the Grant Required field within the peer STA’s EDMG Capabilities is zero, the STA may transmit a </w:t>
      </w:r>
      <w:r w:rsidR="00F46BDB" w:rsidRPr="00E93AE5">
        <w:rPr>
          <w:bCs/>
          <w:iCs/>
          <w:lang w:val="en-US" w:eastAsia="ko-KR"/>
        </w:rPr>
        <w:t>Grant frame</w:t>
      </w:r>
      <w:r w:rsidRPr="00E93AE5">
        <w:rPr>
          <w:bCs/>
          <w:iCs/>
          <w:lang w:val="en-US" w:eastAsia="ko-KR"/>
        </w:rPr>
        <w:t xml:space="preserve">.  </w:t>
      </w:r>
    </w:p>
    <w:p w14:paraId="271FE89B" w14:textId="0CBE304C" w:rsid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E93AE5">
        <w:rPr>
          <w:bCs/>
          <w:iCs/>
          <w:lang w:val="en-US" w:eastAsia="ko-KR"/>
        </w:rPr>
        <w:t>In the transmitted Grant frame, the value of the Allocation Duration field</w:t>
      </w:r>
      <w:r w:rsidR="00F46BDB">
        <w:rPr>
          <w:bCs/>
          <w:iCs/>
          <w:lang w:val="en-US" w:eastAsia="ko-KR"/>
        </w:rPr>
        <w:t xml:space="preserve"> plus the Duration field of the</w:t>
      </w:r>
      <w:r w:rsidRPr="00E93AE5">
        <w:rPr>
          <w:bCs/>
          <w:iCs/>
          <w:lang w:val="en-US" w:eastAsia="ko-KR"/>
        </w:rPr>
        <w:t xml:space="preserve"> Grant frame indicates the time offset from the PHY-</w:t>
      </w:r>
      <w:proofErr w:type="spellStart"/>
      <w:r w:rsidRPr="00E93AE5">
        <w:rPr>
          <w:bCs/>
          <w:iCs/>
          <w:lang w:val="en-US" w:eastAsia="ko-KR"/>
        </w:rPr>
        <w:t>TXEND.indication</w:t>
      </w:r>
      <w:proofErr w:type="spellEnd"/>
      <w:r w:rsidRPr="00E93AE5">
        <w:rPr>
          <w:bCs/>
          <w:iCs/>
          <w:lang w:val="en-US" w:eastAsia="ko-KR"/>
        </w:rPr>
        <w:t xml:space="preserve"> primitive of the Grant f</w:t>
      </w:r>
      <w:r w:rsidR="00F46BDB">
        <w:rPr>
          <w:bCs/>
          <w:iCs/>
          <w:lang w:val="en-US" w:eastAsia="ko-KR"/>
        </w:rPr>
        <w:t>rame</w:t>
      </w:r>
      <w:r w:rsidRPr="00E93AE5">
        <w:rPr>
          <w:bCs/>
          <w:iCs/>
          <w:lang w:val="en-US" w:eastAsia="ko-KR"/>
        </w:rPr>
        <w:t xml:space="preserve"> transmission when the EDMG STA intends to initiate access to the channel to </w:t>
      </w:r>
      <w:r w:rsidR="00F46BDB">
        <w:rPr>
          <w:bCs/>
          <w:iCs/>
          <w:lang w:val="en-US" w:eastAsia="ko-KR"/>
        </w:rPr>
        <w:t xml:space="preserve">transmit to or start the </w:t>
      </w:r>
      <w:r w:rsidR="00F46BDB" w:rsidRPr="003D06C4">
        <w:rPr>
          <w:bCs/>
          <w:iCs/>
          <w:highlight w:val="yellow"/>
          <w:lang w:val="en-US" w:eastAsia="ko-KR"/>
        </w:rPr>
        <w:t>hybrid</w:t>
      </w:r>
      <w:r w:rsidRPr="003D06C4">
        <w:rPr>
          <w:bCs/>
          <w:iCs/>
          <w:highlight w:val="yellow"/>
          <w:lang w:val="en-US" w:eastAsia="ko-KR"/>
        </w:rPr>
        <w:t xml:space="preserve"> beamforming protocol</w:t>
      </w:r>
      <w:r w:rsidRPr="00E93AE5">
        <w:rPr>
          <w:bCs/>
          <w:iCs/>
          <w:lang w:val="en-US" w:eastAsia="ko-KR"/>
        </w:rPr>
        <w:t xml:space="preserve"> with the peer EDMG STA. For the transm</w:t>
      </w:r>
      <w:r w:rsidR="00F46BDB">
        <w:rPr>
          <w:bCs/>
          <w:iCs/>
          <w:lang w:val="en-US" w:eastAsia="ko-KR"/>
        </w:rPr>
        <w:t>itted Grant frame, the TXVECTOR</w:t>
      </w:r>
      <w:r w:rsidRPr="00E93AE5">
        <w:rPr>
          <w:bCs/>
          <w:iCs/>
          <w:lang w:val="en-US" w:eastAsia="ko-KR"/>
        </w:rPr>
        <w:t xml:space="preserve"> parameter SCRAMBLER_INIT_SETTING shall be set to CO</w:t>
      </w:r>
      <w:r w:rsidR="00F46BDB">
        <w:rPr>
          <w:bCs/>
          <w:iCs/>
          <w:lang w:val="en-US" w:eastAsia="ko-KR"/>
        </w:rPr>
        <w:t>NTROL_TRAILER and the parameter</w:t>
      </w:r>
      <w:r w:rsidRPr="00E93AE5">
        <w:rPr>
          <w:bCs/>
          <w:iCs/>
          <w:lang w:val="en-US" w:eastAsia="ko-KR"/>
        </w:rPr>
        <w:t xml:space="preserve"> CT_TYPE shall be set to GRANT_RTS_CTS2Self. The SISO/MIMO field </w:t>
      </w:r>
      <w:r w:rsidR="00F46BDB">
        <w:rPr>
          <w:bCs/>
          <w:iCs/>
          <w:lang w:val="en-US" w:eastAsia="ko-KR"/>
        </w:rPr>
        <w:t>shall be set to 1 and the SU/MU</w:t>
      </w:r>
      <w:r w:rsidRPr="00E93AE5">
        <w:rPr>
          <w:bCs/>
          <w:iCs/>
          <w:lang w:val="en-US" w:eastAsia="ko-KR"/>
        </w:rPr>
        <w:t xml:space="preserve"> MIMO field shall be set to 0 to indicate that the following transm</w:t>
      </w:r>
      <w:r w:rsidR="00F46BDB">
        <w:rPr>
          <w:bCs/>
          <w:iCs/>
          <w:lang w:val="en-US" w:eastAsia="ko-KR"/>
        </w:rPr>
        <w:t>ission</w:t>
      </w:r>
      <w:r w:rsidR="003D06C4">
        <w:rPr>
          <w:bCs/>
          <w:iCs/>
          <w:lang w:val="en-US" w:eastAsia="ko-KR"/>
        </w:rPr>
        <w:t xml:space="preserve"> </w:t>
      </w:r>
      <w:r w:rsidR="003D06C4" w:rsidRPr="003852AD">
        <w:rPr>
          <w:bCs/>
          <w:iCs/>
          <w:color w:val="FF0000"/>
          <w:lang w:val="en-US" w:eastAsia="ko-KR"/>
        </w:rPr>
        <w:t xml:space="preserve">(see </w:t>
      </w:r>
      <w:r w:rsidR="003852AD" w:rsidRPr="003852AD">
        <w:rPr>
          <w:bCs/>
          <w:iCs/>
          <w:color w:val="FF0000"/>
          <w:lang w:val="en-US" w:eastAsia="ko-KR"/>
        </w:rPr>
        <w:t xml:space="preserve">SU-MIMO Beamforming </w:t>
      </w:r>
      <w:r w:rsidR="003852AD" w:rsidRPr="003852AD">
        <w:rPr>
          <w:color w:val="FF0000"/>
        </w:rPr>
        <w:t>10.38.9.2.2</w:t>
      </w:r>
      <w:r w:rsidR="003D06C4" w:rsidRPr="003852AD">
        <w:rPr>
          <w:color w:val="FF0000"/>
        </w:rPr>
        <w:t>)</w:t>
      </w:r>
      <w:r w:rsidR="003852AD" w:rsidRPr="003852AD">
        <w:rPr>
          <w:color w:val="FF0000"/>
        </w:rPr>
        <w:t xml:space="preserve"> (#1376)</w:t>
      </w:r>
      <w:r w:rsidR="00F46BDB" w:rsidRPr="003852AD">
        <w:rPr>
          <w:bCs/>
          <w:iCs/>
          <w:color w:val="FF0000"/>
          <w:lang w:val="en-US" w:eastAsia="ko-KR"/>
        </w:rPr>
        <w:t xml:space="preserve"> </w:t>
      </w:r>
      <w:r w:rsidR="00F46BDB">
        <w:rPr>
          <w:bCs/>
          <w:iCs/>
          <w:lang w:val="en-US" w:eastAsia="ko-KR"/>
        </w:rPr>
        <w:t xml:space="preserve">or </w:t>
      </w:r>
      <w:r w:rsidR="00F46BDB" w:rsidRPr="003D06C4">
        <w:rPr>
          <w:bCs/>
          <w:iCs/>
          <w:highlight w:val="yellow"/>
          <w:lang w:val="en-US" w:eastAsia="ko-KR"/>
        </w:rPr>
        <w:t>hybrid beamforming</w:t>
      </w:r>
      <w:r w:rsidR="00BE5725" w:rsidRPr="003D06C4">
        <w:rPr>
          <w:bCs/>
          <w:iCs/>
          <w:highlight w:val="yellow"/>
          <w:lang w:val="en-US" w:eastAsia="ko-KR"/>
        </w:rPr>
        <w:t xml:space="preserve"> </w:t>
      </w:r>
      <w:r w:rsidR="00BE5725" w:rsidRPr="003D06C4">
        <w:rPr>
          <w:bCs/>
          <w:iCs/>
          <w:color w:val="FF0000"/>
          <w:highlight w:val="yellow"/>
          <w:lang w:val="en-US" w:eastAsia="ko-KR"/>
        </w:rPr>
        <w:t>trainin</w:t>
      </w:r>
      <w:r w:rsidR="00BE5725" w:rsidRPr="003852AD">
        <w:rPr>
          <w:bCs/>
          <w:iCs/>
          <w:color w:val="FF0000"/>
          <w:highlight w:val="yellow"/>
          <w:lang w:val="en-US" w:eastAsia="ko-KR"/>
        </w:rPr>
        <w:t>g</w:t>
      </w:r>
      <w:r w:rsidR="003D06C4" w:rsidRPr="003852AD">
        <w:rPr>
          <w:bCs/>
          <w:iCs/>
          <w:color w:val="FF0000"/>
          <w:lang w:val="en-US" w:eastAsia="ko-KR"/>
        </w:rPr>
        <w:t xml:space="preserve"> (see</w:t>
      </w:r>
      <w:r w:rsidR="003852AD" w:rsidRPr="003852AD">
        <w:rPr>
          <w:bCs/>
          <w:iCs/>
          <w:color w:val="FF0000"/>
          <w:lang w:val="en-US" w:eastAsia="ko-KR"/>
        </w:rPr>
        <w:t xml:space="preserve"> Hybrid Beamformin</w:t>
      </w:r>
      <w:r w:rsidR="00C255B4">
        <w:rPr>
          <w:bCs/>
          <w:iCs/>
          <w:color w:val="FF0000"/>
          <w:lang w:val="en-US" w:eastAsia="ko-KR"/>
        </w:rPr>
        <w:t>g</w:t>
      </w:r>
      <w:r w:rsidR="003852AD" w:rsidRPr="003852AD">
        <w:rPr>
          <w:bCs/>
          <w:iCs/>
          <w:color w:val="FF0000"/>
          <w:lang w:val="en-US" w:eastAsia="ko-KR"/>
        </w:rPr>
        <w:t xml:space="preserve"> for SU-MIMO and MU-MIMO</w:t>
      </w:r>
      <w:r w:rsidR="003D06C4" w:rsidRPr="003852AD">
        <w:rPr>
          <w:bCs/>
          <w:iCs/>
          <w:color w:val="FF0000"/>
          <w:lang w:val="en-US" w:eastAsia="ko-KR"/>
        </w:rPr>
        <w:t xml:space="preserve"> </w:t>
      </w:r>
      <w:r w:rsidR="003D06C4" w:rsidRPr="003852AD">
        <w:rPr>
          <w:color w:val="FF0000"/>
        </w:rPr>
        <w:t>10.38.9.2.4)</w:t>
      </w:r>
      <w:r w:rsidR="00F46BDB" w:rsidRPr="003852AD">
        <w:rPr>
          <w:bCs/>
          <w:iCs/>
          <w:color w:val="FF0000"/>
          <w:lang w:val="en-US" w:eastAsia="ko-KR"/>
        </w:rPr>
        <w:t xml:space="preserve"> </w:t>
      </w:r>
      <w:r w:rsidR="003D06C4" w:rsidRPr="003852AD">
        <w:rPr>
          <w:bCs/>
          <w:iCs/>
          <w:color w:val="FF0000"/>
          <w:lang w:val="en-US" w:eastAsia="ko-KR"/>
        </w:rPr>
        <w:t>(#1376)</w:t>
      </w:r>
      <w:r w:rsidR="003D06C4" w:rsidRPr="003D06C4">
        <w:rPr>
          <w:bCs/>
          <w:iCs/>
          <w:color w:val="FF0000"/>
          <w:lang w:val="en-US" w:eastAsia="ko-KR"/>
        </w:rPr>
        <w:t xml:space="preserve"> </w:t>
      </w:r>
      <w:r w:rsidR="00F46BDB">
        <w:rPr>
          <w:bCs/>
          <w:iCs/>
          <w:lang w:val="en-US" w:eastAsia="ko-KR"/>
        </w:rPr>
        <w:t>is</w:t>
      </w:r>
      <w:r w:rsidRPr="00E93AE5">
        <w:rPr>
          <w:bCs/>
          <w:iCs/>
          <w:lang w:val="en-US" w:eastAsia="ko-KR"/>
        </w:rPr>
        <w:t xml:space="preserve"> performed in SU-MIMO. The control trailer also indicates the correspo</w:t>
      </w:r>
      <w:r w:rsidR="00F46BDB">
        <w:rPr>
          <w:bCs/>
          <w:iCs/>
          <w:lang w:val="en-US" w:eastAsia="ko-KR"/>
        </w:rPr>
        <w:t>nding DMG antenna configuration</w:t>
      </w:r>
      <w:r w:rsidRPr="00E93AE5">
        <w:rPr>
          <w:bCs/>
          <w:iCs/>
          <w:lang w:val="en-US" w:eastAsia="ko-KR"/>
        </w:rPr>
        <w:t xml:space="preserve"> for the upcoming SU-MIMO transmission or </w:t>
      </w:r>
      <w:r w:rsidRPr="003D06C4">
        <w:rPr>
          <w:bCs/>
          <w:iCs/>
          <w:highlight w:val="yellow"/>
          <w:lang w:val="en-US" w:eastAsia="ko-KR"/>
        </w:rPr>
        <w:t>hybrid beamforming</w:t>
      </w:r>
      <w:r w:rsidR="00BE5725" w:rsidRPr="003D06C4">
        <w:rPr>
          <w:bCs/>
          <w:iCs/>
          <w:highlight w:val="yellow"/>
          <w:lang w:val="en-US" w:eastAsia="ko-KR"/>
        </w:rPr>
        <w:t xml:space="preserve"> </w:t>
      </w:r>
      <w:r w:rsidR="00BE5725" w:rsidRPr="003852AD">
        <w:rPr>
          <w:bCs/>
          <w:iCs/>
          <w:color w:val="FF0000"/>
          <w:highlight w:val="yellow"/>
          <w:lang w:val="en-US" w:eastAsia="ko-KR"/>
        </w:rPr>
        <w:t>training</w:t>
      </w:r>
      <w:r w:rsidR="003D06C4" w:rsidRPr="003852AD">
        <w:rPr>
          <w:bCs/>
          <w:iCs/>
          <w:color w:val="FF0000"/>
          <w:lang w:val="en-US" w:eastAsia="ko-KR"/>
        </w:rPr>
        <w:t xml:space="preserve"> (#1376)</w:t>
      </w:r>
      <w:r w:rsidRPr="003852AD">
        <w:rPr>
          <w:bCs/>
          <w:iCs/>
          <w:color w:val="FF0000"/>
          <w:lang w:val="en-US" w:eastAsia="ko-KR"/>
        </w:rPr>
        <w:t>.</w:t>
      </w:r>
    </w:p>
    <w:p w14:paraId="7995FB57" w14:textId="4F2933E1" w:rsid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7AB82397" w14:textId="25CA442C" w:rsid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70D12571" w14:textId="63AA5F8F" w:rsidR="00E93AE5" w:rsidRDefault="00F46BDB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F46BDB">
        <w:rPr>
          <w:bCs/>
          <w:iCs/>
          <w:lang w:val="en-US" w:eastAsia="ko-KR"/>
        </w:rPr>
        <w:t>If an EDMG STA that receives a Grant frame with a control trailer indicating a</w:t>
      </w:r>
      <w:r w:rsidR="009F0F23" w:rsidRPr="007A66B1">
        <w:rPr>
          <w:bCs/>
          <w:iCs/>
          <w:color w:val="FF0000"/>
          <w:lang w:val="en-US" w:eastAsia="ko-KR"/>
        </w:rPr>
        <w:t>n</w:t>
      </w:r>
      <w:r w:rsidRPr="00F46BDB">
        <w:rPr>
          <w:bCs/>
          <w:iCs/>
          <w:lang w:val="en-US" w:eastAsia="ko-KR"/>
        </w:rPr>
        <w:t xml:space="preserve"> SU-MIMO transmission or  </w:t>
      </w:r>
      <w:r w:rsidR="006379A9" w:rsidRPr="009F0F23">
        <w:rPr>
          <w:bCs/>
          <w:iCs/>
          <w:color w:val="FF0000"/>
          <w:lang w:val="en-US" w:eastAsia="ko-KR"/>
        </w:rPr>
        <w:t xml:space="preserve">a </w:t>
      </w:r>
      <w:r w:rsidRPr="003D06C4">
        <w:rPr>
          <w:bCs/>
          <w:iCs/>
          <w:highlight w:val="yellow"/>
          <w:lang w:val="en-US" w:eastAsia="ko-KR"/>
        </w:rPr>
        <w:t>hybrid beamforming announcement</w:t>
      </w:r>
      <w:r w:rsidRPr="00F46BDB">
        <w:rPr>
          <w:bCs/>
          <w:iCs/>
          <w:lang w:val="en-US" w:eastAsia="ko-KR"/>
        </w:rPr>
        <w:t xml:space="preserve"> to itself is able to perform, respectively, the SU-MIMO reception or  </w:t>
      </w:r>
      <w:r w:rsidRPr="003D06C4">
        <w:rPr>
          <w:bCs/>
          <w:iCs/>
          <w:highlight w:val="yellow"/>
          <w:lang w:val="en-US" w:eastAsia="ko-KR"/>
        </w:rPr>
        <w:t>hybrid beamforming</w:t>
      </w:r>
      <w:r w:rsidR="00E53AB6" w:rsidRPr="003D06C4">
        <w:rPr>
          <w:bCs/>
          <w:iCs/>
          <w:highlight w:val="yellow"/>
          <w:lang w:val="en-US" w:eastAsia="ko-KR"/>
        </w:rPr>
        <w:t xml:space="preserve"> </w:t>
      </w:r>
      <w:r w:rsidR="00E53AB6" w:rsidRPr="003852AD">
        <w:rPr>
          <w:bCs/>
          <w:iCs/>
          <w:color w:val="FF0000"/>
          <w:highlight w:val="yellow"/>
          <w:lang w:val="en-US" w:eastAsia="ko-KR"/>
        </w:rPr>
        <w:t>training</w:t>
      </w:r>
      <w:r w:rsidR="003D06C4" w:rsidRPr="003852AD">
        <w:rPr>
          <w:bCs/>
          <w:iCs/>
          <w:color w:val="FF0000"/>
          <w:lang w:val="en-US" w:eastAsia="ko-KR"/>
        </w:rPr>
        <w:t xml:space="preserve"> (#1376)</w:t>
      </w:r>
      <w:r w:rsidRPr="003852AD">
        <w:rPr>
          <w:bCs/>
          <w:iCs/>
          <w:color w:val="FF0000"/>
          <w:lang w:val="en-US" w:eastAsia="ko-KR"/>
        </w:rPr>
        <w:t xml:space="preserve"> </w:t>
      </w:r>
      <w:r w:rsidRPr="00F46BDB">
        <w:rPr>
          <w:bCs/>
          <w:iCs/>
          <w:lang w:val="en-US" w:eastAsia="ko-KR"/>
        </w:rPr>
        <w:t>at the target time indicated by the Grant frame, the STA shall configure its DMG  antennas according to the settings included in the control trailer of the received Grant frame within a time  period determined by the value of the Allocation Duration field plus the value of the Duration field of the  received Grant frame starting from the PHY-</w:t>
      </w:r>
      <w:proofErr w:type="spellStart"/>
      <w:r w:rsidRPr="00F46BDB">
        <w:rPr>
          <w:bCs/>
          <w:iCs/>
          <w:lang w:val="en-US" w:eastAsia="ko-KR"/>
        </w:rPr>
        <w:t>TXEND.indication</w:t>
      </w:r>
      <w:proofErr w:type="spellEnd"/>
      <w:r w:rsidRPr="00F46BDB">
        <w:rPr>
          <w:bCs/>
          <w:iCs/>
          <w:lang w:val="en-US" w:eastAsia="ko-KR"/>
        </w:rPr>
        <w:t xml:space="preserve"> primitive of the Grant frame transmission.  The STA shall transmit a Grant Ack frame in response of the received Grant frame. For this </w:t>
      </w:r>
      <w:r w:rsidR="00BE5725" w:rsidRPr="00F46BDB">
        <w:rPr>
          <w:bCs/>
          <w:iCs/>
          <w:lang w:val="en-US" w:eastAsia="ko-KR"/>
        </w:rPr>
        <w:t>transmitted Grant</w:t>
      </w:r>
      <w:r w:rsidRPr="00F46BDB">
        <w:rPr>
          <w:bCs/>
          <w:iCs/>
          <w:lang w:val="en-US" w:eastAsia="ko-KR"/>
        </w:rPr>
        <w:t xml:space="preserve"> Ack frame, the TXVECTOR parameter SCRAMBLER_INIT_SETTING shall be set </w:t>
      </w:r>
      <w:r w:rsidR="00BE5725" w:rsidRPr="00F46BDB">
        <w:rPr>
          <w:bCs/>
          <w:iCs/>
          <w:lang w:val="en-US" w:eastAsia="ko-KR"/>
        </w:rPr>
        <w:t>to CONTROL</w:t>
      </w:r>
      <w:r w:rsidRPr="00F46BDB">
        <w:rPr>
          <w:bCs/>
          <w:iCs/>
          <w:lang w:val="en-US" w:eastAsia="ko-KR"/>
        </w:rPr>
        <w:t xml:space="preserve">_TRAILER and the parameter CT_TYPE shall be set to GRANT_RTS_CTS2Self. If it </w:t>
      </w:r>
      <w:r w:rsidR="00BE5725" w:rsidRPr="00F46BDB">
        <w:rPr>
          <w:bCs/>
          <w:iCs/>
          <w:lang w:val="en-US" w:eastAsia="ko-KR"/>
        </w:rPr>
        <w:t>uses SU</w:t>
      </w:r>
      <w:r w:rsidRPr="00F46BDB">
        <w:rPr>
          <w:bCs/>
          <w:iCs/>
          <w:lang w:val="en-US" w:eastAsia="ko-KR"/>
        </w:rPr>
        <w:t xml:space="preserve">-MIMO for the transmission of the reverse direction or desires to announce the </w:t>
      </w:r>
      <w:r w:rsidRPr="003D06C4">
        <w:rPr>
          <w:bCs/>
          <w:iCs/>
          <w:highlight w:val="yellow"/>
          <w:lang w:val="en-US" w:eastAsia="ko-KR"/>
        </w:rPr>
        <w:t xml:space="preserve">hybrid </w:t>
      </w:r>
      <w:r w:rsidR="00BE5725" w:rsidRPr="003D06C4">
        <w:rPr>
          <w:bCs/>
          <w:iCs/>
          <w:highlight w:val="yellow"/>
          <w:lang w:val="en-US" w:eastAsia="ko-KR"/>
        </w:rPr>
        <w:t>beamforming protocol</w:t>
      </w:r>
      <w:r w:rsidRPr="00F46BDB">
        <w:rPr>
          <w:bCs/>
          <w:iCs/>
          <w:lang w:val="en-US" w:eastAsia="ko-KR"/>
        </w:rPr>
        <w:t xml:space="preserve"> in the reverse direction, the SISO/MIMO field shall be set to 1 and the SU/MU MIMO field </w:t>
      </w:r>
      <w:r w:rsidR="00BE5725" w:rsidRPr="00F46BDB">
        <w:rPr>
          <w:bCs/>
          <w:iCs/>
          <w:lang w:val="en-US" w:eastAsia="ko-KR"/>
        </w:rPr>
        <w:t>shall be</w:t>
      </w:r>
      <w:r w:rsidRPr="00F46BDB">
        <w:rPr>
          <w:bCs/>
          <w:iCs/>
          <w:lang w:val="en-US" w:eastAsia="ko-KR"/>
        </w:rPr>
        <w:t xml:space="preserve"> set to 0. The control trailer also indicates the corresponding DMG antenna configuration for </w:t>
      </w:r>
      <w:r w:rsidR="00BE5725" w:rsidRPr="00F46BDB">
        <w:rPr>
          <w:bCs/>
          <w:iCs/>
          <w:lang w:val="en-US" w:eastAsia="ko-KR"/>
        </w:rPr>
        <w:t>the upcoming</w:t>
      </w:r>
      <w:r w:rsidRPr="00F46BDB">
        <w:rPr>
          <w:bCs/>
          <w:iCs/>
          <w:lang w:val="en-US" w:eastAsia="ko-KR"/>
        </w:rPr>
        <w:t xml:space="preserve"> SU-MIMO transmission in the reverse direction. If the STA intends to use SISO for </w:t>
      </w:r>
      <w:r w:rsidR="00BE5725" w:rsidRPr="00F46BDB">
        <w:rPr>
          <w:bCs/>
          <w:iCs/>
          <w:lang w:val="en-US" w:eastAsia="ko-KR"/>
        </w:rPr>
        <w:t>the transmission</w:t>
      </w:r>
      <w:r w:rsidRPr="00F46BDB">
        <w:rPr>
          <w:bCs/>
          <w:iCs/>
          <w:lang w:val="en-US" w:eastAsia="ko-KR"/>
        </w:rPr>
        <w:t xml:space="preserve"> in the reverse direction, the SISO/MIMO field shall be set to 0.</w:t>
      </w:r>
    </w:p>
    <w:p w14:paraId="316D0BFB" w14:textId="48D82DA0" w:rsidR="00F46BDB" w:rsidRDefault="00F46BDB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285B203A" w14:textId="77777777" w:rsidR="00230FC9" w:rsidRDefault="00230FC9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1247A56C" w14:textId="2494FB5E" w:rsidR="00F46BDB" w:rsidRDefault="00F46BDB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F46BDB">
        <w:rPr>
          <w:bCs/>
          <w:iCs/>
          <w:lang w:val="en-US" w:eastAsia="ko-KR"/>
        </w:rPr>
        <w:t xml:space="preserve">An EDMG STA shall transmit an RTS frame with a control trailer to a peer EDMG STA to access the channel and establish a SU-MIMO TXOP or announce the start of the </w:t>
      </w:r>
      <w:r w:rsidRPr="00F86584">
        <w:rPr>
          <w:bCs/>
          <w:iCs/>
          <w:highlight w:val="yellow"/>
          <w:lang w:val="en-US" w:eastAsia="ko-KR"/>
        </w:rPr>
        <w:t>hybrid beamforming protocol</w:t>
      </w:r>
      <w:r w:rsidRPr="00F46BDB">
        <w:rPr>
          <w:bCs/>
          <w:iCs/>
          <w:lang w:val="en-US" w:eastAsia="ko-KR"/>
        </w:rPr>
        <w:t>. This RTS frame should be transmitted using all SU-MIMO sectors</w:t>
      </w:r>
      <w:r w:rsidR="00960A27" w:rsidRPr="00960A27">
        <w:rPr>
          <w:bCs/>
          <w:iCs/>
          <w:color w:val="FF0000"/>
          <w:lang w:val="en-US" w:eastAsia="ko-KR"/>
        </w:rPr>
        <w:t xml:space="preserve"> </w:t>
      </w:r>
      <w:r w:rsidR="00960A27" w:rsidRPr="00877DBD">
        <w:rPr>
          <w:bCs/>
          <w:iCs/>
          <w:color w:val="FF0000"/>
          <w:lang w:val="en-US" w:eastAsia="ko-KR"/>
        </w:rPr>
        <w:t xml:space="preserve">using CSD </w:t>
      </w:r>
      <w:r w:rsidR="00960A27" w:rsidRPr="00877DBD">
        <w:rPr>
          <w:bCs/>
          <w:iCs/>
          <w:color w:val="FF0000"/>
          <w:lang w:eastAsia="ko-KR"/>
        </w:rPr>
        <w:t>(see 30.4 EDMG Control Mode).</w:t>
      </w:r>
      <w:r w:rsidR="00960A27" w:rsidRPr="00960A27">
        <w:rPr>
          <w:bCs/>
          <w:iCs/>
          <w:strike/>
          <w:color w:val="FF0000"/>
          <w:lang w:eastAsia="ko-KR"/>
        </w:rPr>
        <w:t>,</w:t>
      </w:r>
      <w:r w:rsidRPr="00960A27">
        <w:rPr>
          <w:bCs/>
          <w:iCs/>
          <w:strike/>
          <w:color w:val="FF0000"/>
          <w:lang w:val="en-US" w:eastAsia="ko-KR"/>
        </w:rPr>
        <w:t xml:space="preserve"> with a small delay between each sector</w:t>
      </w:r>
      <w:r w:rsidR="00D2189C">
        <w:rPr>
          <w:bCs/>
          <w:iCs/>
          <w:strike/>
          <w:color w:val="FF0000"/>
          <w:lang w:val="en-US" w:eastAsia="ko-KR"/>
        </w:rPr>
        <w:t xml:space="preserve"> </w:t>
      </w:r>
      <w:r w:rsidR="00D2189C" w:rsidRPr="00D2189C">
        <w:rPr>
          <w:bCs/>
          <w:iCs/>
          <w:color w:val="FF0000"/>
          <w:lang w:val="en-US" w:eastAsia="ko-KR"/>
        </w:rPr>
        <w:t>(#1897)</w:t>
      </w:r>
      <w:r w:rsidRPr="00D2189C">
        <w:rPr>
          <w:bCs/>
          <w:iCs/>
          <w:color w:val="FF0000"/>
          <w:lang w:val="en-US" w:eastAsia="ko-KR"/>
        </w:rPr>
        <w:t>.</w:t>
      </w:r>
      <w:r w:rsidRPr="00F46BDB">
        <w:rPr>
          <w:bCs/>
          <w:iCs/>
          <w:lang w:val="en-US" w:eastAsia="ko-KR"/>
        </w:rPr>
        <w:t xml:space="preserve"> For the transmitted RTS frame, the TXVECTOR </w:t>
      </w:r>
      <w:r w:rsidRPr="00F46BDB">
        <w:rPr>
          <w:bCs/>
          <w:iCs/>
          <w:lang w:val="en-US" w:eastAsia="ko-KR"/>
        </w:rPr>
        <w:lastRenderedPageBreak/>
        <w:t xml:space="preserve">parameter SCRAMBLER_INIT_SETTING shall be set to CONTROL_TRAILER and the parameter CT_TYPE shall be set to GRANT_RTS_CTS2Self. The SISO/MIMO field shall be set to 1 and the SU/MU MIMO field shall be set to 0 to indicate that the following transmission or </w:t>
      </w:r>
      <w:r w:rsidRPr="003D06C4">
        <w:rPr>
          <w:bCs/>
          <w:iCs/>
          <w:highlight w:val="yellow"/>
          <w:lang w:val="en-US" w:eastAsia="ko-KR"/>
        </w:rPr>
        <w:t xml:space="preserve">hybrid beamforming </w:t>
      </w:r>
      <w:r w:rsidR="00550483" w:rsidRPr="003852AD">
        <w:rPr>
          <w:bCs/>
          <w:iCs/>
          <w:color w:val="FF0000"/>
          <w:highlight w:val="yellow"/>
          <w:lang w:val="en-US" w:eastAsia="ko-KR"/>
        </w:rPr>
        <w:t>training</w:t>
      </w:r>
      <w:r w:rsidR="003D06C4" w:rsidRPr="003852AD">
        <w:rPr>
          <w:bCs/>
          <w:iCs/>
          <w:color w:val="FF0000"/>
          <w:lang w:val="en-US" w:eastAsia="ko-KR"/>
        </w:rPr>
        <w:t xml:space="preserve"> (#1376)</w:t>
      </w:r>
      <w:r w:rsidR="00550483" w:rsidRPr="003852AD">
        <w:rPr>
          <w:bCs/>
          <w:iCs/>
          <w:color w:val="FF0000"/>
          <w:lang w:val="en-US" w:eastAsia="ko-KR"/>
        </w:rPr>
        <w:t xml:space="preserve"> </w:t>
      </w:r>
      <w:r w:rsidRPr="00F46BDB">
        <w:rPr>
          <w:bCs/>
          <w:iCs/>
          <w:lang w:val="en-US" w:eastAsia="ko-KR"/>
        </w:rPr>
        <w:t>is performed in SU-MIMO. The control trailer also</w:t>
      </w:r>
      <w:r>
        <w:rPr>
          <w:bCs/>
          <w:iCs/>
          <w:lang w:val="en-US" w:eastAsia="ko-KR"/>
        </w:rPr>
        <w:t xml:space="preserve"> </w:t>
      </w:r>
      <w:r w:rsidRPr="00F46BDB">
        <w:rPr>
          <w:bCs/>
          <w:iCs/>
          <w:lang w:val="en-US" w:eastAsia="ko-KR"/>
        </w:rPr>
        <w:t xml:space="preserve">indicates the corresponding DMG antenna configuration for the upcoming SU-MIMO transmission </w:t>
      </w:r>
      <w:r w:rsidR="003852AD" w:rsidRPr="00F46BDB">
        <w:rPr>
          <w:bCs/>
          <w:iCs/>
          <w:lang w:val="en-US" w:eastAsia="ko-KR"/>
        </w:rPr>
        <w:t xml:space="preserve">or </w:t>
      </w:r>
      <w:r w:rsidR="003852AD" w:rsidRPr="003852AD">
        <w:rPr>
          <w:bCs/>
          <w:iCs/>
          <w:highlight w:val="yellow"/>
          <w:lang w:val="en-US" w:eastAsia="ko-KR"/>
        </w:rPr>
        <w:t>hybrid</w:t>
      </w:r>
      <w:r w:rsidRPr="003852AD">
        <w:rPr>
          <w:bCs/>
          <w:iCs/>
          <w:highlight w:val="yellow"/>
          <w:lang w:val="en-US" w:eastAsia="ko-KR"/>
        </w:rPr>
        <w:t xml:space="preserve"> beamforming</w:t>
      </w:r>
      <w:r w:rsidR="00550483" w:rsidRPr="003852AD">
        <w:rPr>
          <w:bCs/>
          <w:iCs/>
          <w:highlight w:val="yellow"/>
          <w:lang w:val="en-US" w:eastAsia="ko-KR"/>
        </w:rPr>
        <w:t xml:space="preserve"> </w:t>
      </w:r>
      <w:r w:rsidR="00550483" w:rsidRPr="003D06C4">
        <w:rPr>
          <w:bCs/>
          <w:iCs/>
          <w:color w:val="FF0000"/>
          <w:highlight w:val="yellow"/>
          <w:lang w:val="en-US" w:eastAsia="ko-KR"/>
        </w:rPr>
        <w:t>training</w:t>
      </w:r>
      <w:r w:rsidR="003D06C4">
        <w:rPr>
          <w:bCs/>
          <w:iCs/>
          <w:color w:val="FF0000"/>
          <w:lang w:val="en-US" w:eastAsia="ko-KR"/>
        </w:rPr>
        <w:t xml:space="preserve"> (#1376)</w:t>
      </w:r>
      <w:r w:rsidRPr="00F46BDB">
        <w:rPr>
          <w:bCs/>
          <w:iCs/>
          <w:lang w:val="en-US" w:eastAsia="ko-KR"/>
        </w:rPr>
        <w:t>.</w:t>
      </w:r>
    </w:p>
    <w:p w14:paraId="67BF54EF" w14:textId="1F7710B3" w:rsidR="00550483" w:rsidRDefault="00550483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35C873CD" w14:textId="77777777" w:rsidR="00230FC9" w:rsidRPr="00F46BDB" w:rsidRDefault="00230FC9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3E3ACAC4" w14:textId="2E18A692" w:rsidR="00F46BDB" w:rsidRDefault="00F46BDB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F46BDB">
        <w:rPr>
          <w:bCs/>
          <w:iCs/>
          <w:lang w:val="en-US" w:eastAsia="ko-KR"/>
        </w:rPr>
        <w:t>If an EDMG STA that receives an RTS frame with a control trailer indicating a</w:t>
      </w:r>
      <w:r w:rsidR="009F0F23" w:rsidRPr="007A66B1">
        <w:rPr>
          <w:bCs/>
          <w:iCs/>
          <w:color w:val="FF0000"/>
          <w:lang w:val="en-US" w:eastAsia="ko-KR"/>
        </w:rPr>
        <w:t>n</w:t>
      </w:r>
      <w:r w:rsidRPr="00F46BDB">
        <w:rPr>
          <w:bCs/>
          <w:iCs/>
          <w:lang w:val="en-US" w:eastAsia="ko-KR"/>
        </w:rPr>
        <w:t xml:space="preserve"> SU-MIMO transmission or</w:t>
      </w:r>
      <w:r w:rsidR="006379A9">
        <w:rPr>
          <w:bCs/>
          <w:iCs/>
          <w:lang w:val="en-US" w:eastAsia="ko-KR"/>
        </w:rPr>
        <w:t xml:space="preserve"> </w:t>
      </w:r>
      <w:r w:rsidR="006379A9" w:rsidRPr="00D2189C">
        <w:rPr>
          <w:bCs/>
          <w:iCs/>
          <w:color w:val="FF0000"/>
          <w:highlight w:val="yellow"/>
          <w:lang w:val="en-US" w:eastAsia="ko-KR"/>
        </w:rPr>
        <w:t>a</w:t>
      </w:r>
      <w:r w:rsidRPr="00D2189C">
        <w:rPr>
          <w:bCs/>
          <w:iCs/>
          <w:color w:val="FF0000"/>
          <w:highlight w:val="yellow"/>
          <w:lang w:val="en-US" w:eastAsia="ko-KR"/>
        </w:rPr>
        <w:t xml:space="preserve"> hybrid beamforming</w:t>
      </w:r>
      <w:r w:rsidR="00550483" w:rsidRPr="00D2189C">
        <w:rPr>
          <w:bCs/>
          <w:iCs/>
          <w:color w:val="FF0000"/>
          <w:highlight w:val="yellow"/>
          <w:lang w:val="en-US" w:eastAsia="ko-KR"/>
        </w:rPr>
        <w:t xml:space="preserve"> announcement</w:t>
      </w:r>
      <w:r w:rsidRPr="00D2189C">
        <w:rPr>
          <w:bCs/>
          <w:iCs/>
          <w:color w:val="FF0000"/>
          <w:highlight w:val="yellow"/>
          <w:lang w:val="en-US" w:eastAsia="ko-KR"/>
        </w:rPr>
        <w:t xml:space="preserve"> </w:t>
      </w:r>
      <w:r w:rsidR="003852AD" w:rsidRPr="00D2189C">
        <w:rPr>
          <w:bCs/>
          <w:iCs/>
          <w:color w:val="FF0000"/>
          <w:highlight w:val="yellow"/>
          <w:lang w:val="en-US" w:eastAsia="ko-KR"/>
        </w:rPr>
        <w:t>(#1376</w:t>
      </w:r>
      <w:r w:rsidR="003852AD" w:rsidRPr="003852AD">
        <w:rPr>
          <w:bCs/>
          <w:iCs/>
          <w:color w:val="FF0000"/>
          <w:lang w:val="en-US" w:eastAsia="ko-KR"/>
        </w:rPr>
        <w:t xml:space="preserve">) </w:t>
      </w:r>
      <w:r w:rsidRPr="00F46BDB">
        <w:rPr>
          <w:bCs/>
          <w:iCs/>
          <w:lang w:val="en-US" w:eastAsia="ko-KR"/>
        </w:rPr>
        <w:t xml:space="preserve">to itself is able to perform the SU-MIMO </w:t>
      </w:r>
      <w:r w:rsidR="00D2189C">
        <w:rPr>
          <w:bCs/>
          <w:iCs/>
          <w:color w:val="FF0000"/>
          <w:lang w:val="en-US" w:eastAsia="ko-KR"/>
        </w:rPr>
        <w:t>reception</w:t>
      </w:r>
      <w:r w:rsidR="003852AD" w:rsidRPr="003852AD">
        <w:rPr>
          <w:bCs/>
          <w:iCs/>
          <w:color w:val="FF0000"/>
          <w:lang w:val="en-US" w:eastAsia="ko-KR"/>
        </w:rPr>
        <w:t xml:space="preserve"> or hybrid</w:t>
      </w:r>
      <w:r w:rsidR="003852AD" w:rsidRPr="007A66B1">
        <w:rPr>
          <w:bCs/>
          <w:iCs/>
          <w:color w:val="FF0000"/>
          <w:lang w:val="en-US" w:eastAsia="ko-KR"/>
        </w:rPr>
        <w:t xml:space="preserve"> beamforming training</w:t>
      </w:r>
      <w:r w:rsidR="003852AD" w:rsidRPr="003852AD">
        <w:rPr>
          <w:bCs/>
          <w:iCs/>
          <w:color w:val="FF0000"/>
          <w:lang w:val="en-US" w:eastAsia="ko-KR"/>
        </w:rPr>
        <w:t xml:space="preserve"> (#1376)</w:t>
      </w:r>
      <w:r w:rsidRPr="003852AD">
        <w:rPr>
          <w:bCs/>
          <w:iCs/>
          <w:color w:val="FF0000"/>
          <w:lang w:val="en-US" w:eastAsia="ko-KR"/>
        </w:rPr>
        <w:t xml:space="preserve">, </w:t>
      </w:r>
      <w:r w:rsidRPr="00F46BDB">
        <w:rPr>
          <w:bCs/>
          <w:iCs/>
          <w:lang w:val="en-US" w:eastAsia="ko-KR"/>
        </w:rPr>
        <w:t>it shall configure its DMG antennas according to the settings included in the control trailer of the received RTS frame. It shall also transmit a DMG CTS frame with a control trailer in response of the received RTS frame. For this transmitted DMG CTS frame, the TXVECTOR parameter SCRAMBLER_INIT_SETTING shall be set to CONTROL_TRAILER and the parameter CT_TYPE shall be set to CTS_DTS. If it uses SU-MIMO for the transmission in the reverse direction, the SISO/MIMO field shall be set to 1 and the SU/MU MIMO field shall be set to 0. The DMG CTS frame should be transmitted using all SU-MIMO sectors</w:t>
      </w:r>
      <w:r w:rsidR="00D2189C">
        <w:rPr>
          <w:bCs/>
          <w:iCs/>
          <w:lang w:val="en-US" w:eastAsia="ko-KR"/>
        </w:rPr>
        <w:t xml:space="preserve"> </w:t>
      </w:r>
      <w:r w:rsidR="00D2189C" w:rsidRPr="00877DBD">
        <w:rPr>
          <w:bCs/>
          <w:iCs/>
          <w:color w:val="FF0000"/>
          <w:lang w:val="en-US" w:eastAsia="ko-KR"/>
        </w:rPr>
        <w:t xml:space="preserve">using CSD </w:t>
      </w:r>
      <w:r w:rsidR="00D2189C" w:rsidRPr="00877DBD">
        <w:rPr>
          <w:bCs/>
          <w:iCs/>
          <w:color w:val="FF0000"/>
          <w:lang w:eastAsia="ko-KR"/>
        </w:rPr>
        <w:t>(see 30.4 EDMG Control Mode</w:t>
      </w:r>
      <w:r w:rsidRPr="00D2189C">
        <w:rPr>
          <w:bCs/>
          <w:iCs/>
          <w:strike/>
          <w:color w:val="FF0000"/>
          <w:lang w:val="en-US" w:eastAsia="ko-KR"/>
        </w:rPr>
        <w:t>, with a small delay between each sector</w:t>
      </w:r>
      <w:r w:rsidR="00D2189C">
        <w:rPr>
          <w:bCs/>
          <w:iCs/>
          <w:strike/>
          <w:color w:val="FF0000"/>
          <w:lang w:val="en-US" w:eastAsia="ko-KR"/>
        </w:rPr>
        <w:t xml:space="preserve"> </w:t>
      </w:r>
      <w:r w:rsidR="00D2189C" w:rsidRPr="00D2189C">
        <w:rPr>
          <w:bCs/>
          <w:iCs/>
          <w:color w:val="FF0000"/>
          <w:lang w:val="en-US" w:eastAsia="ko-KR"/>
        </w:rPr>
        <w:t>(#1897).</w:t>
      </w:r>
      <w:r w:rsidRPr="00F46BDB">
        <w:rPr>
          <w:bCs/>
          <w:iCs/>
          <w:lang w:val="en-US" w:eastAsia="ko-KR"/>
        </w:rPr>
        <w:t xml:space="preserve"> The control trailer also indicates the corresponding DMG antenna configuration for the upcoming SU-MIMO transmission </w:t>
      </w:r>
      <w:r w:rsidR="00C132D1" w:rsidRPr="00D2189C">
        <w:rPr>
          <w:bCs/>
          <w:iCs/>
          <w:color w:val="FF0000"/>
          <w:highlight w:val="yellow"/>
          <w:lang w:val="en-US" w:eastAsia="ko-KR"/>
        </w:rPr>
        <w:t xml:space="preserve">or hybrid beamforming </w:t>
      </w:r>
      <w:r w:rsidR="00C132D1" w:rsidRPr="00C132D1">
        <w:rPr>
          <w:bCs/>
          <w:iCs/>
          <w:color w:val="FF0000"/>
          <w:highlight w:val="yellow"/>
          <w:lang w:val="en-US" w:eastAsia="ko-KR"/>
        </w:rPr>
        <w:t>training</w:t>
      </w:r>
      <w:r w:rsidR="00C132D1" w:rsidRPr="00C132D1">
        <w:rPr>
          <w:bCs/>
          <w:iCs/>
          <w:color w:val="FF0000"/>
          <w:lang w:val="en-US" w:eastAsia="ko-KR"/>
        </w:rPr>
        <w:t xml:space="preserve"> (#1376)</w:t>
      </w:r>
      <w:r w:rsidR="00C132D1" w:rsidRPr="003852AD">
        <w:rPr>
          <w:bCs/>
          <w:iCs/>
          <w:color w:val="FF0000"/>
          <w:lang w:val="en-US" w:eastAsia="ko-KR"/>
        </w:rPr>
        <w:t xml:space="preserve"> </w:t>
      </w:r>
      <w:r w:rsidRPr="00F46BDB">
        <w:rPr>
          <w:bCs/>
          <w:iCs/>
          <w:lang w:val="en-US" w:eastAsia="ko-KR"/>
        </w:rPr>
        <w:t xml:space="preserve">in the reverse direction. If it uses SISO for the transmission of the reverse direction, the SISO/MIMO field shall be set to 0. The DMG CTS frame should be sent using the SISO sector. Alternatively, if the EDMG STA is not able to perform the SU-MIMO transmission, it may transmit a DMG DTS frame with a control trailer to the TXOP initiator to provide further information. </w:t>
      </w:r>
      <w:r w:rsidR="003D06C4" w:rsidRPr="00F46BDB">
        <w:rPr>
          <w:bCs/>
          <w:iCs/>
          <w:lang w:val="en-US" w:eastAsia="ko-KR"/>
        </w:rPr>
        <w:t>The DMG</w:t>
      </w:r>
      <w:r w:rsidRPr="00F46BDB">
        <w:rPr>
          <w:bCs/>
          <w:iCs/>
          <w:lang w:val="en-US" w:eastAsia="ko-KR"/>
        </w:rPr>
        <w:t xml:space="preserve"> DTS frame should be sent using a SISO transmission.</w:t>
      </w:r>
    </w:p>
    <w:p w14:paraId="29120164" w14:textId="77777777" w:rsidR="00E93AE5" w:rsidRDefault="00E93AE5" w:rsidP="00E93AE5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352904D2" w14:textId="061B08DC" w:rsidR="00230FC9" w:rsidRDefault="00230FC9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bookmarkStart w:id="0" w:name="_GoBack"/>
      <w:bookmarkEnd w:id="0"/>
    </w:p>
    <w:p w14:paraId="562FA17C" w14:textId="77777777" w:rsidR="00230FC9" w:rsidRDefault="00230FC9" w:rsidP="00F46BDB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</w:p>
    <w:p w14:paraId="26BC28EF" w14:textId="75F6FA88" w:rsidR="00F46BDB" w:rsidRDefault="00F46BDB" w:rsidP="00F46BDB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</w:t>
      </w:r>
      <w:r>
        <w:rPr>
          <w:b/>
          <w:bCs/>
          <w:i/>
          <w:iCs/>
          <w:highlight w:val="yellow"/>
          <w:lang w:eastAsia="ko-KR"/>
        </w:rPr>
        <w:t>y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Pr="00380587">
        <w:rPr>
          <w:b/>
          <w:bCs/>
          <w:i/>
          <w:iCs/>
          <w:highlight w:val="yellow"/>
          <w:lang w:eastAsia="ko-KR"/>
        </w:rPr>
        <w:t xml:space="preserve">Editor: Please make the following change on </w:t>
      </w:r>
      <w:proofErr w:type="spellStart"/>
      <w:r w:rsidRPr="00894617">
        <w:rPr>
          <w:b/>
          <w:bCs/>
          <w:i/>
          <w:iCs/>
          <w:highlight w:val="yellow"/>
          <w:lang w:eastAsia="ko-KR"/>
        </w:rPr>
        <w:t>Pg</w:t>
      </w:r>
      <w:proofErr w:type="spellEnd"/>
      <w:r w:rsidRPr="00894617">
        <w:rPr>
          <w:b/>
          <w:bCs/>
          <w:i/>
          <w:iCs/>
          <w:highlight w:val="yellow"/>
          <w:lang w:eastAsia="ko-KR"/>
        </w:rPr>
        <w:t xml:space="preserve"> </w:t>
      </w:r>
      <w:r w:rsidR="009F0F23">
        <w:rPr>
          <w:b/>
          <w:bCs/>
          <w:i/>
          <w:iCs/>
          <w:highlight w:val="yellow"/>
          <w:lang w:eastAsia="ko-KR"/>
        </w:rPr>
        <w:t>142</w:t>
      </w:r>
      <w:r w:rsidR="009F0F23" w:rsidRPr="00894617">
        <w:rPr>
          <w:b/>
          <w:bCs/>
          <w:i/>
          <w:iCs/>
          <w:highlight w:val="yellow"/>
          <w:lang w:eastAsia="ko-KR"/>
        </w:rPr>
        <w:t xml:space="preserve"> </w:t>
      </w:r>
      <w:r w:rsidRPr="00894617">
        <w:rPr>
          <w:b/>
          <w:bCs/>
          <w:i/>
          <w:iCs/>
          <w:highlight w:val="yellow"/>
          <w:lang w:eastAsia="ko-KR"/>
        </w:rPr>
        <w:t xml:space="preserve">line </w:t>
      </w:r>
      <w:r w:rsidR="009F0F23">
        <w:rPr>
          <w:b/>
          <w:bCs/>
          <w:i/>
          <w:iCs/>
          <w:highlight w:val="yellow"/>
          <w:lang w:eastAsia="ko-KR"/>
        </w:rPr>
        <w:t>40</w:t>
      </w:r>
      <w:r w:rsidR="009F0F23" w:rsidRPr="0089461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>(#</w:t>
      </w:r>
      <w:r w:rsidR="007A66B1">
        <w:rPr>
          <w:b/>
          <w:bCs/>
          <w:i/>
          <w:iCs/>
          <w:highlight w:val="yellow"/>
          <w:lang w:eastAsia="ko-KR"/>
        </w:rPr>
        <w:t>2297</w:t>
      </w:r>
      <w:r w:rsidRPr="00380587">
        <w:rPr>
          <w:b/>
          <w:bCs/>
          <w:i/>
          <w:iCs/>
          <w:highlight w:val="yellow"/>
          <w:lang w:eastAsia="ko-KR"/>
        </w:rPr>
        <w:t>)</w:t>
      </w:r>
      <w:r w:rsidR="007A66B1">
        <w:rPr>
          <w:b/>
          <w:bCs/>
          <w:i/>
          <w:iCs/>
          <w:highlight w:val="yellow"/>
          <w:lang w:eastAsia="ko-KR"/>
        </w:rPr>
        <w:t xml:space="preserve"> (#1376)</w:t>
      </w:r>
      <w:r>
        <w:rPr>
          <w:b/>
          <w:bCs/>
          <w:i/>
          <w:iCs/>
          <w:highlight w:val="yellow"/>
          <w:lang w:eastAsia="ko-KR"/>
        </w:rPr>
        <w:t>:</w:t>
      </w:r>
    </w:p>
    <w:p w14:paraId="715D4D75" w14:textId="777DFED9" w:rsidR="00F46BDB" w:rsidRDefault="00F46B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37A6CCE9" w14:textId="33859F4F" w:rsidR="00F46BDB" w:rsidRPr="00F46BDB" w:rsidRDefault="00F46BDB" w:rsidP="00E20BEE">
      <w:pPr>
        <w:autoSpaceDE w:val="0"/>
        <w:autoSpaceDN w:val="0"/>
        <w:adjustRightInd w:val="0"/>
        <w:jc w:val="both"/>
        <w:rPr>
          <w:bCs/>
          <w:iCs/>
          <w:lang w:val="en-US" w:eastAsia="ko-KR"/>
        </w:rPr>
      </w:pPr>
      <w:r w:rsidRPr="00F46BDB">
        <w:rPr>
          <w:bCs/>
          <w:iCs/>
          <w:lang w:val="en-US" w:eastAsia="ko-KR"/>
        </w:rPr>
        <w:t xml:space="preserve">The MU-MIMO </w:t>
      </w:r>
      <w:r w:rsidR="00230FC9" w:rsidRPr="00F46BDB">
        <w:rPr>
          <w:bCs/>
          <w:iCs/>
          <w:lang w:val="en-US" w:eastAsia="ko-KR"/>
        </w:rPr>
        <w:t>transmission or</w:t>
      </w:r>
      <w:r w:rsidRPr="00F46BDB">
        <w:rPr>
          <w:bCs/>
          <w:iCs/>
          <w:lang w:val="en-US" w:eastAsia="ko-KR"/>
        </w:rPr>
        <w:t xml:space="preserve"> hybrid beamforming </w:t>
      </w:r>
      <w:r w:rsidRPr="007A66B1">
        <w:rPr>
          <w:bCs/>
          <w:iCs/>
          <w:strike/>
          <w:color w:val="FF0000"/>
          <w:lang w:val="en-US" w:eastAsia="ko-KR"/>
        </w:rPr>
        <w:t>protocol</w:t>
      </w:r>
      <w:r w:rsidRPr="007A66B1">
        <w:rPr>
          <w:bCs/>
          <w:iCs/>
          <w:color w:val="FF0000"/>
          <w:lang w:val="en-US" w:eastAsia="ko-KR"/>
        </w:rPr>
        <w:t xml:space="preserve"> </w:t>
      </w:r>
      <w:r w:rsidR="00230FC9" w:rsidRPr="007A66B1">
        <w:rPr>
          <w:bCs/>
          <w:iCs/>
          <w:color w:val="FF0000"/>
          <w:lang w:val="en-US" w:eastAsia="ko-KR"/>
        </w:rPr>
        <w:t xml:space="preserve">training </w:t>
      </w:r>
      <w:r w:rsidR="00230FC9">
        <w:rPr>
          <w:bCs/>
          <w:iCs/>
          <w:color w:val="FF0000"/>
          <w:lang w:val="en-US" w:eastAsia="ko-KR"/>
        </w:rPr>
        <w:t>(</w:t>
      </w:r>
      <w:r w:rsidR="007A66B1">
        <w:rPr>
          <w:bCs/>
          <w:iCs/>
          <w:color w:val="FF0000"/>
          <w:lang w:val="en-US" w:eastAsia="ko-KR"/>
        </w:rPr>
        <w:t xml:space="preserve">#1376) </w:t>
      </w:r>
      <w:r w:rsidRPr="00F46BDB">
        <w:rPr>
          <w:bCs/>
          <w:iCs/>
          <w:lang w:val="en-US" w:eastAsia="ko-KR"/>
        </w:rPr>
        <w:t xml:space="preserve">begins SIFS interval following the reception </w:t>
      </w:r>
      <w:r w:rsidRPr="00F46BDB">
        <w:rPr>
          <w:bCs/>
          <w:iCs/>
          <w:strike/>
          <w:color w:val="FF0000"/>
          <w:lang w:val="en-US" w:eastAsia="ko-KR"/>
        </w:rPr>
        <w:t>or expected reception</w:t>
      </w:r>
      <w:r w:rsidR="007A66B1">
        <w:rPr>
          <w:bCs/>
          <w:iCs/>
          <w:strike/>
          <w:color w:val="FF0000"/>
          <w:lang w:val="en-US" w:eastAsia="ko-KR"/>
        </w:rPr>
        <w:t xml:space="preserve"> </w:t>
      </w:r>
      <w:r w:rsidR="007A66B1" w:rsidRPr="007A66B1">
        <w:rPr>
          <w:bCs/>
          <w:iCs/>
          <w:color w:val="FF0000"/>
          <w:lang w:val="en-US" w:eastAsia="ko-KR"/>
        </w:rPr>
        <w:t>(#2297)</w:t>
      </w:r>
      <w:r w:rsidRPr="00F46BDB">
        <w:rPr>
          <w:bCs/>
          <w:iCs/>
          <w:color w:val="FF0000"/>
          <w:lang w:val="en-US" w:eastAsia="ko-KR"/>
        </w:rPr>
        <w:t xml:space="preserve"> </w:t>
      </w:r>
      <w:r w:rsidR="007A66B1">
        <w:rPr>
          <w:bCs/>
          <w:iCs/>
          <w:lang w:val="en-US" w:eastAsia="ko-KR"/>
        </w:rPr>
        <w:t>of the</w:t>
      </w:r>
      <w:r w:rsidRPr="00F46BDB">
        <w:rPr>
          <w:bCs/>
          <w:iCs/>
          <w:lang w:val="en-US" w:eastAsia="ko-KR"/>
        </w:rPr>
        <w:t xml:space="preserve"> DMG CTS frame by the initiator. This is shown in Figure 91.</w:t>
      </w:r>
    </w:p>
    <w:p w14:paraId="7B4E4088" w14:textId="62ED2D5C" w:rsidR="00F46BDB" w:rsidRDefault="00F46B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3FF2130A" w14:textId="77777777" w:rsidR="00F46BDB" w:rsidRDefault="00F46B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34C605D8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06BA3FA5" w:rsidR="00E20BEE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</w:t>
      </w:r>
      <w:r w:rsidR="0018474C">
        <w:rPr>
          <w:b/>
          <w:color w:val="000000"/>
          <w:sz w:val="28"/>
          <w:lang w:val="en-US" w:eastAsia="ko-KR"/>
        </w:rPr>
        <w:t>y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18474C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8A5063">
        <w:rPr>
          <w:b/>
          <w:color w:val="000000"/>
          <w:sz w:val="28"/>
          <w:lang w:val="en-US" w:eastAsia="ko-KR"/>
        </w:rPr>
        <w:t>0</w:t>
      </w:r>
      <w:r w:rsidRPr="001A2687">
        <w:rPr>
          <w:b/>
          <w:color w:val="000000"/>
          <w:sz w:val="28"/>
          <w:lang w:val="en-US" w:eastAsia="ko-KR"/>
        </w:rPr>
        <w:t>.</w:t>
      </w:r>
    </w:p>
    <w:p w14:paraId="2C57442C" w14:textId="06DF01F4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345A9F18" w14:textId="67844167" w:rsid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57CDEDAC" w14:textId="77777777" w:rsidR="00EB797C" w:rsidRPr="00EB797C" w:rsidRDefault="00EB797C" w:rsidP="00EB797C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sectPr w:rsidR="00EB797C" w:rsidRPr="00EB797C" w:rsidSect="0099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5036" w14:textId="77777777" w:rsidR="001623AB" w:rsidRDefault="001623AB">
      <w:r>
        <w:separator/>
      </w:r>
    </w:p>
  </w:endnote>
  <w:endnote w:type="continuationSeparator" w:id="0">
    <w:p w14:paraId="0FCFCC0E" w14:textId="77777777" w:rsidR="001623AB" w:rsidRDefault="0016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413E" w14:textId="77777777" w:rsidR="003A2E6A" w:rsidRDefault="003A2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6A56B67F" w:rsidR="00C5507F" w:rsidRDefault="00386E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5507F">
        <w:t>Submission</w:t>
      </w:r>
    </w:fldSimple>
    <w:r w:rsidR="00C5507F">
      <w:tab/>
      <w:t xml:space="preserve">page </w:t>
    </w:r>
    <w:r w:rsidR="00C5507F">
      <w:fldChar w:fldCharType="begin"/>
    </w:r>
    <w:r w:rsidR="00C5507F">
      <w:instrText xml:space="preserve">page </w:instrText>
    </w:r>
    <w:r w:rsidR="00C5507F">
      <w:fldChar w:fldCharType="separate"/>
    </w:r>
    <w:r w:rsidR="00C7430A">
      <w:rPr>
        <w:noProof/>
      </w:rPr>
      <w:t>3</w:t>
    </w:r>
    <w:r w:rsidR="00C5507F">
      <w:rPr>
        <w:noProof/>
      </w:rPr>
      <w:fldChar w:fldCharType="end"/>
    </w:r>
    <w:r w:rsidR="00C5507F">
      <w:tab/>
    </w:r>
    <w:proofErr w:type="spellStart"/>
    <w:r w:rsidR="00C5507F">
      <w:rPr>
        <w:lang w:eastAsia="ko-KR"/>
      </w:rPr>
      <w:t>Kome</w:t>
    </w:r>
    <w:proofErr w:type="spellEnd"/>
    <w:r w:rsidR="00C5507F">
      <w:rPr>
        <w:lang w:eastAsia="ko-KR"/>
      </w:rPr>
      <w:t xml:space="preserve"> Oteri (</w:t>
    </w:r>
    <w:proofErr w:type="spellStart"/>
    <w:r w:rsidR="00C5507F">
      <w:rPr>
        <w:lang w:eastAsia="ko-KR"/>
      </w:rPr>
      <w:t>InterDigital</w:t>
    </w:r>
    <w:proofErr w:type="spellEnd"/>
    <w:r w:rsidR="00C5507F">
      <w:rPr>
        <w:lang w:eastAsia="ko-KR"/>
      </w:rPr>
      <w:t>)</w:t>
    </w:r>
  </w:p>
  <w:p w14:paraId="68131EC6" w14:textId="77777777" w:rsidR="00C5507F" w:rsidRDefault="00C550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CBAB7" w14:textId="77777777" w:rsidR="003A2E6A" w:rsidRDefault="003A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70C8" w14:textId="77777777" w:rsidR="001623AB" w:rsidRDefault="001623AB">
      <w:r>
        <w:separator/>
      </w:r>
    </w:p>
  </w:footnote>
  <w:footnote w:type="continuationSeparator" w:id="0">
    <w:p w14:paraId="09399C8D" w14:textId="77777777" w:rsidR="001623AB" w:rsidRDefault="0016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61EA" w14:textId="77777777" w:rsidR="003A2E6A" w:rsidRDefault="003A2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6B0CAEED" w:rsidR="00C5507F" w:rsidRDefault="009C167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AA6BD6">
      <w:rPr>
        <w:lang w:eastAsia="ko-KR"/>
      </w:rPr>
      <w:t xml:space="preserve"> 2018</w:t>
    </w:r>
    <w:r w:rsidR="00C5507F">
      <w:tab/>
    </w:r>
    <w:r w:rsidR="00C5507F">
      <w:tab/>
    </w:r>
    <w:r w:rsidR="00C5507F">
      <w:fldChar w:fldCharType="begin"/>
    </w:r>
    <w:r w:rsidR="00C5507F">
      <w:instrText xml:space="preserve"> TITLE  \* MERGEFORMAT </w:instrText>
    </w:r>
    <w:r w:rsidR="00C5507F">
      <w:fldChar w:fldCharType="end"/>
    </w:r>
    <w:fldSimple w:instr=" TITLE  \* MERGEFORMAT ">
      <w:r w:rsidR="004E7F45">
        <w:t>doc.: IEEE 802.11-18</w:t>
      </w:r>
      <w:r w:rsidR="00C5507F">
        <w:t>/</w:t>
      </w:r>
      <w:r w:rsidR="00F86584">
        <w:t>0499</w:t>
      </w:r>
      <w:r w:rsidR="00C5507F">
        <w:rPr>
          <w:lang w:eastAsia="ko-KR"/>
        </w:rPr>
        <w:t>r</w:t>
      </w:r>
    </w:fldSimple>
    <w:r>
      <w:rPr>
        <w:lang w:eastAsia="ko-KR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2B3E" w14:textId="77777777" w:rsidR="003A2E6A" w:rsidRDefault="003A2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0A"/>
    <w:multiLevelType w:val="hybridMultilevel"/>
    <w:tmpl w:val="0496590C"/>
    <w:lvl w:ilvl="0" w:tplc="BB4CC4E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68E18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F82A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23202F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74B2D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EC1C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8C7A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20A30A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5C044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91AA1"/>
    <w:multiLevelType w:val="hybridMultilevel"/>
    <w:tmpl w:val="31564104"/>
    <w:lvl w:ilvl="0" w:tplc="8E246904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7"/>
  </w:num>
  <w:num w:numId="18">
    <w:abstractNumId w:val="17"/>
  </w:num>
  <w:num w:numId="19">
    <w:abstractNumId w:val="27"/>
  </w:num>
  <w:num w:numId="20">
    <w:abstractNumId w:val="29"/>
  </w:num>
  <w:num w:numId="21">
    <w:abstractNumId w:val="10"/>
  </w:num>
  <w:num w:numId="22">
    <w:abstractNumId w:val="22"/>
  </w:num>
  <w:num w:numId="23">
    <w:abstractNumId w:val="28"/>
  </w:num>
  <w:num w:numId="24">
    <w:abstractNumId w:val="25"/>
  </w:num>
  <w:num w:numId="25">
    <w:abstractNumId w:val="26"/>
  </w:num>
  <w:num w:numId="26">
    <w:abstractNumId w:val="19"/>
  </w:num>
  <w:num w:numId="27">
    <w:abstractNumId w:val="14"/>
  </w:num>
  <w:num w:numId="28">
    <w:abstractNumId w:val="20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3"/>
  </w:num>
  <w:num w:numId="34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089E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18B"/>
    <w:rsid w:val="00023A67"/>
    <w:rsid w:val="00023CD8"/>
    <w:rsid w:val="00024344"/>
    <w:rsid w:val="00024487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0796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861"/>
    <w:rsid w:val="00077C25"/>
    <w:rsid w:val="00080ACC"/>
    <w:rsid w:val="00080E1A"/>
    <w:rsid w:val="00081596"/>
    <w:rsid w:val="000815C7"/>
    <w:rsid w:val="00081E62"/>
    <w:rsid w:val="0008222D"/>
    <w:rsid w:val="000823C8"/>
    <w:rsid w:val="000825C0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ADA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B62B5"/>
    <w:rsid w:val="000C1B3F"/>
    <w:rsid w:val="000C3193"/>
    <w:rsid w:val="000C4992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1E72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36E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0BC"/>
    <w:rsid w:val="001323DB"/>
    <w:rsid w:val="00134114"/>
    <w:rsid w:val="00135032"/>
    <w:rsid w:val="0013535C"/>
    <w:rsid w:val="00135B4B"/>
    <w:rsid w:val="00136428"/>
    <w:rsid w:val="0013699E"/>
    <w:rsid w:val="001420E5"/>
    <w:rsid w:val="001448D8"/>
    <w:rsid w:val="001449D1"/>
    <w:rsid w:val="001450BB"/>
    <w:rsid w:val="001459E7"/>
    <w:rsid w:val="00145C98"/>
    <w:rsid w:val="00146D19"/>
    <w:rsid w:val="00150571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0AD1"/>
    <w:rsid w:val="001623A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474C"/>
    <w:rsid w:val="0018577E"/>
    <w:rsid w:val="00186619"/>
    <w:rsid w:val="001869E8"/>
    <w:rsid w:val="00187129"/>
    <w:rsid w:val="0019164F"/>
    <w:rsid w:val="0019263A"/>
    <w:rsid w:val="00192C6E"/>
    <w:rsid w:val="00193B54"/>
    <w:rsid w:val="00193C39"/>
    <w:rsid w:val="001943F7"/>
    <w:rsid w:val="0019525D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55F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4D9C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0FC9"/>
    <w:rsid w:val="00231F3B"/>
    <w:rsid w:val="002323FE"/>
    <w:rsid w:val="00234C13"/>
    <w:rsid w:val="002369FD"/>
    <w:rsid w:val="00236A7E"/>
    <w:rsid w:val="00236EF2"/>
    <w:rsid w:val="0023760F"/>
    <w:rsid w:val="00237985"/>
    <w:rsid w:val="00240895"/>
    <w:rsid w:val="00241AD7"/>
    <w:rsid w:val="0024628E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398D"/>
    <w:rsid w:val="0026408E"/>
    <w:rsid w:val="00264425"/>
    <w:rsid w:val="002662A5"/>
    <w:rsid w:val="002674D1"/>
    <w:rsid w:val="00270171"/>
    <w:rsid w:val="00270720"/>
    <w:rsid w:val="00270F98"/>
    <w:rsid w:val="00273257"/>
    <w:rsid w:val="00273500"/>
    <w:rsid w:val="00273F9F"/>
    <w:rsid w:val="00273FA9"/>
    <w:rsid w:val="00274844"/>
    <w:rsid w:val="00274A4A"/>
    <w:rsid w:val="002773F1"/>
    <w:rsid w:val="0027774C"/>
    <w:rsid w:val="00281013"/>
    <w:rsid w:val="00281A5D"/>
    <w:rsid w:val="00282053"/>
    <w:rsid w:val="00282EFB"/>
    <w:rsid w:val="002833DD"/>
    <w:rsid w:val="00283DAF"/>
    <w:rsid w:val="0028447B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95C"/>
    <w:rsid w:val="002A2157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063D"/>
    <w:rsid w:val="002E1B18"/>
    <w:rsid w:val="002E2017"/>
    <w:rsid w:val="002E340A"/>
    <w:rsid w:val="002E3E30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696A"/>
    <w:rsid w:val="00357F36"/>
    <w:rsid w:val="00360C87"/>
    <w:rsid w:val="003622ED"/>
    <w:rsid w:val="00362BFB"/>
    <w:rsid w:val="00362C5B"/>
    <w:rsid w:val="00366AF0"/>
    <w:rsid w:val="00367D06"/>
    <w:rsid w:val="00370A6C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D61"/>
    <w:rsid w:val="00374E5A"/>
    <w:rsid w:val="003766B9"/>
    <w:rsid w:val="00376E69"/>
    <w:rsid w:val="00380587"/>
    <w:rsid w:val="00381F98"/>
    <w:rsid w:val="00382C54"/>
    <w:rsid w:val="00383766"/>
    <w:rsid w:val="00383C03"/>
    <w:rsid w:val="00383D1B"/>
    <w:rsid w:val="0038516A"/>
    <w:rsid w:val="0038526B"/>
    <w:rsid w:val="003852AD"/>
    <w:rsid w:val="00385654"/>
    <w:rsid w:val="00385FD6"/>
    <w:rsid w:val="0038601E"/>
    <w:rsid w:val="00386E90"/>
    <w:rsid w:val="00387A77"/>
    <w:rsid w:val="003906A1"/>
    <w:rsid w:val="00391845"/>
    <w:rsid w:val="003924F8"/>
    <w:rsid w:val="003945E3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2E6A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A7DBB"/>
    <w:rsid w:val="003B03CE"/>
    <w:rsid w:val="003B0C59"/>
    <w:rsid w:val="003B1BDE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06C4"/>
    <w:rsid w:val="003D105A"/>
    <w:rsid w:val="003D151A"/>
    <w:rsid w:val="003D1D90"/>
    <w:rsid w:val="003D26A5"/>
    <w:rsid w:val="003D3623"/>
    <w:rsid w:val="003D37CD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6CD"/>
    <w:rsid w:val="003F1281"/>
    <w:rsid w:val="003F2B96"/>
    <w:rsid w:val="003F2D6C"/>
    <w:rsid w:val="003F5884"/>
    <w:rsid w:val="003F6B76"/>
    <w:rsid w:val="003F793B"/>
    <w:rsid w:val="00400DC4"/>
    <w:rsid w:val="004010D0"/>
    <w:rsid w:val="004014AE"/>
    <w:rsid w:val="00403271"/>
    <w:rsid w:val="00403645"/>
    <w:rsid w:val="00403B13"/>
    <w:rsid w:val="00403F46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4EC6"/>
    <w:rsid w:val="0049594E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0ED"/>
    <w:rsid w:val="004B7780"/>
    <w:rsid w:val="004C0BD8"/>
    <w:rsid w:val="004C0F0A"/>
    <w:rsid w:val="004C3C2A"/>
    <w:rsid w:val="004C46B9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E7F45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4A2B"/>
    <w:rsid w:val="0051588E"/>
    <w:rsid w:val="00516042"/>
    <w:rsid w:val="005167F8"/>
    <w:rsid w:val="00517ED6"/>
    <w:rsid w:val="00520264"/>
    <w:rsid w:val="00520B8C"/>
    <w:rsid w:val="00521350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335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129"/>
    <w:rsid w:val="00550483"/>
    <w:rsid w:val="00552983"/>
    <w:rsid w:val="00553C7D"/>
    <w:rsid w:val="00554263"/>
    <w:rsid w:val="0055459B"/>
    <w:rsid w:val="005546A4"/>
    <w:rsid w:val="00554995"/>
    <w:rsid w:val="00554EEF"/>
    <w:rsid w:val="005555B2"/>
    <w:rsid w:val="00555EF7"/>
    <w:rsid w:val="00561999"/>
    <w:rsid w:val="00562627"/>
    <w:rsid w:val="00563B85"/>
    <w:rsid w:val="00565751"/>
    <w:rsid w:val="005660CE"/>
    <w:rsid w:val="005671C1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3ABD"/>
    <w:rsid w:val="00584948"/>
    <w:rsid w:val="00584BAC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25"/>
    <w:rsid w:val="005F19DD"/>
    <w:rsid w:val="005F23B2"/>
    <w:rsid w:val="005F4AD8"/>
    <w:rsid w:val="005F5ADA"/>
    <w:rsid w:val="005F695C"/>
    <w:rsid w:val="005F71B8"/>
    <w:rsid w:val="005F7C51"/>
    <w:rsid w:val="00600A10"/>
    <w:rsid w:val="00603F3D"/>
    <w:rsid w:val="00604E14"/>
    <w:rsid w:val="006062B2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9A9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629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2F40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61E7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3C03"/>
    <w:rsid w:val="0077584D"/>
    <w:rsid w:val="007764B8"/>
    <w:rsid w:val="00777246"/>
    <w:rsid w:val="00777791"/>
    <w:rsid w:val="0077797F"/>
    <w:rsid w:val="007813BB"/>
    <w:rsid w:val="00782B50"/>
    <w:rsid w:val="00783B46"/>
    <w:rsid w:val="00784095"/>
    <w:rsid w:val="00784800"/>
    <w:rsid w:val="00784825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439D"/>
    <w:rsid w:val="007A5765"/>
    <w:rsid w:val="007A5B89"/>
    <w:rsid w:val="007A66B1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4442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70B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14EE"/>
    <w:rsid w:val="00802E9B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E57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076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670E"/>
    <w:rsid w:val="00887583"/>
    <w:rsid w:val="00891375"/>
    <w:rsid w:val="00891445"/>
    <w:rsid w:val="00891C55"/>
    <w:rsid w:val="00892639"/>
    <w:rsid w:val="00892781"/>
    <w:rsid w:val="008927FD"/>
    <w:rsid w:val="008939BF"/>
    <w:rsid w:val="00894617"/>
    <w:rsid w:val="00894C0B"/>
    <w:rsid w:val="00895A28"/>
    <w:rsid w:val="00895D35"/>
    <w:rsid w:val="008967EF"/>
    <w:rsid w:val="00897183"/>
    <w:rsid w:val="008A0A67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49C9"/>
    <w:rsid w:val="008D668D"/>
    <w:rsid w:val="008D6B97"/>
    <w:rsid w:val="008D71CE"/>
    <w:rsid w:val="008E0651"/>
    <w:rsid w:val="008E0D36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015D"/>
    <w:rsid w:val="0090328C"/>
    <w:rsid w:val="009040B5"/>
    <w:rsid w:val="00904EAE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3A28"/>
    <w:rsid w:val="009256A7"/>
    <w:rsid w:val="009264A9"/>
    <w:rsid w:val="009278D5"/>
    <w:rsid w:val="00927FEB"/>
    <w:rsid w:val="00932EA0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2CA"/>
    <w:rsid w:val="00947B3B"/>
    <w:rsid w:val="00947FF8"/>
    <w:rsid w:val="00950ADF"/>
    <w:rsid w:val="0095165A"/>
    <w:rsid w:val="00951CE8"/>
    <w:rsid w:val="00952B64"/>
    <w:rsid w:val="00952D70"/>
    <w:rsid w:val="00953331"/>
    <w:rsid w:val="00953565"/>
    <w:rsid w:val="00953D56"/>
    <w:rsid w:val="00954C90"/>
    <w:rsid w:val="00955A8E"/>
    <w:rsid w:val="00955BF6"/>
    <w:rsid w:val="0095758E"/>
    <w:rsid w:val="00960546"/>
    <w:rsid w:val="00960A27"/>
    <w:rsid w:val="00960F27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5AEB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1E30"/>
    <w:rsid w:val="00993DD5"/>
    <w:rsid w:val="009948C1"/>
    <w:rsid w:val="00995894"/>
    <w:rsid w:val="009962F8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167E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05D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0F23"/>
    <w:rsid w:val="009F317B"/>
    <w:rsid w:val="009F3669"/>
    <w:rsid w:val="009F39CB"/>
    <w:rsid w:val="009F3F07"/>
    <w:rsid w:val="009F48D6"/>
    <w:rsid w:val="009F6BE0"/>
    <w:rsid w:val="009F7B60"/>
    <w:rsid w:val="00A00EE5"/>
    <w:rsid w:val="00A029A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45DC"/>
    <w:rsid w:val="00A3560F"/>
    <w:rsid w:val="00A358FF"/>
    <w:rsid w:val="00A35D4E"/>
    <w:rsid w:val="00A35DD1"/>
    <w:rsid w:val="00A36DC1"/>
    <w:rsid w:val="00A4016C"/>
    <w:rsid w:val="00A401AD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412"/>
    <w:rsid w:val="00A6389A"/>
    <w:rsid w:val="00A63DC8"/>
    <w:rsid w:val="00A66CBC"/>
    <w:rsid w:val="00A70990"/>
    <w:rsid w:val="00A73589"/>
    <w:rsid w:val="00A75B8C"/>
    <w:rsid w:val="00A809AC"/>
    <w:rsid w:val="00A80E2F"/>
    <w:rsid w:val="00A81018"/>
    <w:rsid w:val="00A8197A"/>
    <w:rsid w:val="00A83A5D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BD6"/>
    <w:rsid w:val="00AA6C67"/>
    <w:rsid w:val="00AA6F19"/>
    <w:rsid w:val="00AA76CB"/>
    <w:rsid w:val="00AA7E07"/>
    <w:rsid w:val="00AB0B3D"/>
    <w:rsid w:val="00AB1112"/>
    <w:rsid w:val="00AB1607"/>
    <w:rsid w:val="00AB17F6"/>
    <w:rsid w:val="00AB31BE"/>
    <w:rsid w:val="00AB38D1"/>
    <w:rsid w:val="00AB4292"/>
    <w:rsid w:val="00AB4A70"/>
    <w:rsid w:val="00AB4E03"/>
    <w:rsid w:val="00AC1B7C"/>
    <w:rsid w:val="00AC31EB"/>
    <w:rsid w:val="00AC526D"/>
    <w:rsid w:val="00AC5402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118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6B6E"/>
    <w:rsid w:val="00B07B3C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0B44"/>
    <w:rsid w:val="00B41FC5"/>
    <w:rsid w:val="00B422A1"/>
    <w:rsid w:val="00B42488"/>
    <w:rsid w:val="00B43643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071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2FBD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40CC"/>
    <w:rsid w:val="00BD686B"/>
    <w:rsid w:val="00BD73E6"/>
    <w:rsid w:val="00BE015C"/>
    <w:rsid w:val="00BE0E5E"/>
    <w:rsid w:val="00BE21A9"/>
    <w:rsid w:val="00BE263E"/>
    <w:rsid w:val="00BE2F84"/>
    <w:rsid w:val="00BE3F11"/>
    <w:rsid w:val="00BE41AD"/>
    <w:rsid w:val="00BE438D"/>
    <w:rsid w:val="00BE4932"/>
    <w:rsid w:val="00BE5725"/>
    <w:rsid w:val="00BE603A"/>
    <w:rsid w:val="00BE6CB3"/>
    <w:rsid w:val="00BF2436"/>
    <w:rsid w:val="00BF321B"/>
    <w:rsid w:val="00BF36A4"/>
    <w:rsid w:val="00BF3773"/>
    <w:rsid w:val="00BF3E14"/>
    <w:rsid w:val="00BF4644"/>
    <w:rsid w:val="00BF562E"/>
    <w:rsid w:val="00BF5689"/>
    <w:rsid w:val="00BF6269"/>
    <w:rsid w:val="00BF63AA"/>
    <w:rsid w:val="00BF6C40"/>
    <w:rsid w:val="00C00D18"/>
    <w:rsid w:val="00C01F79"/>
    <w:rsid w:val="00C02BB5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2D1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5B4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3C9C"/>
    <w:rsid w:val="00C542F0"/>
    <w:rsid w:val="00C5507F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D0D"/>
    <w:rsid w:val="00C7233D"/>
    <w:rsid w:val="00C723BC"/>
    <w:rsid w:val="00C73810"/>
    <w:rsid w:val="00C73F85"/>
    <w:rsid w:val="00C7430A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85C"/>
    <w:rsid w:val="00CC0B46"/>
    <w:rsid w:val="00CC0EBB"/>
    <w:rsid w:val="00CC0F15"/>
    <w:rsid w:val="00CC3806"/>
    <w:rsid w:val="00CC6468"/>
    <w:rsid w:val="00CC648A"/>
    <w:rsid w:val="00CC759A"/>
    <w:rsid w:val="00CC76CE"/>
    <w:rsid w:val="00CD0ABD"/>
    <w:rsid w:val="00CD259C"/>
    <w:rsid w:val="00CD6674"/>
    <w:rsid w:val="00CD797E"/>
    <w:rsid w:val="00CE01E4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E12"/>
    <w:rsid w:val="00D020F4"/>
    <w:rsid w:val="00D02A3A"/>
    <w:rsid w:val="00D04391"/>
    <w:rsid w:val="00D05769"/>
    <w:rsid w:val="00D05F32"/>
    <w:rsid w:val="00D0632A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C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47590"/>
    <w:rsid w:val="00D50050"/>
    <w:rsid w:val="00D52AAA"/>
    <w:rsid w:val="00D53033"/>
    <w:rsid w:val="00D53161"/>
    <w:rsid w:val="00D532F3"/>
    <w:rsid w:val="00D5432B"/>
    <w:rsid w:val="00D5494D"/>
    <w:rsid w:val="00D574CA"/>
    <w:rsid w:val="00D577F2"/>
    <w:rsid w:val="00D57819"/>
    <w:rsid w:val="00D57DC0"/>
    <w:rsid w:val="00D6072C"/>
    <w:rsid w:val="00D60767"/>
    <w:rsid w:val="00D618A3"/>
    <w:rsid w:val="00D62195"/>
    <w:rsid w:val="00D62544"/>
    <w:rsid w:val="00D62725"/>
    <w:rsid w:val="00D6338D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92951"/>
    <w:rsid w:val="00D9485C"/>
    <w:rsid w:val="00D9489C"/>
    <w:rsid w:val="00D94AA4"/>
    <w:rsid w:val="00D94B05"/>
    <w:rsid w:val="00D9667F"/>
    <w:rsid w:val="00DA0A93"/>
    <w:rsid w:val="00DA122F"/>
    <w:rsid w:val="00DA26A7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4C4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D7A22"/>
    <w:rsid w:val="00DE29D6"/>
    <w:rsid w:val="00DE2E19"/>
    <w:rsid w:val="00DE3143"/>
    <w:rsid w:val="00DE35F8"/>
    <w:rsid w:val="00DE385C"/>
    <w:rsid w:val="00DE3DF1"/>
    <w:rsid w:val="00DE4844"/>
    <w:rsid w:val="00DE6B23"/>
    <w:rsid w:val="00DE6B30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176D4"/>
    <w:rsid w:val="00E20BEE"/>
    <w:rsid w:val="00E23281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3927"/>
    <w:rsid w:val="00E45568"/>
    <w:rsid w:val="00E45B73"/>
    <w:rsid w:val="00E461AF"/>
    <w:rsid w:val="00E46262"/>
    <w:rsid w:val="00E46375"/>
    <w:rsid w:val="00E46D15"/>
    <w:rsid w:val="00E470B5"/>
    <w:rsid w:val="00E47DA6"/>
    <w:rsid w:val="00E53AB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2A0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AE5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A6B"/>
    <w:rsid w:val="00EA0BB5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3CC9"/>
    <w:rsid w:val="00EB5AA5"/>
    <w:rsid w:val="00EB5ADB"/>
    <w:rsid w:val="00EB5D4B"/>
    <w:rsid w:val="00EB6218"/>
    <w:rsid w:val="00EB69EF"/>
    <w:rsid w:val="00EB7706"/>
    <w:rsid w:val="00EB797C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215B"/>
    <w:rsid w:val="00EF3461"/>
    <w:rsid w:val="00EF34D3"/>
    <w:rsid w:val="00EF34F1"/>
    <w:rsid w:val="00EF38CF"/>
    <w:rsid w:val="00EF3C89"/>
    <w:rsid w:val="00EF6B9E"/>
    <w:rsid w:val="00F01D50"/>
    <w:rsid w:val="00F02F18"/>
    <w:rsid w:val="00F047A1"/>
    <w:rsid w:val="00F04926"/>
    <w:rsid w:val="00F04FF6"/>
    <w:rsid w:val="00F0504C"/>
    <w:rsid w:val="00F061A9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46BDB"/>
    <w:rsid w:val="00F47D7A"/>
    <w:rsid w:val="00F525A9"/>
    <w:rsid w:val="00F539A4"/>
    <w:rsid w:val="00F5458D"/>
    <w:rsid w:val="00F54F3A"/>
    <w:rsid w:val="00F55028"/>
    <w:rsid w:val="00F5670E"/>
    <w:rsid w:val="00F60892"/>
    <w:rsid w:val="00F61E6F"/>
    <w:rsid w:val="00F62B81"/>
    <w:rsid w:val="00F62F51"/>
    <w:rsid w:val="00F63CE9"/>
    <w:rsid w:val="00F653A1"/>
    <w:rsid w:val="00F659E1"/>
    <w:rsid w:val="00F65DBF"/>
    <w:rsid w:val="00F668FF"/>
    <w:rsid w:val="00F670F7"/>
    <w:rsid w:val="00F71FAA"/>
    <w:rsid w:val="00F72DA6"/>
    <w:rsid w:val="00F73385"/>
    <w:rsid w:val="00F7677E"/>
    <w:rsid w:val="00F76F3C"/>
    <w:rsid w:val="00F77D29"/>
    <w:rsid w:val="00F808C5"/>
    <w:rsid w:val="00F81D0E"/>
    <w:rsid w:val="00F82457"/>
    <w:rsid w:val="00F82EAE"/>
    <w:rsid w:val="00F832E1"/>
    <w:rsid w:val="00F85369"/>
    <w:rsid w:val="00F858DD"/>
    <w:rsid w:val="00F86584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CFA"/>
    <w:rsid w:val="00FC64E4"/>
    <w:rsid w:val="00FC6E55"/>
    <w:rsid w:val="00FC73C1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6495"/>
    <w:rsid w:val="00FF7E7B"/>
    <w:rsid w:val="00FF7E90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5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5A8F-43A8-436C-B203-0B1BEDB2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2018-03-03T17:14:00Z</dcterms:created>
  <dcterms:modified xsi:type="dcterms:W3CDTF">2018-03-03T20:58:00Z</dcterms:modified>
  <cp:category/>
</cp:coreProperties>
</file>