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E70529">
            <w:pPr>
              <w:pStyle w:val="T2"/>
              <w:rPr>
                <w:szCs w:val="28"/>
                <w:lang w:val="en-US" w:eastAsia="zh-CN"/>
              </w:rPr>
            </w:pPr>
            <w:r w:rsidRPr="005D62D4">
              <w:rPr>
                <w:szCs w:val="28"/>
                <w:lang w:val="en-US" w:eastAsia="zh-CN"/>
              </w:rPr>
              <w:t>Comment resolution on CID</w:t>
            </w:r>
            <w:r w:rsidR="00E70529">
              <w:rPr>
                <w:szCs w:val="28"/>
                <w:lang w:val="en-US" w:eastAsia="zh-CN"/>
              </w:rPr>
              <w:t xml:space="preserve"> 118</w:t>
            </w:r>
            <w:bookmarkStart w:id="0" w:name="_GoBack"/>
            <w:bookmarkEnd w:id="0"/>
            <w:r w:rsidR="00E70529">
              <w:rPr>
                <w:szCs w:val="28"/>
                <w:lang w:val="en-US" w:eastAsia="zh-CN"/>
              </w:rPr>
              <w:t>96</w:t>
            </w:r>
          </w:p>
        </w:tc>
      </w:tr>
      <w:tr w:rsidR="00694F0A" w:rsidRPr="00FA777D" w:rsidTr="000F1EDC">
        <w:trPr>
          <w:trHeight w:val="359"/>
          <w:jc w:val="center"/>
        </w:trPr>
        <w:tc>
          <w:tcPr>
            <w:tcW w:w="10023" w:type="dxa"/>
            <w:gridSpan w:val="5"/>
            <w:vAlign w:val="center"/>
          </w:tcPr>
          <w:p w:rsidR="00694F0A" w:rsidRPr="00FA777D" w:rsidRDefault="00694F0A" w:rsidP="00D97CC7">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D97CC7">
              <w:rPr>
                <w:b w:val="0"/>
                <w:sz w:val="20"/>
                <w:lang w:eastAsia="zh-CN"/>
              </w:rPr>
              <w:t>3</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r w:rsidR="00110955" w:rsidRPr="00FA777D" w:rsidTr="000F1EDC">
        <w:trPr>
          <w:jc w:val="center"/>
        </w:trPr>
        <w:tc>
          <w:tcPr>
            <w:tcW w:w="1711" w:type="dxa"/>
            <w:vAlign w:val="center"/>
          </w:tcPr>
          <w:p w:rsidR="00110955" w:rsidRDefault="00110955" w:rsidP="000F1EDC">
            <w:pPr>
              <w:pStyle w:val="T2"/>
              <w:spacing w:after="0"/>
              <w:ind w:left="0" w:right="0"/>
              <w:rPr>
                <w:b w:val="0"/>
                <w:sz w:val="20"/>
                <w:lang w:eastAsia="zh-CN"/>
              </w:rPr>
            </w:pPr>
            <w:r>
              <w:rPr>
                <w:b w:val="0"/>
                <w:sz w:val="20"/>
                <w:lang w:eastAsia="zh-CN"/>
              </w:rPr>
              <w:t>Ron Porat</w:t>
            </w:r>
          </w:p>
        </w:tc>
        <w:tc>
          <w:tcPr>
            <w:tcW w:w="1472" w:type="dxa"/>
            <w:vAlign w:val="center"/>
          </w:tcPr>
          <w:p w:rsidR="00110955" w:rsidRDefault="00110955" w:rsidP="000F1EDC">
            <w:pPr>
              <w:pStyle w:val="T2"/>
              <w:spacing w:after="0"/>
              <w:ind w:left="0" w:right="0"/>
              <w:rPr>
                <w:b w:val="0"/>
                <w:sz w:val="20"/>
                <w:lang w:eastAsia="zh-CN"/>
              </w:rPr>
            </w:pPr>
            <w:r>
              <w:rPr>
                <w:b w:val="0"/>
                <w:sz w:val="20"/>
                <w:lang w:eastAsia="zh-CN"/>
              </w:rPr>
              <w:t>Broadcom</w:t>
            </w:r>
          </w:p>
        </w:tc>
        <w:tc>
          <w:tcPr>
            <w:tcW w:w="2970" w:type="dxa"/>
            <w:vAlign w:val="center"/>
          </w:tcPr>
          <w:p w:rsidR="00110955" w:rsidRPr="00FA777D" w:rsidRDefault="00110955" w:rsidP="000F1EDC">
            <w:pPr>
              <w:pStyle w:val="T2"/>
              <w:spacing w:after="0"/>
              <w:ind w:left="0" w:right="0"/>
              <w:rPr>
                <w:b w:val="0"/>
                <w:sz w:val="20"/>
              </w:rPr>
            </w:pPr>
          </w:p>
        </w:tc>
        <w:tc>
          <w:tcPr>
            <w:tcW w:w="1019" w:type="dxa"/>
            <w:vAlign w:val="center"/>
          </w:tcPr>
          <w:p w:rsidR="00110955" w:rsidRPr="00FA777D" w:rsidRDefault="00110955" w:rsidP="000F1EDC">
            <w:pPr>
              <w:pStyle w:val="T2"/>
              <w:spacing w:after="0"/>
              <w:ind w:left="0" w:right="0"/>
              <w:rPr>
                <w:b w:val="0"/>
                <w:sz w:val="20"/>
              </w:rPr>
            </w:pPr>
          </w:p>
        </w:tc>
        <w:tc>
          <w:tcPr>
            <w:tcW w:w="2851" w:type="dxa"/>
            <w:vAlign w:val="center"/>
          </w:tcPr>
          <w:p w:rsidR="00110955" w:rsidRDefault="00110955" w:rsidP="000F1EDC">
            <w:pPr>
              <w:pStyle w:val="T2"/>
              <w:spacing w:after="0"/>
              <w:ind w:left="0" w:right="0"/>
              <w:rPr>
                <w:b w:val="0"/>
                <w:sz w:val="20"/>
                <w:lang w:eastAsia="zh-CN"/>
              </w:rPr>
            </w:pPr>
            <w:r w:rsidRPr="00110955">
              <w:rPr>
                <w:b w:val="0"/>
                <w:sz w:val="20"/>
                <w:lang w:eastAsia="zh-CN"/>
              </w:rPr>
              <w:t>ron.porat@broadcom.com</w:t>
            </w:r>
          </w:p>
        </w:tc>
      </w:tr>
    </w:tbl>
    <w:p w:rsidR="00694F0A" w:rsidRDefault="00694F0A" w:rsidP="00694F0A">
      <w:pPr>
        <w:pStyle w:val="Heading5"/>
        <w:rPr>
          <w:lang w:eastAsia="zh-CN"/>
        </w:rPr>
      </w:pPr>
    </w:p>
    <w:p w:rsidR="00694F0A" w:rsidRDefault="00694F0A" w:rsidP="00694F0A">
      <w:r>
        <w:t xml:space="preserve">Abstract: </w:t>
      </w:r>
    </w:p>
    <w:p w:rsidR="00694F0A" w:rsidRDefault="00694F0A" w:rsidP="00694F0A"/>
    <w:p w:rsidR="00694F0A" w:rsidRPr="00DD1D23" w:rsidRDefault="00694F0A" w:rsidP="0050415D">
      <w:pPr>
        <w:ind w:right="100"/>
        <w:rPr>
          <w:sz w:val="22"/>
          <w:szCs w:val="22"/>
        </w:rPr>
      </w:pPr>
      <w:r w:rsidRPr="00DD1D23">
        <w:rPr>
          <w:sz w:val="22"/>
          <w:szCs w:val="22"/>
        </w:rPr>
        <w:t>This document contains com</w:t>
      </w:r>
      <w:r w:rsidR="0050415D">
        <w:rPr>
          <w:sz w:val="22"/>
          <w:szCs w:val="22"/>
        </w:rPr>
        <w:t>ment resolution on</w:t>
      </w:r>
      <w:r w:rsidRPr="00DD1D23">
        <w:rPr>
          <w:sz w:val="22"/>
          <w:szCs w:val="22"/>
        </w:rPr>
        <w:t xml:space="preserve"> CID</w:t>
      </w:r>
      <w:r w:rsidR="0050415D">
        <w:rPr>
          <w:sz w:val="22"/>
          <w:szCs w:val="22"/>
        </w:rPr>
        <w:t xml:space="preserve"> </w:t>
      </w:r>
      <w:r w:rsidR="0050415D" w:rsidRPr="0050415D">
        <w:rPr>
          <w:sz w:val="22"/>
          <w:szCs w:val="22"/>
        </w:rPr>
        <w:t>11896</w:t>
      </w:r>
      <w:r w:rsidR="0050415D">
        <w:rPr>
          <w:sz w:val="22"/>
          <w:szCs w:val="22"/>
        </w:rPr>
        <w:t xml:space="preserve"> in</w:t>
      </w:r>
      <w:r w:rsidRPr="00DD1D23">
        <w:rPr>
          <w:sz w:val="22"/>
          <w:szCs w:val="22"/>
        </w:rPr>
        <w:t xml:space="preserve"> </w:t>
      </w:r>
      <w:r w:rsidRPr="00DD1D23">
        <w:rPr>
          <w:bCs/>
          <w:sz w:val="22"/>
          <w:szCs w:val="22"/>
        </w:rPr>
        <w:t>28.3</w:t>
      </w:r>
      <w:r w:rsidR="001D7986">
        <w:rPr>
          <w:bCs/>
          <w:sz w:val="22"/>
          <w:szCs w:val="22"/>
        </w:rPr>
        <w:t xml:space="preserve"> </w:t>
      </w:r>
      <w:r w:rsidR="005738F7">
        <w:rPr>
          <w:bCs/>
          <w:sz w:val="22"/>
          <w:szCs w:val="22"/>
        </w:rPr>
        <w:t xml:space="preserve">and the proposed specification changes are </w:t>
      </w:r>
      <w:r w:rsidR="001D7986">
        <w:rPr>
          <w:bCs/>
          <w:sz w:val="22"/>
          <w:szCs w:val="22"/>
        </w:rPr>
        <w:t>in draft 2.</w:t>
      </w:r>
      <w:r w:rsidR="0050415D">
        <w:rPr>
          <w:bCs/>
          <w:sz w:val="22"/>
          <w:szCs w:val="22"/>
        </w:rPr>
        <w:t>2</w:t>
      </w:r>
      <w:r w:rsidRPr="00DD1D23">
        <w:rPr>
          <w:bCs/>
          <w:sz w:val="22"/>
          <w:szCs w:val="22"/>
        </w:rPr>
        <w:t xml:space="preserve">: </w:t>
      </w:r>
      <w:r w:rsidRPr="00DD1D23">
        <w:rPr>
          <w:sz w:val="22"/>
          <w:szCs w:val="22"/>
        </w:rPr>
        <w:t xml:space="preserve"> </w:t>
      </w:r>
    </w:p>
    <w:p w:rsidR="00694F0A" w:rsidRDefault="00694F0A" w:rsidP="00694F0A"/>
    <w:p w:rsidR="00694F0A" w:rsidRDefault="00694F0A" w:rsidP="00694F0A"/>
    <w:p w:rsidR="00694F0A" w:rsidRDefault="00694F0A"/>
    <w:p w:rsidR="00F74904" w:rsidRDefault="00F74904" w:rsidP="00CF7849"/>
    <w:p w:rsidR="00D97CC7" w:rsidRDefault="00D97CC7" w:rsidP="00CF7849"/>
    <w:p w:rsidR="00D97CC7" w:rsidRDefault="00D97CC7">
      <w:r>
        <w:br w:type="page"/>
      </w:r>
    </w:p>
    <w:p w:rsidR="00D97CC7" w:rsidRDefault="00D97CC7" w:rsidP="00CF7849"/>
    <w:tbl>
      <w:tblPr>
        <w:tblpPr w:leftFromText="180" w:rightFromText="180" w:vertAnchor="page" w:horzAnchor="margin" w:tblpY="1453"/>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672"/>
        <w:gridCol w:w="2164"/>
        <w:gridCol w:w="2246"/>
      </w:tblGrid>
      <w:tr w:rsidR="00D97CC7" w:rsidTr="00D97CC7">
        <w:trPr>
          <w:trHeight w:val="350"/>
        </w:trPr>
        <w:tc>
          <w:tcPr>
            <w:tcW w:w="970" w:type="dxa"/>
            <w:shd w:val="clear" w:color="auto" w:fill="auto"/>
            <w:hideMark/>
          </w:tcPr>
          <w:p w:rsidR="00D97CC7" w:rsidRDefault="00D97CC7" w:rsidP="00D97CC7">
            <w:pPr>
              <w:rPr>
                <w:rFonts w:ascii="Arial" w:hAnsi="Arial" w:cs="Arial"/>
                <w:b/>
                <w:bCs/>
                <w:sz w:val="20"/>
              </w:rPr>
            </w:pPr>
            <w:r>
              <w:rPr>
                <w:rFonts w:ascii="Arial" w:hAnsi="Arial" w:cs="Arial"/>
                <w:b/>
                <w:bCs/>
                <w:sz w:val="20"/>
              </w:rPr>
              <w:t>CID</w:t>
            </w:r>
          </w:p>
        </w:tc>
        <w:tc>
          <w:tcPr>
            <w:tcW w:w="1042" w:type="dxa"/>
          </w:tcPr>
          <w:p w:rsidR="00D97CC7" w:rsidRPr="00370EA5" w:rsidRDefault="00D97CC7" w:rsidP="00D97CC7">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D97CC7" w:rsidRDefault="00D97CC7" w:rsidP="00D97CC7">
            <w:pPr>
              <w:rPr>
                <w:rFonts w:ascii="Arial" w:hAnsi="Arial" w:cs="Arial"/>
                <w:b/>
                <w:bCs/>
                <w:sz w:val="20"/>
              </w:rPr>
            </w:pPr>
            <w:r>
              <w:rPr>
                <w:rFonts w:ascii="Arial" w:hAnsi="Arial" w:cs="Arial"/>
                <w:b/>
                <w:bCs/>
                <w:sz w:val="20"/>
              </w:rPr>
              <w:t>Page</w:t>
            </w:r>
          </w:p>
        </w:tc>
        <w:tc>
          <w:tcPr>
            <w:tcW w:w="808" w:type="dxa"/>
          </w:tcPr>
          <w:p w:rsidR="00D97CC7" w:rsidRDefault="00D97CC7" w:rsidP="00D97CC7">
            <w:pPr>
              <w:rPr>
                <w:rFonts w:ascii="Arial" w:hAnsi="Arial" w:cs="Arial"/>
                <w:b/>
                <w:bCs/>
                <w:sz w:val="20"/>
              </w:rPr>
            </w:pPr>
            <w:r>
              <w:rPr>
                <w:rFonts w:ascii="Arial" w:hAnsi="Arial" w:cs="Arial"/>
                <w:b/>
                <w:bCs/>
                <w:sz w:val="20"/>
              </w:rPr>
              <w:t>Line</w:t>
            </w:r>
          </w:p>
        </w:tc>
        <w:tc>
          <w:tcPr>
            <w:tcW w:w="2672" w:type="dxa"/>
            <w:shd w:val="clear" w:color="auto" w:fill="auto"/>
            <w:hideMark/>
          </w:tcPr>
          <w:p w:rsidR="00D97CC7" w:rsidRDefault="00D97CC7" w:rsidP="00D97CC7">
            <w:pPr>
              <w:rPr>
                <w:rFonts w:ascii="Arial" w:hAnsi="Arial" w:cs="Arial"/>
                <w:b/>
                <w:bCs/>
                <w:sz w:val="20"/>
              </w:rPr>
            </w:pPr>
            <w:r>
              <w:rPr>
                <w:rFonts w:ascii="Arial" w:hAnsi="Arial" w:cs="Arial"/>
                <w:b/>
                <w:bCs/>
                <w:sz w:val="20"/>
              </w:rPr>
              <w:t>Comment</w:t>
            </w:r>
          </w:p>
        </w:tc>
        <w:tc>
          <w:tcPr>
            <w:tcW w:w="2164" w:type="dxa"/>
            <w:shd w:val="clear" w:color="auto" w:fill="auto"/>
            <w:hideMark/>
          </w:tcPr>
          <w:p w:rsidR="00D97CC7" w:rsidRDefault="00D97CC7" w:rsidP="00D97CC7">
            <w:pPr>
              <w:rPr>
                <w:rFonts w:ascii="Arial" w:hAnsi="Arial" w:cs="Arial"/>
                <w:b/>
                <w:bCs/>
                <w:sz w:val="20"/>
              </w:rPr>
            </w:pPr>
            <w:r>
              <w:rPr>
                <w:rFonts w:ascii="Arial" w:hAnsi="Arial" w:cs="Arial"/>
                <w:b/>
                <w:bCs/>
                <w:sz w:val="20"/>
              </w:rPr>
              <w:t>Proposed Change</w:t>
            </w:r>
          </w:p>
        </w:tc>
        <w:tc>
          <w:tcPr>
            <w:tcW w:w="2246" w:type="dxa"/>
            <w:shd w:val="clear" w:color="auto" w:fill="auto"/>
            <w:hideMark/>
          </w:tcPr>
          <w:p w:rsidR="00D97CC7" w:rsidRDefault="00D97CC7" w:rsidP="00D97CC7">
            <w:pPr>
              <w:rPr>
                <w:rFonts w:ascii="Arial" w:hAnsi="Arial" w:cs="Arial"/>
                <w:b/>
                <w:bCs/>
                <w:sz w:val="20"/>
              </w:rPr>
            </w:pPr>
            <w:r>
              <w:rPr>
                <w:rFonts w:ascii="Arial" w:hAnsi="Arial" w:cs="Arial"/>
                <w:b/>
                <w:bCs/>
                <w:sz w:val="20"/>
              </w:rPr>
              <w:t>Resolution</w:t>
            </w:r>
          </w:p>
        </w:tc>
      </w:tr>
      <w:tr w:rsidR="00D97CC7" w:rsidRPr="0063369C" w:rsidTr="00D97CC7">
        <w:trPr>
          <w:trHeight w:val="2123"/>
        </w:trPr>
        <w:tc>
          <w:tcPr>
            <w:tcW w:w="970" w:type="dxa"/>
            <w:shd w:val="clear" w:color="auto" w:fill="auto"/>
          </w:tcPr>
          <w:p w:rsidR="00D97CC7" w:rsidRPr="00D97CC7" w:rsidRDefault="00D97CC7" w:rsidP="00D97CC7">
            <w:pPr>
              <w:jc w:val="right"/>
              <w:rPr>
                <w:rFonts w:ascii="Arial" w:hAnsi="Arial" w:cs="Arial"/>
                <w:sz w:val="20"/>
                <w:szCs w:val="20"/>
              </w:rPr>
            </w:pPr>
            <w:r w:rsidRPr="00D97CC7">
              <w:rPr>
                <w:rFonts w:ascii="Arial" w:hAnsi="Arial" w:cs="Arial"/>
                <w:sz w:val="20"/>
                <w:szCs w:val="20"/>
              </w:rPr>
              <w:t>11896</w:t>
            </w:r>
          </w:p>
        </w:tc>
        <w:tc>
          <w:tcPr>
            <w:tcW w:w="1042" w:type="dxa"/>
          </w:tcPr>
          <w:p w:rsidR="00D97CC7" w:rsidRPr="00D97CC7" w:rsidRDefault="00D97CC7" w:rsidP="00D97CC7">
            <w:pPr>
              <w:rPr>
                <w:rFonts w:ascii="Arial" w:hAnsi="Arial" w:cs="Arial"/>
                <w:sz w:val="20"/>
                <w:szCs w:val="20"/>
              </w:rPr>
            </w:pPr>
            <w:r w:rsidRPr="00D97CC7">
              <w:rPr>
                <w:rFonts w:ascii="Arial" w:hAnsi="Arial" w:cs="Arial"/>
                <w:sz w:val="20"/>
                <w:szCs w:val="20"/>
              </w:rPr>
              <w:t>28.3.18.4.3</w:t>
            </w:r>
          </w:p>
        </w:tc>
        <w:tc>
          <w:tcPr>
            <w:tcW w:w="808" w:type="dxa"/>
          </w:tcPr>
          <w:p w:rsidR="00D97CC7" w:rsidRPr="00D97CC7" w:rsidRDefault="00D97CC7" w:rsidP="00D97CC7">
            <w:pPr>
              <w:rPr>
                <w:sz w:val="22"/>
                <w:szCs w:val="22"/>
              </w:rPr>
            </w:pPr>
            <w:r w:rsidRPr="00D97CC7">
              <w:rPr>
                <w:sz w:val="22"/>
                <w:szCs w:val="22"/>
              </w:rPr>
              <w:t>491</w:t>
            </w:r>
          </w:p>
        </w:tc>
        <w:tc>
          <w:tcPr>
            <w:tcW w:w="808" w:type="dxa"/>
          </w:tcPr>
          <w:p w:rsidR="00D97CC7" w:rsidRPr="00D97CC7" w:rsidRDefault="00D97CC7" w:rsidP="00D97CC7">
            <w:pPr>
              <w:rPr>
                <w:sz w:val="22"/>
                <w:szCs w:val="22"/>
              </w:rPr>
            </w:pPr>
            <w:r w:rsidRPr="00D97CC7">
              <w:rPr>
                <w:sz w:val="22"/>
                <w:szCs w:val="22"/>
              </w:rPr>
              <w:t>45</w:t>
            </w:r>
          </w:p>
        </w:tc>
        <w:tc>
          <w:tcPr>
            <w:tcW w:w="2672" w:type="dxa"/>
            <w:shd w:val="clear" w:color="auto" w:fill="auto"/>
          </w:tcPr>
          <w:p w:rsidR="00D97CC7" w:rsidRPr="00D97CC7" w:rsidRDefault="00D97CC7" w:rsidP="00D97CC7">
            <w:pPr>
              <w:rPr>
                <w:rFonts w:ascii="Arial" w:eastAsiaTheme="minorHAnsi" w:hAnsi="Arial" w:cs="Arial"/>
                <w:sz w:val="20"/>
                <w:szCs w:val="20"/>
              </w:rPr>
            </w:pPr>
            <w:r w:rsidRPr="00D97CC7">
              <w:rPr>
                <w:rFonts w:ascii="Arial" w:hAnsi="Arial" w:cs="Arial"/>
                <w:sz w:val="20"/>
                <w:szCs w:val="20"/>
              </w:rPr>
              <w:t xml:space="preserve">"... In the test, NSS=NSTS (no STBC) shall be used". How about beamforming? Nowadays all the actual EVM measurements shall disable beamforming, due to test </w:t>
            </w:r>
            <w:proofErr w:type="spellStart"/>
            <w:r w:rsidRPr="00D97CC7">
              <w:rPr>
                <w:rFonts w:ascii="Arial" w:hAnsi="Arial" w:cs="Arial"/>
                <w:sz w:val="20"/>
                <w:szCs w:val="20"/>
              </w:rPr>
              <w:t>equipments</w:t>
            </w:r>
            <w:proofErr w:type="spellEnd"/>
            <w:r w:rsidRPr="00D97CC7">
              <w:rPr>
                <w:rFonts w:ascii="Arial" w:hAnsi="Arial" w:cs="Arial"/>
                <w:sz w:val="20"/>
                <w:szCs w:val="20"/>
              </w:rPr>
              <w:t>' limitations.</w:t>
            </w:r>
          </w:p>
          <w:p w:rsidR="00D97CC7" w:rsidRPr="00D97CC7" w:rsidRDefault="00D97CC7" w:rsidP="00D97CC7">
            <w:pPr>
              <w:rPr>
                <w:rFonts w:ascii="Arial" w:hAnsi="Arial" w:cs="Arial"/>
                <w:sz w:val="20"/>
                <w:szCs w:val="20"/>
              </w:rPr>
            </w:pPr>
          </w:p>
        </w:tc>
        <w:tc>
          <w:tcPr>
            <w:tcW w:w="2164" w:type="dxa"/>
            <w:shd w:val="clear" w:color="auto" w:fill="auto"/>
          </w:tcPr>
          <w:p w:rsidR="00D97CC7" w:rsidRPr="00D97CC7" w:rsidRDefault="00D97CC7" w:rsidP="00D97CC7">
            <w:pPr>
              <w:rPr>
                <w:rFonts w:ascii="Arial" w:hAnsi="Arial" w:cs="Arial"/>
                <w:sz w:val="20"/>
                <w:szCs w:val="20"/>
              </w:rPr>
            </w:pPr>
            <w:r w:rsidRPr="00D97CC7">
              <w:rPr>
                <w:rFonts w:ascii="Arial" w:hAnsi="Arial" w:cs="Arial"/>
                <w:sz w:val="20"/>
                <w:szCs w:val="20"/>
              </w:rPr>
              <w:t>Add "and no beamforming shall be used" after the quoted sentence</w:t>
            </w:r>
          </w:p>
        </w:tc>
        <w:tc>
          <w:tcPr>
            <w:tcW w:w="2246" w:type="dxa"/>
            <w:shd w:val="clear" w:color="auto" w:fill="auto"/>
          </w:tcPr>
          <w:p w:rsidR="00D97CC7" w:rsidRPr="00D97CC7" w:rsidRDefault="00D97CC7" w:rsidP="00D97CC7">
            <w:pPr>
              <w:rPr>
                <w:rFonts w:eastAsiaTheme="minorEastAsia"/>
                <w:sz w:val="22"/>
                <w:szCs w:val="22"/>
                <w:lang w:eastAsia="ja-JP"/>
              </w:rPr>
            </w:pPr>
            <w:r w:rsidRPr="00D97CC7">
              <w:rPr>
                <w:rFonts w:eastAsiaTheme="minorEastAsia"/>
                <w:sz w:val="22"/>
                <w:szCs w:val="22"/>
                <w:lang w:eastAsia="ja-JP"/>
              </w:rPr>
              <w:t xml:space="preserve">Revised. </w:t>
            </w:r>
          </w:p>
          <w:p w:rsidR="00D97CC7" w:rsidRPr="00D97CC7" w:rsidRDefault="00D97CC7" w:rsidP="00D97CC7">
            <w:pPr>
              <w:rPr>
                <w:rFonts w:eastAsiaTheme="minorEastAsia"/>
                <w:sz w:val="22"/>
                <w:szCs w:val="22"/>
                <w:lang w:eastAsia="ja-JP"/>
              </w:rPr>
            </w:pPr>
          </w:p>
          <w:p w:rsidR="00D97CC7" w:rsidRPr="00D97CC7" w:rsidRDefault="00D97CC7" w:rsidP="00D97CC7">
            <w:pPr>
              <w:rPr>
                <w:rFonts w:eastAsiaTheme="minorEastAsia"/>
                <w:sz w:val="22"/>
                <w:szCs w:val="22"/>
                <w:lang w:eastAsia="ja-JP"/>
              </w:rPr>
            </w:pPr>
            <w:r w:rsidRPr="00D97CC7">
              <w:rPr>
                <w:rFonts w:eastAsiaTheme="minorEastAsia"/>
                <w:sz w:val="20"/>
                <w:szCs w:val="20"/>
                <w:lang w:eastAsia="ja-JP"/>
              </w:rPr>
              <w:t xml:space="preserve">11ax editor, please see the discussion for instructions for CID 11896 </w:t>
            </w:r>
            <w:r w:rsidRPr="00D97CC7">
              <w:rPr>
                <w:sz w:val="20"/>
                <w:szCs w:val="20"/>
              </w:rPr>
              <w:t>in doc IEEE 802.11-18/0159r3.</w:t>
            </w:r>
          </w:p>
        </w:tc>
      </w:tr>
    </w:tbl>
    <w:p w:rsidR="00D97CC7" w:rsidRDefault="00D97CC7"/>
    <w:p w:rsidR="00D97CC7" w:rsidRDefault="00D97CC7" w:rsidP="00CF7849"/>
    <w:p w:rsidR="00903555" w:rsidRPr="00C5453A" w:rsidRDefault="00903555" w:rsidP="00903555">
      <w:pPr>
        <w:rPr>
          <w:b/>
          <w:u w:val="single"/>
        </w:rPr>
      </w:pPr>
      <w:r w:rsidRPr="00C5453A">
        <w:rPr>
          <w:b/>
          <w:u w:val="single"/>
        </w:rPr>
        <w:t xml:space="preserve">Discussions for CID </w:t>
      </w:r>
      <w:r w:rsidRPr="00C5453A">
        <w:rPr>
          <w:b/>
          <w:bCs/>
          <w:u w:val="single"/>
        </w:rPr>
        <w:t>1189</w:t>
      </w:r>
      <w:r>
        <w:rPr>
          <w:b/>
          <w:bCs/>
          <w:u w:val="single"/>
        </w:rPr>
        <w:t>6</w:t>
      </w:r>
      <w:r w:rsidRPr="00C5453A">
        <w:rPr>
          <w:b/>
          <w:u w:val="single"/>
        </w:rPr>
        <w:t>:</w:t>
      </w:r>
    </w:p>
    <w:p w:rsidR="00B577E1" w:rsidRDefault="00B577E1" w:rsidP="00B577E1">
      <w:pPr>
        <w:rPr>
          <w:bCs/>
          <w:sz w:val="20"/>
          <w:szCs w:val="20"/>
        </w:rPr>
      </w:pPr>
      <w:r w:rsidRPr="007D2C73">
        <w:rPr>
          <w:sz w:val="20"/>
          <w:szCs w:val="20"/>
        </w:rPr>
        <w:t xml:space="preserve">To prevent EVM results from </w:t>
      </w:r>
      <w:r w:rsidRPr="007D2C73">
        <w:rPr>
          <w:bCs/>
          <w:sz w:val="20"/>
          <w:szCs w:val="20"/>
        </w:rPr>
        <w:t xml:space="preserve">different </w:t>
      </w:r>
      <w:r>
        <w:rPr>
          <w:bCs/>
          <w:sz w:val="20"/>
          <w:szCs w:val="20"/>
        </w:rPr>
        <w:t xml:space="preserve">test </w:t>
      </w:r>
      <w:proofErr w:type="spellStart"/>
      <w:r w:rsidRPr="007D2C73">
        <w:rPr>
          <w:bCs/>
          <w:sz w:val="20"/>
          <w:szCs w:val="20"/>
        </w:rPr>
        <w:t>equipments</w:t>
      </w:r>
      <w:proofErr w:type="spellEnd"/>
      <w:r w:rsidRPr="007D2C73">
        <w:rPr>
          <w:bCs/>
          <w:sz w:val="20"/>
          <w:szCs w:val="20"/>
        </w:rPr>
        <w:t xml:space="preserve"> </w:t>
      </w:r>
      <w:r>
        <w:rPr>
          <w:bCs/>
          <w:sz w:val="20"/>
          <w:szCs w:val="20"/>
        </w:rPr>
        <w:t xml:space="preserve">with </w:t>
      </w:r>
      <w:proofErr w:type="spellStart"/>
      <w:r>
        <w:rPr>
          <w:bCs/>
          <w:sz w:val="20"/>
          <w:szCs w:val="20"/>
        </w:rPr>
        <w:t>beamformed</w:t>
      </w:r>
      <w:proofErr w:type="spellEnd"/>
      <w:r>
        <w:rPr>
          <w:bCs/>
          <w:sz w:val="20"/>
          <w:szCs w:val="20"/>
        </w:rPr>
        <w:t xml:space="preserve"> PPDU, the clarification on EVM tests for </w:t>
      </w:r>
      <w:proofErr w:type="spellStart"/>
      <w:r>
        <w:rPr>
          <w:bCs/>
          <w:sz w:val="20"/>
          <w:szCs w:val="20"/>
        </w:rPr>
        <w:t>beamfored</w:t>
      </w:r>
      <w:proofErr w:type="spellEnd"/>
      <w:r>
        <w:rPr>
          <w:bCs/>
          <w:sz w:val="20"/>
          <w:szCs w:val="20"/>
        </w:rPr>
        <w:t xml:space="preserve"> </w:t>
      </w:r>
      <w:r w:rsidRPr="007D2C73">
        <w:rPr>
          <w:bCs/>
          <w:sz w:val="20"/>
          <w:szCs w:val="20"/>
        </w:rPr>
        <w:t>PPDU</w:t>
      </w:r>
      <w:r>
        <w:rPr>
          <w:bCs/>
          <w:sz w:val="20"/>
          <w:szCs w:val="20"/>
        </w:rPr>
        <w:t xml:space="preserve"> </w:t>
      </w:r>
      <w:r w:rsidR="00DA091C">
        <w:rPr>
          <w:bCs/>
          <w:sz w:val="20"/>
          <w:szCs w:val="20"/>
        </w:rPr>
        <w:t>is added</w:t>
      </w:r>
      <w:r>
        <w:rPr>
          <w:bCs/>
          <w:sz w:val="20"/>
          <w:szCs w:val="20"/>
        </w:rPr>
        <w:t xml:space="preserve">. The basic principle in the EVM tests is to make the tests simple. Optional features that introduces extra complexity or not absolutely necessary should not be included in the EVM tests, </w:t>
      </w:r>
    </w:p>
    <w:p w:rsidR="00903555" w:rsidRDefault="00903555" w:rsidP="00903555">
      <w:pPr>
        <w:rPr>
          <w:b/>
          <w:color w:val="000000" w:themeColor="text1"/>
          <w:szCs w:val="22"/>
          <w:u w:val="single"/>
        </w:rPr>
      </w:pPr>
    </w:p>
    <w:p w:rsidR="00D50CB0" w:rsidRDefault="00D50CB0" w:rsidP="00D50CB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 for </w:t>
      </w:r>
      <w:r w:rsidR="000D342B">
        <w:rPr>
          <w:b/>
          <w:i/>
          <w:color w:val="000000" w:themeColor="text1"/>
          <w:sz w:val="20"/>
          <w:highlight w:val="yellow"/>
        </w:rPr>
        <w:t xml:space="preserve">the line 10-11 </w:t>
      </w:r>
      <w:r w:rsidR="000D342B" w:rsidRPr="000D342B">
        <w:rPr>
          <w:b/>
          <w:i/>
          <w:color w:val="000000" w:themeColor="text1"/>
          <w:sz w:val="20"/>
          <w:highlight w:val="yellow"/>
        </w:rPr>
        <w:t>of page 516</w:t>
      </w:r>
      <w:r w:rsidR="00A64C5D" w:rsidRPr="000D342B">
        <w:rPr>
          <w:b/>
          <w:bCs/>
          <w:sz w:val="20"/>
          <w:szCs w:val="20"/>
          <w:highlight w:val="yellow"/>
        </w:rPr>
        <w:t xml:space="preserve"> </w:t>
      </w:r>
      <w:r w:rsidR="00A64C5D" w:rsidRPr="000D342B">
        <w:rPr>
          <w:b/>
          <w:i/>
          <w:color w:val="000000" w:themeColor="text1"/>
          <w:sz w:val="20"/>
          <w:highlight w:val="yellow"/>
        </w:rPr>
        <w:t>of</w:t>
      </w:r>
      <w:r w:rsidRPr="000D342B">
        <w:rPr>
          <w:b/>
          <w:i/>
          <w:color w:val="000000" w:themeColor="text1"/>
          <w:sz w:val="20"/>
          <w:highlight w:val="yellow"/>
        </w:rPr>
        <w:t xml:space="preserve"> D2.</w:t>
      </w:r>
      <w:r w:rsidR="007C6CE8" w:rsidRPr="000D342B">
        <w:rPr>
          <w:b/>
          <w:i/>
          <w:color w:val="000000" w:themeColor="text1"/>
          <w:sz w:val="20"/>
          <w:highlight w:val="yellow"/>
        </w:rPr>
        <w:t>2</w:t>
      </w:r>
      <w:r w:rsidRPr="000D342B">
        <w:rPr>
          <w:color w:val="000000" w:themeColor="text1"/>
          <w:sz w:val="20"/>
          <w:highlight w:val="yellow"/>
        </w:rPr>
        <w:t>:</w:t>
      </w:r>
    </w:p>
    <w:p w:rsidR="00966B21" w:rsidRPr="00966B21" w:rsidRDefault="00966B21" w:rsidP="00D50CB0">
      <w:pPr>
        <w:spacing w:after="160" w:line="259" w:lineRule="auto"/>
        <w:rPr>
          <w:sz w:val="22"/>
          <w:szCs w:val="22"/>
        </w:rPr>
      </w:pPr>
      <w:r w:rsidRPr="00966B21">
        <w:rPr>
          <w:sz w:val="22"/>
          <w:szCs w:val="22"/>
        </w:rPr>
        <w:t xml:space="preserve">In the test, </w:t>
      </w:r>
      <w:r w:rsidRPr="00966B21">
        <w:rPr>
          <w:i/>
          <w:iCs/>
          <w:sz w:val="22"/>
          <w:szCs w:val="22"/>
        </w:rPr>
        <w:t xml:space="preserve">NSS </w:t>
      </w:r>
      <w:r w:rsidRPr="00966B21">
        <w:rPr>
          <w:sz w:val="22"/>
          <w:szCs w:val="22"/>
        </w:rPr>
        <w:t xml:space="preserve">= </w:t>
      </w:r>
      <w:r w:rsidRPr="00966B21">
        <w:rPr>
          <w:i/>
          <w:iCs/>
          <w:sz w:val="22"/>
          <w:szCs w:val="22"/>
        </w:rPr>
        <w:t xml:space="preserve">NSTS </w:t>
      </w:r>
      <w:r w:rsidRPr="00966B21">
        <w:rPr>
          <w:sz w:val="22"/>
          <w:szCs w:val="22"/>
        </w:rPr>
        <w:t xml:space="preserve">(no STBC) </w:t>
      </w:r>
      <w:r w:rsidRPr="00966B21">
        <w:rPr>
          <w:color w:val="FF0000"/>
          <w:sz w:val="22"/>
          <w:szCs w:val="22"/>
        </w:rPr>
        <w:t xml:space="preserve">and no beamforming steering matrix </w:t>
      </w:r>
      <w:r w:rsidRPr="00966B21">
        <w:rPr>
          <w:sz w:val="22"/>
          <w:szCs w:val="22"/>
        </w:rPr>
        <w:t>shall be used</w:t>
      </w:r>
      <w:r w:rsidR="000D342B">
        <w:rPr>
          <w:sz w:val="22"/>
          <w:szCs w:val="22"/>
        </w:rPr>
        <w:t xml:space="preserve">. </w:t>
      </w:r>
    </w:p>
    <w:p w:rsidR="00D50CB0" w:rsidRPr="00B72CF1" w:rsidRDefault="00D50CB0" w:rsidP="00BE7656">
      <w:pPr>
        <w:spacing w:after="160" w:line="259" w:lineRule="auto"/>
        <w:rPr>
          <w:strike/>
          <w:color w:val="FF0000"/>
          <w:sz w:val="22"/>
          <w:szCs w:val="22"/>
        </w:rPr>
      </w:pPr>
    </w:p>
    <w:sectPr w:rsidR="00D50CB0" w:rsidRPr="00B72CF1"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48" w:rsidRDefault="00731448">
      <w:r>
        <w:separator/>
      </w:r>
    </w:p>
  </w:endnote>
  <w:endnote w:type="continuationSeparator" w:id="0">
    <w:p w:rsidR="00731448" w:rsidRDefault="0073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Arial Unicode MS"/>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48" w:rsidRDefault="00731448">
      <w:r>
        <w:separator/>
      </w:r>
    </w:p>
  </w:footnote>
  <w:footnote w:type="continuationSeparator" w:id="0">
    <w:p w:rsidR="00731448" w:rsidRDefault="0073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D97CC7"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March</w:t>
    </w:r>
    <w:r w:rsidR="000A6C43" w:rsidRPr="00D54162">
      <w:rPr>
        <w:color w:val="000000" w:themeColor="text1"/>
        <w:szCs w:val="28"/>
        <w:lang w:eastAsia="zh-CN"/>
      </w:rPr>
      <w:t>, 201</w:t>
    </w:r>
    <w:r w:rsidR="00F848D6"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D54162" w:rsidRPr="00D54162">
      <w:rPr>
        <w:color w:val="000000" w:themeColor="text1"/>
        <w:szCs w:val="28"/>
      </w:rPr>
      <w:t>IEEE 802.11-18/0</w:t>
    </w:r>
    <w:r w:rsidR="00E70529">
      <w:rPr>
        <w:color w:val="000000" w:themeColor="text1"/>
        <w:szCs w:val="28"/>
      </w:rPr>
      <w:t>478r0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B56"/>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342B"/>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45"/>
    <w:rsid w:val="001853C3"/>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475D2"/>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016"/>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28EA"/>
    <w:rsid w:val="002C2B38"/>
    <w:rsid w:val="002C2BB5"/>
    <w:rsid w:val="002C336D"/>
    <w:rsid w:val="002C3B1D"/>
    <w:rsid w:val="002C4E25"/>
    <w:rsid w:val="002C5B14"/>
    <w:rsid w:val="002C61E7"/>
    <w:rsid w:val="002C6F65"/>
    <w:rsid w:val="002C7537"/>
    <w:rsid w:val="002C76C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19A1"/>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1C3B"/>
    <w:rsid w:val="004B2F07"/>
    <w:rsid w:val="004B37F6"/>
    <w:rsid w:val="004B3CE0"/>
    <w:rsid w:val="004B4765"/>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5D"/>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549"/>
    <w:rsid w:val="00581D4B"/>
    <w:rsid w:val="00582253"/>
    <w:rsid w:val="005823FE"/>
    <w:rsid w:val="00583264"/>
    <w:rsid w:val="00583B9B"/>
    <w:rsid w:val="00583EEE"/>
    <w:rsid w:val="005845FF"/>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448"/>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584A"/>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5BD6"/>
    <w:rsid w:val="007C6CE8"/>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55"/>
    <w:rsid w:val="009035BC"/>
    <w:rsid w:val="00903645"/>
    <w:rsid w:val="0090451B"/>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B21"/>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864"/>
    <w:rsid w:val="00A77DEF"/>
    <w:rsid w:val="00A82F2E"/>
    <w:rsid w:val="00A83297"/>
    <w:rsid w:val="00A8335B"/>
    <w:rsid w:val="00A8366A"/>
    <w:rsid w:val="00A83AEB"/>
    <w:rsid w:val="00A83C80"/>
    <w:rsid w:val="00A84E78"/>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EAF"/>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7E1"/>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D0D"/>
    <w:rsid w:val="00C23793"/>
    <w:rsid w:val="00C23C8E"/>
    <w:rsid w:val="00C23FD0"/>
    <w:rsid w:val="00C246EA"/>
    <w:rsid w:val="00C24FC0"/>
    <w:rsid w:val="00C25263"/>
    <w:rsid w:val="00C25FAE"/>
    <w:rsid w:val="00C264BC"/>
    <w:rsid w:val="00C26CF4"/>
    <w:rsid w:val="00C27501"/>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97CC7"/>
    <w:rsid w:val="00DA04A3"/>
    <w:rsid w:val="00DA091C"/>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D80"/>
    <w:rsid w:val="00E678FA"/>
    <w:rsid w:val="00E67C2F"/>
    <w:rsid w:val="00E70529"/>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82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A"/>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1B799E9-6360-4ED8-8013-5740B3DB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1362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12</cp:revision>
  <cp:lastPrinted>2013-12-02T17:26:00Z</cp:lastPrinted>
  <dcterms:created xsi:type="dcterms:W3CDTF">2018-03-01T01:19:00Z</dcterms:created>
  <dcterms:modified xsi:type="dcterms:W3CDTF">2018-03-05T14:47:00Z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