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1A5D065" w:rsidR="00BD6FB0" w:rsidRPr="00BD6FB0" w:rsidRDefault="007668E4" w:rsidP="00355E83">
            <w:pPr>
              <w:jc w:val="center"/>
              <w:rPr>
                <w:b/>
                <w:bCs/>
                <w:color w:val="000000"/>
                <w:sz w:val="28"/>
                <w:szCs w:val="28"/>
                <w:lang w:val="en-US" w:eastAsia="ko-KR"/>
              </w:rPr>
            </w:pPr>
            <w:r w:rsidRPr="007668E4">
              <w:rPr>
                <w:b/>
                <w:bCs/>
                <w:color w:val="000000"/>
                <w:sz w:val="28"/>
                <w:szCs w:val="28"/>
                <w:lang w:val="en-US"/>
              </w:rPr>
              <w:t>CR for CID 11499 and 14324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95CCB4F" w:rsidR="00BD6FB0" w:rsidRPr="00BD6FB0" w:rsidRDefault="00BD6FB0" w:rsidP="00782116">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782116">
              <w:t>3</w:t>
            </w:r>
            <w:r w:rsidR="00361A7D">
              <w:t>-</w:t>
            </w:r>
            <w:r w:rsidR="00782116">
              <w:t>05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8E0A3C" w:rsidRPr="00945E34" w14:paraId="6D1C73E9" w14:textId="77777777" w:rsidTr="00B71E6B">
        <w:trPr>
          <w:trHeight w:val="144"/>
        </w:trPr>
        <w:tc>
          <w:tcPr>
            <w:tcW w:w="1809" w:type="dxa"/>
            <w:shd w:val="clear" w:color="auto" w:fill="FFFFFF"/>
            <w:tcMar>
              <w:top w:w="15" w:type="dxa"/>
              <w:left w:w="108" w:type="dxa"/>
              <w:bottom w:w="0" w:type="dxa"/>
              <w:right w:w="108" w:type="dxa"/>
            </w:tcMar>
            <w:vAlign w:val="center"/>
          </w:tcPr>
          <w:p w14:paraId="242C1AB6" w14:textId="18DFF481" w:rsidR="008E0A3C" w:rsidRPr="00330A1E" w:rsidRDefault="008E0A3C" w:rsidP="00B71E6B">
            <w:pPr>
              <w:rPr>
                <w:rFonts w:hint="eastAsia"/>
                <w:sz w:val="20"/>
                <w:lang w:eastAsia="ko-KR"/>
              </w:rPr>
            </w:pPr>
            <w:r w:rsidRPr="008E0A3C">
              <w:rPr>
                <w:sz w:val="20"/>
                <w:lang w:eastAsia="ko-KR"/>
              </w:rPr>
              <w:t>Alfred Asterjadhi</w:t>
            </w:r>
          </w:p>
        </w:tc>
        <w:tc>
          <w:tcPr>
            <w:tcW w:w="1184" w:type="dxa"/>
            <w:shd w:val="clear" w:color="auto" w:fill="FFFFFF"/>
            <w:vAlign w:val="center"/>
          </w:tcPr>
          <w:p w14:paraId="4B098944" w14:textId="113B4768" w:rsidR="008E0A3C" w:rsidRPr="00330A1E" w:rsidRDefault="008E0A3C" w:rsidP="00B71E6B">
            <w:pPr>
              <w:jc w:val="center"/>
              <w:rPr>
                <w:rFonts w:hint="eastAsia"/>
                <w:sz w:val="20"/>
                <w:lang w:eastAsia="ko-KR"/>
              </w:rPr>
            </w:pPr>
            <w:r>
              <w:rPr>
                <w:rFonts w:hint="eastAsia"/>
                <w:sz w:val="20"/>
                <w:lang w:eastAsia="ko-KR"/>
              </w:rPr>
              <w:t>Qualcomm</w:t>
            </w:r>
          </w:p>
        </w:tc>
        <w:tc>
          <w:tcPr>
            <w:tcW w:w="2439" w:type="dxa"/>
            <w:shd w:val="clear" w:color="auto" w:fill="FFFFFF"/>
            <w:tcMar>
              <w:top w:w="15" w:type="dxa"/>
              <w:left w:w="108" w:type="dxa"/>
              <w:bottom w:w="0" w:type="dxa"/>
              <w:right w:w="108" w:type="dxa"/>
            </w:tcMar>
            <w:vAlign w:val="center"/>
          </w:tcPr>
          <w:p w14:paraId="47E3C4AD" w14:textId="77777777" w:rsidR="008E0A3C" w:rsidRPr="00DE71EF" w:rsidRDefault="008E0A3C" w:rsidP="00B71E6B">
            <w:pPr>
              <w:jc w:val="center"/>
              <w:rPr>
                <w:rFonts w:hint="eastAsia"/>
                <w:sz w:val="20"/>
                <w:lang w:eastAsia="ko-KR"/>
              </w:rPr>
            </w:pP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77777777" w:rsidR="008E0A3C" w:rsidRPr="00330A1E" w:rsidRDefault="008E0A3C" w:rsidP="00B71E6B">
            <w:pPr>
              <w:jc w:val="center"/>
              <w:rPr>
                <w:rFonts w:hint="eastAsia"/>
                <w:sz w:val="20"/>
              </w:rPr>
            </w:pPr>
          </w:p>
        </w:tc>
      </w:tr>
    </w:tbl>
    <w:p w14:paraId="0DC9FA44" w14:textId="77777777" w:rsidR="007C67E6" w:rsidRDefault="007C67E6">
      <w:pPr>
        <w:pStyle w:val="T1"/>
        <w:spacing w:after="120"/>
        <w:rPr>
          <w:sz w:val="22"/>
        </w:rPr>
      </w:pPr>
      <w:bookmarkStart w:id="0" w:name="_GoBack"/>
      <w:bookmarkEnd w:id="0"/>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4ADF9DBD"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24D4E">
                              <w:rPr>
                                <w:rFonts w:hint="eastAsia"/>
                                <w:lang w:eastAsia="ko-KR"/>
                              </w:rPr>
                              <w:t>2</w:t>
                            </w:r>
                            <w:r w:rsidRPr="00126539">
                              <w:rPr>
                                <w:b/>
                                <w:lang w:eastAsia="ko-KR"/>
                              </w:rPr>
                              <w:t xml:space="preserve"> CIDs</w:t>
                            </w:r>
                            <w:r>
                              <w:rPr>
                                <w:lang w:eastAsia="ko-KR"/>
                              </w:rPr>
                              <w:t>):</w:t>
                            </w:r>
                          </w:p>
                          <w:p w14:paraId="21963F83" w14:textId="1045D1BC"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11499, 14324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4ADF9DBD"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CIDs (</w:t>
                      </w:r>
                      <w:r w:rsidR="00424D4E">
                        <w:rPr>
                          <w:rFonts w:hint="eastAsia"/>
                          <w:lang w:eastAsia="ko-KR"/>
                        </w:rPr>
                        <w:t>2</w:t>
                      </w:r>
                      <w:r w:rsidRPr="00126539">
                        <w:rPr>
                          <w:b/>
                          <w:lang w:eastAsia="ko-KR"/>
                        </w:rPr>
                        <w:t xml:space="preserve"> CIDs</w:t>
                      </w:r>
                      <w:r>
                        <w:rPr>
                          <w:lang w:eastAsia="ko-KR"/>
                        </w:rPr>
                        <w:t>):</w:t>
                      </w:r>
                    </w:p>
                    <w:p w14:paraId="21963F83" w14:textId="1045D1BC" w:rsidR="0013066F" w:rsidRDefault="004923F1" w:rsidP="005C0FCB">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11499, 14324</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77777777" w:rsidR="00F80992" w:rsidRPr="00AA43B9" w:rsidRDefault="00F80992">
            <w:pPr>
              <w:rPr>
                <w:b/>
                <w:bCs/>
                <w:sz w:val="20"/>
              </w:rPr>
            </w:pPr>
            <w:r w:rsidRPr="00AA43B9">
              <w:rPr>
                <w:b/>
                <w:bCs/>
                <w:sz w:val="20"/>
              </w:rPr>
              <w:t>Comment Group</w:t>
            </w:r>
          </w:p>
        </w:tc>
      </w:tr>
      <w:tr w:rsidR="0050720F" w:rsidRPr="00AA43B9" w14:paraId="58E6F580" w14:textId="77777777" w:rsidTr="00B35DB6">
        <w:trPr>
          <w:trHeight w:val="1848"/>
        </w:trPr>
        <w:tc>
          <w:tcPr>
            <w:tcW w:w="764" w:type="dxa"/>
            <w:hideMark/>
          </w:tcPr>
          <w:p w14:paraId="20AEB073" w14:textId="5388B3AC" w:rsidR="00F80992" w:rsidRPr="00AA43B9" w:rsidRDefault="00F80992" w:rsidP="00F80992">
            <w:pPr>
              <w:rPr>
                <w:sz w:val="20"/>
              </w:rPr>
            </w:pPr>
            <w:r w:rsidRPr="00AA43B9">
              <w:rPr>
                <w:sz w:val="20"/>
              </w:rPr>
              <w:t>11499</w:t>
            </w:r>
          </w:p>
        </w:tc>
        <w:tc>
          <w:tcPr>
            <w:tcW w:w="1066" w:type="dxa"/>
            <w:hideMark/>
          </w:tcPr>
          <w:p w14:paraId="68B3E6F8" w14:textId="19B0401A" w:rsidR="00F80992" w:rsidRPr="00AA43B9" w:rsidRDefault="00F80992">
            <w:pPr>
              <w:rPr>
                <w:sz w:val="20"/>
              </w:rPr>
            </w:pPr>
            <w:r w:rsidRPr="00AA43B9">
              <w:rPr>
                <w:sz w:val="20"/>
              </w:rPr>
              <w:t>254.49</w:t>
            </w:r>
          </w:p>
        </w:tc>
        <w:tc>
          <w:tcPr>
            <w:tcW w:w="2897" w:type="dxa"/>
            <w:hideMark/>
          </w:tcPr>
          <w:p w14:paraId="0BB56EA7" w14:textId="77777777" w:rsidR="00F80992" w:rsidRPr="00AA43B9" w:rsidRDefault="00F80992">
            <w:pPr>
              <w:rPr>
                <w:sz w:val="20"/>
              </w:rPr>
            </w:pPr>
            <w:r w:rsidRPr="00AA43B9">
              <w:rPr>
                <w:sz w:val="20"/>
              </w:rPr>
              <w:t>The Queue size High and Queue Size All in the BSR Control is poorly designed. It doesn't provide sufficient information of UL OFDMA/MIMO scheduling. Need a better design.</w:t>
            </w:r>
          </w:p>
        </w:tc>
        <w:tc>
          <w:tcPr>
            <w:tcW w:w="1831" w:type="dxa"/>
            <w:hideMark/>
          </w:tcPr>
          <w:p w14:paraId="4A62A4C1" w14:textId="77777777" w:rsidR="00F80992" w:rsidRPr="00AA43B9" w:rsidRDefault="00F80992">
            <w:pPr>
              <w:rPr>
                <w:sz w:val="20"/>
              </w:rPr>
            </w:pPr>
            <w:r w:rsidRPr="00AA43B9">
              <w:rPr>
                <w:sz w:val="20"/>
              </w:rPr>
              <w:t>as in the comment</w:t>
            </w:r>
          </w:p>
        </w:tc>
        <w:tc>
          <w:tcPr>
            <w:tcW w:w="2374" w:type="dxa"/>
            <w:hideMark/>
          </w:tcPr>
          <w:p w14:paraId="7FA55D1A" w14:textId="462964B3" w:rsidR="00F80992" w:rsidRDefault="00440754">
            <w:pPr>
              <w:rPr>
                <w:sz w:val="20"/>
                <w:lang w:eastAsia="ko-KR"/>
              </w:rPr>
            </w:pPr>
            <w:r>
              <w:rPr>
                <w:sz w:val="20"/>
                <w:lang w:eastAsia="ko-KR"/>
              </w:rPr>
              <w:t>Revised.</w:t>
            </w:r>
          </w:p>
          <w:p w14:paraId="207E8DD1" w14:textId="77777777" w:rsidR="009870BB" w:rsidRDefault="009870BB">
            <w:pPr>
              <w:rPr>
                <w:sz w:val="20"/>
                <w:lang w:eastAsia="ko-KR"/>
              </w:rPr>
            </w:pPr>
          </w:p>
          <w:p w14:paraId="02742DF4" w14:textId="110A6BD5" w:rsidR="00440754" w:rsidRDefault="00440754" w:rsidP="00440754">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11-18/0</w:t>
            </w:r>
            <w:r>
              <w:rPr>
                <w:bCs/>
                <w:sz w:val="20"/>
                <w:lang w:val="en-US" w:eastAsia="ko-KR"/>
              </w:rPr>
              <w:t>454</w:t>
            </w:r>
            <w:r>
              <w:rPr>
                <w:bCs/>
                <w:sz w:val="20"/>
                <w:lang w:val="en-US" w:eastAsia="ko-KR"/>
              </w:rPr>
              <w:t>r</w:t>
            </w:r>
            <w:r>
              <w:rPr>
                <w:bCs/>
                <w:sz w:val="20"/>
                <w:lang w:val="en-US" w:eastAsia="ko-KR"/>
              </w:rPr>
              <w:t>0</w:t>
            </w:r>
            <w:r w:rsidRPr="00AA43B9">
              <w:rPr>
                <w:bCs/>
                <w:sz w:val="20"/>
                <w:lang w:val="en-US" w:eastAsia="ko-KR"/>
              </w:rPr>
              <w:t xml:space="preserve"> under </w:t>
            </w:r>
            <w:r>
              <w:rPr>
                <w:bCs/>
                <w:sz w:val="20"/>
                <w:lang w:val="en-US" w:eastAsia="ko-KR"/>
              </w:rPr>
              <w:t>14265.</w:t>
            </w:r>
          </w:p>
          <w:p w14:paraId="455760C5" w14:textId="6E44A682" w:rsidR="00DA74EB" w:rsidRPr="00440754" w:rsidRDefault="00DA74EB" w:rsidP="00440754">
            <w:pPr>
              <w:rPr>
                <w:sz w:val="20"/>
                <w:lang w:eastAsia="ko-KR"/>
              </w:rPr>
            </w:pPr>
          </w:p>
        </w:tc>
        <w:tc>
          <w:tcPr>
            <w:tcW w:w="1269" w:type="dxa"/>
            <w:hideMark/>
          </w:tcPr>
          <w:p w14:paraId="44284B8B" w14:textId="77777777" w:rsidR="00F80992" w:rsidRPr="00AA43B9" w:rsidRDefault="00F80992">
            <w:pPr>
              <w:rPr>
                <w:sz w:val="20"/>
              </w:rPr>
            </w:pPr>
            <w:r w:rsidRPr="00AA43B9">
              <w:rPr>
                <w:sz w:val="20"/>
              </w:rPr>
              <w:t>MU operation</w:t>
            </w:r>
          </w:p>
        </w:tc>
      </w:tr>
      <w:tr w:rsidR="0050720F" w:rsidRPr="00AA43B9" w14:paraId="2A68A767" w14:textId="77777777" w:rsidTr="00B35DB6">
        <w:trPr>
          <w:trHeight w:val="1848"/>
        </w:trPr>
        <w:tc>
          <w:tcPr>
            <w:tcW w:w="764" w:type="dxa"/>
            <w:hideMark/>
          </w:tcPr>
          <w:p w14:paraId="31B4406D" w14:textId="35024A14" w:rsidR="00F80992" w:rsidRPr="00AA43B9" w:rsidRDefault="00F80992" w:rsidP="00F80992">
            <w:pPr>
              <w:rPr>
                <w:sz w:val="20"/>
              </w:rPr>
            </w:pPr>
            <w:r w:rsidRPr="00AA43B9">
              <w:rPr>
                <w:sz w:val="20"/>
              </w:rPr>
              <w:t>14324</w:t>
            </w:r>
          </w:p>
        </w:tc>
        <w:tc>
          <w:tcPr>
            <w:tcW w:w="1066" w:type="dxa"/>
            <w:hideMark/>
          </w:tcPr>
          <w:p w14:paraId="6B1858EB" w14:textId="4AEE9A75" w:rsidR="00F80992" w:rsidRPr="00AA43B9" w:rsidRDefault="00F80992">
            <w:pPr>
              <w:rPr>
                <w:sz w:val="20"/>
              </w:rPr>
            </w:pPr>
            <w:r w:rsidRPr="00AA43B9">
              <w:rPr>
                <w:sz w:val="20"/>
              </w:rPr>
              <w:t>254.49</w:t>
            </w:r>
          </w:p>
        </w:tc>
        <w:tc>
          <w:tcPr>
            <w:tcW w:w="2897" w:type="dxa"/>
            <w:hideMark/>
          </w:tcPr>
          <w:p w14:paraId="59326FB4" w14:textId="77777777" w:rsidR="00F80992" w:rsidRPr="00AA43B9" w:rsidRDefault="00F80992">
            <w:pPr>
              <w:rPr>
                <w:sz w:val="20"/>
              </w:rPr>
            </w:pPr>
            <w:r w:rsidRPr="00AA43B9">
              <w:rPr>
                <w:sz w:val="20"/>
              </w:rPr>
              <w:t>The Queue size High and Queue Size All in the BSR Control is poorly designed. It doesn't provide sufficient information of UL OFDMA/MIMO scheduling. Need a better design.</w:t>
            </w:r>
          </w:p>
        </w:tc>
        <w:tc>
          <w:tcPr>
            <w:tcW w:w="1831" w:type="dxa"/>
            <w:hideMark/>
          </w:tcPr>
          <w:p w14:paraId="7EF433CA" w14:textId="77777777" w:rsidR="00F80992" w:rsidRPr="00AA43B9" w:rsidRDefault="00F80992">
            <w:pPr>
              <w:rPr>
                <w:sz w:val="20"/>
              </w:rPr>
            </w:pPr>
            <w:r w:rsidRPr="00AA43B9">
              <w:rPr>
                <w:sz w:val="20"/>
              </w:rPr>
              <w:t>as in the comment</w:t>
            </w:r>
          </w:p>
        </w:tc>
        <w:tc>
          <w:tcPr>
            <w:tcW w:w="2374" w:type="dxa"/>
            <w:hideMark/>
          </w:tcPr>
          <w:p w14:paraId="3C56B63E" w14:textId="77777777" w:rsidR="00440754" w:rsidRDefault="00440754" w:rsidP="00440754">
            <w:pPr>
              <w:rPr>
                <w:sz w:val="20"/>
                <w:lang w:eastAsia="ko-KR"/>
              </w:rPr>
            </w:pPr>
            <w:r>
              <w:rPr>
                <w:sz w:val="20"/>
                <w:lang w:eastAsia="ko-KR"/>
              </w:rPr>
              <w:t>Revised.</w:t>
            </w:r>
          </w:p>
          <w:p w14:paraId="659A474E" w14:textId="77777777" w:rsidR="00440754" w:rsidRDefault="00440754" w:rsidP="00440754">
            <w:pPr>
              <w:rPr>
                <w:sz w:val="20"/>
                <w:lang w:eastAsia="ko-KR"/>
              </w:rPr>
            </w:pPr>
          </w:p>
          <w:p w14:paraId="6AAE72EB" w14:textId="77777777" w:rsidR="00440754" w:rsidRDefault="00440754" w:rsidP="00440754">
            <w:pPr>
              <w:rPr>
                <w:sz w:val="20"/>
                <w:lang w:eastAsia="ko-KR"/>
              </w:rPr>
            </w:pPr>
            <w:proofErr w:type="spellStart"/>
            <w:r w:rsidRPr="00AA43B9">
              <w:rPr>
                <w:bCs/>
                <w:sz w:val="20"/>
                <w:lang w:val="en-US" w:eastAsia="ko-KR"/>
              </w:rPr>
              <w:t>TGax</w:t>
            </w:r>
            <w:proofErr w:type="spellEnd"/>
            <w:r w:rsidRPr="00AA43B9">
              <w:rPr>
                <w:bCs/>
                <w:sz w:val="20"/>
                <w:lang w:val="en-US" w:eastAsia="ko-KR"/>
              </w:rPr>
              <w:t xml:space="preserve"> editor to make change in 11-18/0</w:t>
            </w:r>
            <w:r>
              <w:rPr>
                <w:bCs/>
                <w:sz w:val="20"/>
                <w:lang w:val="en-US" w:eastAsia="ko-KR"/>
              </w:rPr>
              <w:t>454r0</w:t>
            </w:r>
            <w:r w:rsidRPr="00AA43B9">
              <w:rPr>
                <w:bCs/>
                <w:sz w:val="20"/>
                <w:lang w:val="en-US" w:eastAsia="ko-KR"/>
              </w:rPr>
              <w:t xml:space="preserve"> under </w:t>
            </w:r>
            <w:r>
              <w:rPr>
                <w:bCs/>
                <w:sz w:val="20"/>
                <w:lang w:val="en-US" w:eastAsia="ko-KR"/>
              </w:rPr>
              <w:t>14265.</w:t>
            </w:r>
          </w:p>
          <w:p w14:paraId="7973BFB2" w14:textId="77777777" w:rsidR="00F80992" w:rsidRPr="00440754" w:rsidRDefault="00F80992" w:rsidP="00440754">
            <w:pPr>
              <w:rPr>
                <w:sz w:val="20"/>
              </w:rPr>
            </w:pPr>
          </w:p>
        </w:tc>
        <w:tc>
          <w:tcPr>
            <w:tcW w:w="1269" w:type="dxa"/>
            <w:hideMark/>
          </w:tcPr>
          <w:p w14:paraId="688DFE7B" w14:textId="77777777" w:rsidR="00F80992" w:rsidRPr="00AA43B9" w:rsidRDefault="00F80992">
            <w:pPr>
              <w:rPr>
                <w:sz w:val="20"/>
              </w:rPr>
            </w:pPr>
            <w:r w:rsidRPr="00AA43B9">
              <w:rPr>
                <w:sz w:val="20"/>
              </w:rPr>
              <w:t>MU operation</w:t>
            </w:r>
          </w:p>
        </w:tc>
      </w:tr>
    </w:tbl>
    <w:p w14:paraId="70F24CEC" w14:textId="77777777"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77777777" w:rsidR="00391A1F" w:rsidRDefault="00391A1F" w:rsidP="00391A1F">
      <w:pPr>
        <w:rPr>
          <w:i/>
          <w:u w:val="single"/>
        </w:rPr>
      </w:pPr>
      <w:r w:rsidRPr="00F0664C">
        <w:rPr>
          <w:b/>
          <w:u w:val="single"/>
        </w:rPr>
        <w:t>Discussion:</w:t>
      </w:r>
      <w:r w:rsidRPr="0043413E">
        <w:rPr>
          <w:i/>
          <w:u w:val="single"/>
        </w:rPr>
        <w:t xml:space="preserve"> None.</w:t>
      </w:r>
    </w:p>
    <w:p w14:paraId="56532F39" w14:textId="77777777" w:rsidR="00391A1F" w:rsidRDefault="00391A1F" w:rsidP="00391A1F">
      <w:pPr>
        <w:rPr>
          <w:u w:val="single"/>
        </w:rPr>
      </w:pPr>
    </w:p>
    <w:p w14:paraId="16B38CB9" w14:textId="77777777" w:rsidR="00782116" w:rsidRDefault="00782116" w:rsidP="00430C40">
      <w:pPr>
        <w:rPr>
          <w:b/>
          <w:u w:val="single"/>
          <w:lang w:eastAsia="ko-KR"/>
        </w:rPr>
      </w:pPr>
    </w:p>
    <w:p w14:paraId="51CB09DC" w14:textId="77777777" w:rsidR="00782116" w:rsidRDefault="00782116" w:rsidP="00782116">
      <w:pPr>
        <w:rPr>
          <w:u w:val="single"/>
          <w:lang w:eastAsia="ko-KR"/>
        </w:rPr>
      </w:pPr>
      <w:r>
        <w:rPr>
          <w:b/>
          <w:u w:val="single"/>
        </w:rPr>
        <w:t>Propose</w:t>
      </w:r>
      <w:r>
        <w:rPr>
          <w:b/>
          <w:u w:val="single"/>
          <w:lang w:eastAsia="ko-KR"/>
        </w:rPr>
        <w:t>:</w:t>
      </w:r>
    </w:p>
    <w:p w14:paraId="75462E49" w14:textId="027B0049" w:rsidR="00782116" w:rsidRDefault="00782116" w:rsidP="00782116">
      <w:pPr>
        <w:rPr>
          <w:lang w:eastAsia="ko-KR"/>
        </w:rPr>
      </w:pPr>
      <w:r>
        <w:rPr>
          <w:lang w:eastAsia="ko-KR"/>
        </w:rPr>
        <w:t xml:space="preserve">Revised for CID </w:t>
      </w:r>
      <w:r>
        <w:rPr>
          <w:lang w:eastAsia="ko-KR"/>
        </w:rPr>
        <w:t xml:space="preserve">11499, 14324 </w:t>
      </w:r>
      <w:r>
        <w:rPr>
          <w:lang w:eastAsia="ko-KR"/>
        </w:rPr>
        <w:t>per discussion and editing instructions in 11-18/0</w:t>
      </w:r>
      <w:r>
        <w:rPr>
          <w:lang w:eastAsia="ko-KR"/>
        </w:rPr>
        <w:t>454</w:t>
      </w:r>
      <w:r>
        <w:rPr>
          <w:lang w:eastAsia="ko-KR"/>
        </w:rPr>
        <w:t>r</w:t>
      </w:r>
      <w:r>
        <w:rPr>
          <w:lang w:eastAsia="ko-KR"/>
        </w:rPr>
        <w:t>0</w:t>
      </w:r>
      <w:r>
        <w:rPr>
          <w:lang w:eastAsia="ko-KR"/>
        </w:rPr>
        <w:t>.</w:t>
      </w:r>
    </w:p>
    <w:p w14:paraId="012A60AA" w14:textId="77777777" w:rsidR="00782116" w:rsidRPr="00782116" w:rsidRDefault="00782116" w:rsidP="00430C40">
      <w:pPr>
        <w:rPr>
          <w:b/>
          <w:u w:val="single"/>
          <w:lang w:eastAsia="ko-KR"/>
        </w:rPr>
      </w:pPr>
    </w:p>
    <w:p w14:paraId="040FEE0F" w14:textId="56FF2ECF" w:rsidR="00430C40" w:rsidRDefault="00440754" w:rsidP="00430C40">
      <w:pPr>
        <w:rPr>
          <w:b/>
          <w:u w:val="single"/>
          <w:lang w:eastAsia="ko-KR"/>
        </w:rPr>
      </w:pPr>
      <w:proofErr w:type="spellStart"/>
      <w:r>
        <w:rPr>
          <w:b/>
          <w:i/>
          <w:lang w:eastAsia="ko-KR"/>
        </w:rPr>
        <w:t>TGax</w:t>
      </w:r>
      <w:proofErr w:type="spellEnd"/>
      <w:r>
        <w:rPr>
          <w:b/>
          <w:i/>
          <w:lang w:eastAsia="ko-KR"/>
        </w:rPr>
        <w:t xml:space="preserve"> editor: Modify the sentence</w:t>
      </w:r>
      <w:r>
        <w:rPr>
          <w:b/>
          <w:i/>
          <w:lang w:eastAsia="ko-KR"/>
        </w:rPr>
        <w:t xml:space="preserve"> as below</w:t>
      </w:r>
    </w:p>
    <w:p w14:paraId="7462E451" w14:textId="77777777" w:rsidR="00440754" w:rsidRDefault="00440754" w:rsidP="00430C40">
      <w:pPr>
        <w:rPr>
          <w:b/>
          <w:u w:val="single"/>
          <w:lang w:eastAsia="ko-KR"/>
        </w:rPr>
      </w:pPr>
    </w:p>
    <w:p w14:paraId="5DEFFF37" w14:textId="77777777" w:rsidR="00440754" w:rsidRDefault="00440754" w:rsidP="00440754">
      <w:pPr>
        <w:pStyle w:val="H5"/>
        <w:numPr>
          <w:ilvl w:val="0"/>
          <w:numId w:val="8"/>
        </w:numPr>
      </w:pPr>
      <w:bookmarkStart w:id="1" w:name="RTF33313635323a2048352c312e"/>
      <w:r>
        <w:lastRenderedPageBreak/>
        <w:t>BSR Control</w:t>
      </w:r>
      <w:bookmarkEnd w:id="1"/>
    </w:p>
    <w:p w14:paraId="476FFF40" w14:textId="1B72FC8B" w:rsidR="00440754" w:rsidRDefault="00440754" w:rsidP="00440754">
      <w:pPr>
        <w:pStyle w:val="CellBody"/>
        <w:rPr>
          <w:lang w:val="en-GB"/>
        </w:rPr>
      </w:pPr>
      <w:r>
        <w:rPr>
          <w:noProof/>
          <w:lang w:eastAsia="ko-KR"/>
        </w:rPr>
        <w:drawing>
          <wp:inline distT="0" distB="0" distL="0" distR="0" wp14:anchorId="76A5BB4E" wp14:editId="606B9D00">
            <wp:extent cx="5943600" cy="288480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noFill/>
                    <a:ln>
                      <a:noFill/>
                    </a:ln>
                  </pic:spPr>
                </pic:pic>
              </a:graphicData>
            </a:graphic>
          </wp:inline>
        </w:drawing>
      </w:r>
    </w:p>
    <w:p w14:paraId="77901E1E" w14:textId="77777777" w:rsidR="00440754" w:rsidRDefault="00440754" w:rsidP="00440754">
      <w:pPr>
        <w:pStyle w:val="H4"/>
        <w:numPr>
          <w:ilvl w:val="0"/>
          <w:numId w:val="11"/>
        </w:numPr>
      </w:pPr>
      <w:bookmarkStart w:id="2" w:name="RTF35313839303a2048342c312e"/>
      <w:r>
        <w:t>HE buffer status feedback operation for UL MU</w:t>
      </w:r>
      <w:bookmarkEnd w:id="2"/>
    </w:p>
    <w:p w14:paraId="6EE0603A" w14:textId="77777777" w:rsidR="00440754" w:rsidRDefault="00440754" w:rsidP="00440754">
      <w:pPr>
        <w:pStyle w:val="DL1"/>
        <w:spacing w:before="0" w:after="0"/>
        <w:ind w:left="0" w:firstLine="0"/>
      </w:pPr>
      <w:r>
        <w:t>…</w:t>
      </w:r>
    </w:p>
    <w:p w14:paraId="30D890AD" w14:textId="77777777" w:rsidR="00440754" w:rsidRDefault="00440754" w:rsidP="00440754">
      <w:pPr>
        <w:pStyle w:val="T"/>
      </w:pPr>
      <w:r>
        <w:t xml:space="preserve">A non-AP STA reports its buffer status (unsolicited BSR) to the AP to which it is associated using either the </w:t>
      </w:r>
      <w:proofErr w:type="spellStart"/>
      <w:r>
        <w:t>QoS</w:t>
      </w:r>
      <w:proofErr w:type="spellEnd"/>
      <w:r>
        <w:t xml:space="preserve"> Control field or the BSR Control </w:t>
      </w:r>
      <w:proofErr w:type="gramStart"/>
      <w:r>
        <w:t>field(</w:t>
      </w:r>
      <w:proofErr w:type="gramEnd"/>
      <w:r>
        <w:t>#4727) of frames it transmits as defined below:</w:t>
      </w:r>
    </w:p>
    <w:p w14:paraId="7F32FD35" w14:textId="77777777" w:rsidR="00440754" w:rsidRDefault="00440754" w:rsidP="00440754">
      <w:pPr>
        <w:pStyle w:val="DL1"/>
        <w:spacing w:before="0" w:after="0"/>
        <w:ind w:left="0" w:firstLine="0"/>
      </w:pPr>
      <w:r>
        <w:t>…</w:t>
      </w:r>
    </w:p>
    <w:p w14:paraId="6228DB94" w14:textId="77777777" w:rsidR="00440754" w:rsidRDefault="00440754" w:rsidP="00440754">
      <w:pPr>
        <w:pStyle w:val="DL1"/>
        <w:numPr>
          <w:ilvl w:val="0"/>
          <w:numId w:val="12"/>
        </w:numPr>
        <w:spacing w:before="0" w:after="0"/>
      </w:pPr>
      <w:r>
        <w:t xml:space="preserve">The HE STA shall set the Delta TID subfield according to Table 9-18e (Delta TID subfield encoding), and the Scaling Factor subfield as defined in 9.2.4.6.4.5 (BSR Control). </w:t>
      </w:r>
      <w:r>
        <w:rPr>
          <w:b/>
          <w:bCs/>
          <w:color w:val="FF0000"/>
        </w:rPr>
        <w:t>If the STA sets only one bit to non-zero in the ACI Bitmap subfield, it shall report the buffer status for the lower TID (when Delta TID subfield is set to 0) or for the higher TID (when Delta TID subfield is set to 2) or both (when Delta TID subfield is set to 1 or 3) TIDs of that AC as defined in 9.2.4.6.4.5 (BSR Control).</w:t>
      </w:r>
      <w:r>
        <w:rPr>
          <w:color w:val="FF0000"/>
        </w:rPr>
        <w:t xml:space="preserve"> </w:t>
      </w:r>
    </w:p>
    <w:p w14:paraId="547CAA63" w14:textId="77777777" w:rsidR="00440754" w:rsidRDefault="00440754" w:rsidP="00440754">
      <w:pPr>
        <w:pStyle w:val="CellBody"/>
        <w:rPr>
          <w:color w:val="auto"/>
          <w:lang w:val="en-GB"/>
        </w:rPr>
      </w:pPr>
    </w:p>
    <w:p w14:paraId="4DA167D7" w14:textId="77777777" w:rsidR="00440754" w:rsidRDefault="00440754" w:rsidP="00440754">
      <w:pPr>
        <w:pStyle w:val="T"/>
      </w:pPr>
      <w:r>
        <w:t>An AP can also solicit one or more associated non-AP STAs for their BSR(s) by sending a BSRP Trigger frame (see 9.3.1.23 (Trigger frame format)). The non-AP STA responds (solicited BSR) as defined below:</w:t>
      </w:r>
    </w:p>
    <w:p w14:paraId="44196EB5" w14:textId="77777777" w:rsidR="00440754" w:rsidRDefault="00440754" w:rsidP="00440754">
      <w:pPr>
        <w:pStyle w:val="DL1"/>
        <w:numPr>
          <w:ilvl w:val="0"/>
          <w:numId w:val="12"/>
        </w:numPr>
        <w:spacing w:before="0" w:after="0"/>
      </w:pPr>
      <w:r>
        <w:t xml:space="preserve">The BSR Control field with the Queue Size All subfield indicating the queue size for all the ACs, indicated by the ACI Bitmap subfield, for which the STA has buffer status to report to the AP when the AP has indicated its support in the BSR Support subfield of its HE Capabilities element. The STA shall set Delta TID, SF, ACI High and Queue Size High subfields of the BSR Control field as defined in 9.2.4.6.4.5 (BSR Control). </w:t>
      </w:r>
      <w:r>
        <w:rPr>
          <w:b/>
          <w:bCs/>
          <w:color w:val="FF0000"/>
        </w:rPr>
        <w:t>If the STA sets only one bit to non-zero in the ACI Bitmap subfield, it shall report the buffer status for the lower TID (when Delta TID subfield is set to 0) or for the higher TID (when Delta TID subfield is set to 2) or both (when Delta TID subfield is set to 1 or 3) TIDs of that AC as defined in 9.2.4.6.4.5 (BSR Control).</w:t>
      </w:r>
    </w:p>
    <w:p w14:paraId="10DDFD40" w14:textId="77777777" w:rsidR="00440754" w:rsidRPr="00440754" w:rsidRDefault="00440754" w:rsidP="00430C40">
      <w:pPr>
        <w:rPr>
          <w:u w:val="single"/>
          <w:lang w:val="en-US" w:eastAsia="ko-KR"/>
        </w:rPr>
      </w:pPr>
    </w:p>
    <w:sectPr w:rsidR="00440754" w:rsidRPr="00440754"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4186A" w14:textId="77777777" w:rsidR="00F32245" w:rsidRDefault="00F32245">
      <w:r>
        <w:separator/>
      </w:r>
    </w:p>
  </w:endnote>
  <w:endnote w:type="continuationSeparator" w:id="0">
    <w:p w14:paraId="3EF12CCC" w14:textId="77777777" w:rsidR="00F32245" w:rsidRDefault="00F3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8E0A3C">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AEB8" w14:textId="77777777" w:rsidR="00F32245" w:rsidRDefault="00F32245">
      <w:r>
        <w:separator/>
      </w:r>
    </w:p>
  </w:footnote>
  <w:footnote w:type="continuationSeparator" w:id="0">
    <w:p w14:paraId="7D880AA8" w14:textId="77777777" w:rsidR="00F32245" w:rsidRDefault="00F3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F4F54A2" w:rsidR="0013066F" w:rsidRDefault="007668E4" w:rsidP="00732A32">
    <w:pPr>
      <w:pStyle w:val="a4"/>
      <w:tabs>
        <w:tab w:val="clear" w:pos="6480"/>
        <w:tab w:val="center" w:pos="4680"/>
        <w:tab w:val="right" w:pos="9360"/>
      </w:tabs>
    </w:pPr>
    <w:r>
      <w:t>March</w:t>
    </w:r>
    <w:fldSimple w:instr=" KEYWORDS  \* MERGEFORMAT ">
      <w:r w:rsidR="0013066F">
        <w:t xml:space="preserve"> 201</w:t>
      </w:r>
    </w:fldSimple>
    <w:r w:rsidR="00A80838">
      <w:t>8</w:t>
    </w:r>
    <w:r w:rsidR="0013066F">
      <w:tab/>
    </w:r>
    <w:r w:rsidR="0013066F">
      <w:tab/>
    </w:r>
    <w:fldSimple w:instr=" TITLE  \* MERGEFORMAT ">
      <w:r w:rsidR="0013066F">
        <w:t>doc.: IEEE 802.11-1</w:t>
      </w:r>
      <w:r w:rsidR="00A80838">
        <w:t>8</w:t>
      </w:r>
      <w:r w:rsidR="0013066F">
        <w:t>/</w:t>
      </w:r>
      <w:r w:rsidR="00355E83">
        <w:t>0</w:t>
      </w:r>
      <w:r>
        <w:t>454</w:t>
      </w:r>
      <w:r w:rsidR="0013066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8"/>
    <w:lvlOverride w:ilvl="0"/>
    <w:lvlOverride w:ilvl="1"/>
    <w:lvlOverride w:ilvl="2"/>
    <w:lvlOverride w:ilvl="3"/>
    <w:lvlOverride w:ilvl="4"/>
    <w:lvlOverride w:ilvl="5"/>
    <w:lvlOverride w:ilvl="6"/>
    <w:lvlOverride w:ilvl="7"/>
    <w:lvlOverride w:ilvl="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9"/>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C41DA"/>
    <w:rsid w:val="001C736F"/>
    <w:rsid w:val="001D25A0"/>
    <w:rsid w:val="001D3204"/>
    <w:rsid w:val="001D4CD9"/>
    <w:rsid w:val="001D6175"/>
    <w:rsid w:val="001D723B"/>
    <w:rsid w:val="001E0249"/>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17BB5"/>
    <w:rsid w:val="0042009A"/>
    <w:rsid w:val="004222E0"/>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3702"/>
    <w:rsid w:val="006B6F80"/>
    <w:rsid w:val="006B7611"/>
    <w:rsid w:val="006C0727"/>
    <w:rsid w:val="006C2BA6"/>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7F20"/>
    <w:rsid w:val="009B0CBB"/>
    <w:rsid w:val="009B18F7"/>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006"/>
    <w:rsid w:val="00AA427C"/>
    <w:rsid w:val="00AA43B9"/>
    <w:rsid w:val="00AA75F4"/>
    <w:rsid w:val="00AB15FE"/>
    <w:rsid w:val="00AB57DA"/>
    <w:rsid w:val="00AB7D1B"/>
    <w:rsid w:val="00AC0BF3"/>
    <w:rsid w:val="00AC2BAD"/>
    <w:rsid w:val="00AC32D5"/>
    <w:rsid w:val="00AC3EDC"/>
    <w:rsid w:val="00AD38C4"/>
    <w:rsid w:val="00AD7E65"/>
    <w:rsid w:val="00AE3516"/>
    <w:rsid w:val="00AE56C0"/>
    <w:rsid w:val="00AF2C8F"/>
    <w:rsid w:val="00AF5418"/>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4EB"/>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CF5"/>
    <w:rsid w:val="00E3225D"/>
    <w:rsid w:val="00E32BB8"/>
    <w:rsid w:val="00E34670"/>
    <w:rsid w:val="00E37C64"/>
    <w:rsid w:val="00E40B07"/>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5AA0"/>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FC4"/>
    <w:rsid w:val="00F57301"/>
    <w:rsid w:val="00F60B3A"/>
    <w:rsid w:val="00F61EB1"/>
    <w:rsid w:val="00F639BA"/>
    <w:rsid w:val="00F67D85"/>
    <w:rsid w:val="00F70066"/>
    <w:rsid w:val="00F70910"/>
    <w:rsid w:val="00F7439A"/>
    <w:rsid w:val="00F745D5"/>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A5D343C-F8F2-4ED9-9F04-80654A4A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3</Pages>
  <Words>519</Words>
  <Characters>2959</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7</cp:revision>
  <cp:lastPrinted>2016-01-08T21:12:00Z</cp:lastPrinted>
  <dcterms:created xsi:type="dcterms:W3CDTF">2018-02-28T15:11:00Z</dcterms:created>
  <dcterms:modified xsi:type="dcterms:W3CDTF">2018-03-05T20:11:00Z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