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10"/>
        <w:gridCol w:w="2225"/>
        <w:gridCol w:w="862"/>
        <w:gridCol w:w="3344"/>
      </w:tblGrid>
      <w:tr w:rsidR="00B6527E" w:rsidTr="00DE4F78">
        <w:trPr>
          <w:trHeight w:val="485"/>
          <w:jc w:val="center"/>
        </w:trPr>
        <w:tc>
          <w:tcPr>
            <w:tcW w:w="9779" w:type="dxa"/>
            <w:gridSpan w:val="5"/>
            <w:vAlign w:val="center"/>
          </w:tcPr>
          <w:p w:rsidR="00B6527E" w:rsidRPr="007B13D6" w:rsidRDefault="00654E8A" w:rsidP="00DA5396">
            <w:pPr>
              <w:pStyle w:val="T2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 xml:space="preserve">Comment Resolution on OFDM </w:t>
            </w:r>
            <w:r w:rsidR="00DA5396">
              <w:rPr>
                <w:rFonts w:eastAsia="ＭＳ 明朝" w:hint="eastAsia"/>
                <w:lang w:eastAsia="ja-JP"/>
              </w:rPr>
              <w:t>DC relative shift</w:t>
            </w:r>
          </w:p>
        </w:tc>
      </w:tr>
      <w:tr w:rsidR="00B6527E" w:rsidTr="00DE4F78">
        <w:trPr>
          <w:trHeight w:val="359"/>
          <w:jc w:val="center"/>
        </w:trPr>
        <w:tc>
          <w:tcPr>
            <w:tcW w:w="9779" w:type="dxa"/>
            <w:gridSpan w:val="5"/>
            <w:vAlign w:val="center"/>
          </w:tcPr>
          <w:p w:rsidR="00B6527E" w:rsidRPr="000307B2" w:rsidRDefault="00B6527E" w:rsidP="001B2538">
            <w:pPr>
              <w:pStyle w:val="T2"/>
              <w:ind w:left="0"/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2443F4">
              <w:rPr>
                <w:rFonts w:eastAsia="ＭＳ 明朝" w:hint="eastAsia"/>
                <w:b w:val="0"/>
                <w:sz w:val="20"/>
                <w:lang w:eastAsia="ja-JP"/>
              </w:rPr>
              <w:t>8</w:t>
            </w:r>
            <w:r>
              <w:rPr>
                <w:b w:val="0"/>
                <w:sz w:val="20"/>
              </w:rPr>
              <w:t>-</w:t>
            </w:r>
            <w:r w:rsidR="00477797">
              <w:rPr>
                <w:rFonts w:eastAsia="ＭＳ 明朝" w:hint="eastAsia"/>
                <w:b w:val="0"/>
                <w:sz w:val="20"/>
                <w:lang w:eastAsia="ja-JP"/>
              </w:rPr>
              <w:t>2-</w:t>
            </w:r>
            <w:r w:rsidR="001B2538">
              <w:rPr>
                <w:rFonts w:eastAsia="ＭＳ 明朝"/>
                <w:b w:val="0"/>
                <w:sz w:val="20"/>
                <w:lang w:eastAsia="ja-JP"/>
              </w:rPr>
              <w:t>27</w:t>
            </w:r>
          </w:p>
        </w:tc>
      </w:tr>
      <w:tr w:rsidR="00B6527E" w:rsidTr="00DE4F78">
        <w:trPr>
          <w:cantSplit/>
          <w:jc w:val="center"/>
        </w:trPr>
        <w:tc>
          <w:tcPr>
            <w:tcW w:w="9779" w:type="dxa"/>
            <w:gridSpan w:val="5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:rsidTr="00DE4F78">
        <w:trPr>
          <w:jc w:val="center"/>
        </w:trPr>
        <w:tc>
          <w:tcPr>
            <w:tcW w:w="1838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25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2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4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BE194E" w:rsidRDefault="00E816F6" w:rsidP="00065829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510" w:type="dxa"/>
            <w:vMerge w:val="restart"/>
            <w:vAlign w:val="center"/>
          </w:tcPr>
          <w:p w:rsidR="00E816F6" w:rsidRPr="00B77FE4" w:rsidRDefault="00E816F6" w:rsidP="00E816F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225" w:type="dxa"/>
            <w:vAlign w:val="center"/>
          </w:tcPr>
          <w:p w:rsidR="00E816F6" w:rsidRPr="00B51D1A" w:rsidRDefault="00E816F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600 Saedo-cho, Tsuzuki-ku, Yokohama, Kanagawa, Japan</w:t>
            </w:r>
          </w:p>
        </w:tc>
        <w:tc>
          <w:tcPr>
            <w:tcW w:w="862" w:type="dxa"/>
            <w:vAlign w:val="center"/>
          </w:tcPr>
          <w:p w:rsidR="00E816F6" w:rsidRPr="00B51D1A" w:rsidRDefault="00E816F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344" w:type="dxa"/>
            <w:vAlign w:val="center"/>
          </w:tcPr>
          <w:p w:rsidR="00E816F6" w:rsidRPr="00B77FE4" w:rsidRDefault="00E816F6" w:rsidP="00BE194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motozuka.hiroyuki</w:t>
            </w:r>
            <w:r>
              <w:rPr>
                <w:b w:val="0"/>
                <w:sz w:val="20"/>
                <w:lang w:eastAsia="zh-CN"/>
              </w:rPr>
              <w:t>@</w:t>
            </w:r>
            <w:r>
              <w:rPr>
                <w:rFonts w:eastAsia="ＭＳ 明朝" w:hint="eastAsia"/>
                <w:b w:val="0"/>
                <w:sz w:val="20"/>
                <w:lang w:eastAsia="ja-JP"/>
              </w:rPr>
              <w:t>jp</w:t>
            </w:r>
            <w:r>
              <w:rPr>
                <w:b w:val="0"/>
                <w:sz w:val="20"/>
                <w:lang w:eastAsia="zh-CN"/>
              </w:rPr>
              <w:t>.panasonic.com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916022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1510" w:type="dxa"/>
            <w:vMerge/>
            <w:vAlign w:val="center"/>
          </w:tcPr>
          <w:p w:rsidR="00E816F6" w:rsidRPr="00916022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EF7A8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F7A85">
              <w:rPr>
                <w:rFonts w:hint="eastAsia"/>
                <w:b w:val="0"/>
                <w:sz w:val="20"/>
              </w:rPr>
              <w:t>sakamoto.takenori@jp.panasonic.com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Yutaka Murakami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F7A85">
              <w:rPr>
                <w:b w:val="0"/>
                <w:sz w:val="20"/>
              </w:rPr>
              <w:t>murakami.ytk@jp.panasonic.com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Lei Huang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307B2">
              <w:rPr>
                <w:b w:val="0"/>
                <w:sz w:val="20"/>
              </w:rPr>
              <w:t>lei.huang@sg.panasonic.com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4409CE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307B2">
              <w:rPr>
                <w:b w:val="0"/>
                <w:sz w:val="20"/>
              </w:rPr>
              <w:t>yaohuang.wee@sg.panasonic.com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Kazu Takahashi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EF7A85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00EF7A85">
              <w:rPr>
                <w:rFonts w:hint="eastAsia"/>
                <w:b w:val="0"/>
                <w:sz w:val="20"/>
              </w:rPr>
              <w:t>takahashi.kazu@jp.panasonic.com</w:t>
            </w:r>
          </w:p>
        </w:tc>
      </w:tr>
    </w:tbl>
    <w:p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84E2F5" wp14:editId="7C03AEF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54E8A" w:rsidRDefault="00654E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54E8A" w:rsidRDefault="00654E8A" w:rsidP="00654E8A"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resolution of comments on </w:t>
                            </w:r>
                            <w:r w:rsidR="00DA5396" w:rsidRPr="00DA5396">
                              <w:rPr>
                                <w:rFonts w:eastAsia="ＭＳ 明朝"/>
                                <w:lang w:eastAsia="ja-JP"/>
                              </w:rPr>
                              <w:t>30.6.1.3 DC relative shift to carrier frequency</w:t>
                            </w:r>
                            <w:r w:rsidR="006D6EB5"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and related subc</w:t>
                            </w:r>
                            <w:r w:rsidR="001C160D">
                              <w:rPr>
                                <w:rFonts w:eastAsia="ＭＳ 明朝"/>
                                <w:lang w:eastAsia="ja-JP"/>
                              </w:rPr>
                              <w:t>l</w:t>
                            </w:r>
                            <w:r w:rsidR="006D6EB5">
                              <w:rPr>
                                <w:rFonts w:eastAsia="ＭＳ 明朝" w:hint="eastAsia"/>
                                <w:lang w:eastAsia="ja-JP"/>
                              </w:rPr>
                              <w:t>auses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t>received from LB# 231 (TGay Draft 1.0).</w:t>
                            </w:r>
                          </w:p>
                          <w:p w:rsidR="00654E8A" w:rsidRPr="00DA5396" w:rsidRDefault="00654E8A" w:rsidP="000619B9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:rsidR="00654E8A" w:rsidRDefault="00C92643" w:rsidP="00F64120">
                            <w:pPr>
                              <w:ind w:firstLine="110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5</w:t>
                            </w:r>
                            <w:r w:rsidR="00654E8A"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</w:t>
                            </w:r>
                            <w:r w:rsidR="00654E8A" w:rsidRPr="00EF16C2">
                              <w:rPr>
                                <w:rFonts w:eastAsia="ＭＳ 明朝"/>
                                <w:lang w:eastAsia="ja-JP"/>
                              </w:rPr>
                              <w:t>CIDs</w:t>
                            </w:r>
                            <w:r w:rsidR="00654E8A">
                              <w:rPr>
                                <w:rFonts w:eastAsia="ＭＳ 明朝" w:hint="eastAsia"/>
                                <w:lang w:eastAsia="ja-JP"/>
                              </w:rPr>
                              <w:t>:</w:t>
                            </w:r>
                            <w:r w:rsidR="00654E8A" w:rsidRPr="00EF16C2">
                              <w:rPr>
                                <w:rFonts w:eastAsia="ＭＳ 明朝"/>
                                <w:lang w:eastAsia="ja-JP"/>
                              </w:rPr>
                              <w:t xml:space="preserve"> </w:t>
                            </w:r>
                            <w:r w:rsidR="006D6EB5" w:rsidRPr="006D6EB5">
                              <w:rPr>
                                <w:rFonts w:eastAsia="ＭＳ 明朝"/>
                                <w:lang w:eastAsia="ja-JP"/>
                              </w:rPr>
                              <w:t>1520, 1521</w:t>
                            </w:r>
                            <w:r w:rsidR="001C160D">
                              <w:rPr>
                                <w:rFonts w:eastAsia="ＭＳ 明朝"/>
                                <w:lang w:eastAsia="ja-JP"/>
                              </w:rPr>
                              <w:t>,</w:t>
                            </w:r>
                            <w:r w:rsidR="006D6EB5" w:rsidRPr="006D6EB5">
                              <w:rPr>
                                <w:rFonts w:eastAsia="ＭＳ 明朝"/>
                                <w:lang w:eastAsia="ja-JP"/>
                              </w:rPr>
                              <w:t xml:space="preserve"> 1539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, 2092 and 2138</w:t>
                            </w:r>
                          </w:p>
                          <w:p w:rsidR="00654E8A" w:rsidRPr="00EF16C2" w:rsidRDefault="00654E8A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E2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" o:allowincell="f" stroked="f">
                <v:textbox>
                  <w:txbxContent>
                    <w:p w:rsidR="00654E8A" w:rsidRDefault="00654E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54E8A" w:rsidRDefault="00654E8A" w:rsidP="00654E8A"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resolution of comments on </w:t>
                      </w:r>
                      <w:r w:rsidR="00DA5396" w:rsidRPr="00DA5396">
                        <w:rPr>
                          <w:rFonts w:eastAsia="ＭＳ 明朝"/>
                          <w:lang w:eastAsia="ja-JP"/>
                        </w:rPr>
                        <w:t>30.6.1.3 DC relative shift to carrier frequency</w:t>
                      </w:r>
                      <w:r w:rsidR="006D6EB5">
                        <w:rPr>
                          <w:rFonts w:eastAsia="ＭＳ 明朝" w:hint="eastAsia"/>
                          <w:lang w:eastAsia="ja-JP"/>
                        </w:rPr>
                        <w:t xml:space="preserve"> and related subc</w:t>
                      </w:r>
                      <w:r w:rsidR="001C160D">
                        <w:rPr>
                          <w:rFonts w:eastAsia="ＭＳ 明朝"/>
                          <w:lang w:eastAsia="ja-JP"/>
                        </w:rPr>
                        <w:t>l</w:t>
                      </w:r>
                      <w:r w:rsidR="006D6EB5">
                        <w:rPr>
                          <w:rFonts w:eastAsia="ＭＳ 明朝" w:hint="eastAsia"/>
                          <w:lang w:eastAsia="ja-JP"/>
                        </w:rPr>
                        <w:t>auses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 </w:t>
                      </w:r>
                      <w:r>
                        <w:t>received from LB# 231 (TGay Draft 1.0).</w:t>
                      </w:r>
                    </w:p>
                    <w:p w:rsidR="00654E8A" w:rsidRPr="00DA5396" w:rsidRDefault="00654E8A" w:rsidP="000619B9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:rsidR="00654E8A" w:rsidRDefault="00C92643" w:rsidP="00F64120">
                      <w:pPr>
                        <w:ind w:firstLine="110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>5</w:t>
                      </w:r>
                      <w:r w:rsidR="00654E8A">
                        <w:rPr>
                          <w:rFonts w:eastAsia="ＭＳ 明朝" w:hint="eastAsia"/>
                          <w:lang w:eastAsia="ja-JP"/>
                        </w:rPr>
                        <w:t xml:space="preserve"> </w:t>
                      </w:r>
                      <w:r w:rsidR="00654E8A" w:rsidRPr="00EF16C2">
                        <w:rPr>
                          <w:rFonts w:eastAsia="ＭＳ 明朝"/>
                          <w:lang w:eastAsia="ja-JP"/>
                        </w:rPr>
                        <w:t>CIDs</w:t>
                      </w:r>
                      <w:r w:rsidR="00654E8A">
                        <w:rPr>
                          <w:rFonts w:eastAsia="ＭＳ 明朝" w:hint="eastAsia"/>
                          <w:lang w:eastAsia="ja-JP"/>
                        </w:rPr>
                        <w:t>:</w:t>
                      </w:r>
                      <w:r w:rsidR="00654E8A" w:rsidRPr="00EF16C2">
                        <w:rPr>
                          <w:rFonts w:eastAsia="ＭＳ 明朝"/>
                          <w:lang w:eastAsia="ja-JP"/>
                        </w:rPr>
                        <w:t xml:space="preserve"> </w:t>
                      </w:r>
                      <w:r w:rsidR="006D6EB5" w:rsidRPr="006D6EB5">
                        <w:rPr>
                          <w:rFonts w:eastAsia="ＭＳ 明朝"/>
                          <w:lang w:eastAsia="ja-JP"/>
                        </w:rPr>
                        <w:t>1520, 1521</w:t>
                      </w:r>
                      <w:r w:rsidR="001C160D">
                        <w:rPr>
                          <w:rFonts w:eastAsia="ＭＳ 明朝"/>
                          <w:lang w:eastAsia="ja-JP"/>
                        </w:rPr>
                        <w:t>,</w:t>
                      </w:r>
                      <w:r w:rsidR="006D6EB5" w:rsidRPr="006D6EB5">
                        <w:rPr>
                          <w:rFonts w:eastAsia="ＭＳ 明朝"/>
                          <w:lang w:eastAsia="ja-JP"/>
                        </w:rPr>
                        <w:t xml:space="preserve"> 1539</w:t>
                      </w:r>
                      <w:r>
                        <w:rPr>
                          <w:rFonts w:eastAsia="ＭＳ 明朝"/>
                          <w:lang w:eastAsia="ja-JP"/>
                        </w:rPr>
                        <w:t>, 2092 and 2138</w:t>
                      </w:r>
                    </w:p>
                    <w:p w:rsidR="00654E8A" w:rsidRPr="00EF16C2" w:rsidRDefault="00654E8A" w:rsidP="000619B9"/>
                  </w:txbxContent>
                </v:textbox>
              </v:shape>
            </w:pict>
          </mc:Fallback>
        </mc:AlternateContent>
      </w:r>
    </w:p>
    <w:p w:rsidR="00CA09B2" w:rsidRPr="00414100" w:rsidRDefault="00CA09B2" w:rsidP="00F44F02">
      <w:r w:rsidRPr="00414100">
        <w:br w:type="page"/>
      </w:r>
    </w:p>
    <w:p w:rsidR="006C720C" w:rsidRDefault="006C720C">
      <w:pPr>
        <w:rPr>
          <w:rStyle w:val="af0"/>
          <w:rFonts w:eastAsia="ＭＳ 明朝"/>
          <w:lang w:eastAsia="ja-JP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05"/>
        <w:gridCol w:w="1128"/>
        <w:gridCol w:w="1109"/>
        <w:gridCol w:w="2128"/>
        <w:gridCol w:w="2268"/>
        <w:gridCol w:w="2238"/>
      </w:tblGrid>
      <w:tr w:rsidR="00B5616B" w:rsidTr="00DB14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B" w:rsidRDefault="00B5616B" w:rsidP="00654E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CID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Pr="00B5616B" w:rsidRDefault="00DB14C3" w:rsidP="00654E8A">
            <w:pPr>
              <w:jc w:val="center"/>
              <w:rPr>
                <w:rFonts w:eastAsia="ＭＳ 明朝"/>
                <w:b/>
                <w:sz w:val="20"/>
                <w:lang w:eastAsia="ja-JP"/>
              </w:rPr>
            </w:pPr>
            <w:r>
              <w:rPr>
                <w:rFonts w:eastAsia="ＭＳ 明朝" w:hint="eastAsia"/>
                <w:b/>
                <w:sz w:val="20"/>
                <w:lang w:eastAsia="ja-JP"/>
              </w:rPr>
              <w:t>Clause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B" w:rsidRDefault="00B5616B" w:rsidP="00654E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Page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B" w:rsidRDefault="00B5616B" w:rsidP="00654E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B" w:rsidRDefault="00B5616B" w:rsidP="00654E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Change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B" w:rsidRDefault="00B5616B" w:rsidP="00654E8A">
            <w:pPr>
              <w:rPr>
                <w:b/>
                <w:sz w:val="20"/>
              </w:rPr>
            </w:pPr>
            <w:r>
              <w:rPr>
                <w:rFonts w:eastAsia="ＭＳ 明朝" w:hint="eastAsia"/>
                <w:b/>
                <w:sz w:val="20"/>
                <w:lang w:eastAsia="ja-JP"/>
              </w:rPr>
              <w:t xml:space="preserve">Proposed </w:t>
            </w:r>
            <w:r>
              <w:rPr>
                <w:b/>
                <w:sz w:val="20"/>
              </w:rPr>
              <w:t>Resolution</w:t>
            </w:r>
          </w:p>
        </w:tc>
      </w:tr>
      <w:tr w:rsidR="00F64BE0" w:rsidTr="00DB14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2092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hAnsiTheme="minorHAnsi"/>
              </w:rPr>
            </w:pPr>
            <w:r w:rsidRPr="00F64BE0">
              <w:rPr>
                <w:rFonts w:asciiTheme="minorHAnsi" w:hAnsiTheme="minorHAnsi"/>
                <w:color w:val="000000"/>
              </w:rPr>
              <w:t>30.6.1.3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ＭＳ 明朝" w:hAnsiTheme="minorHAnsi" w:hint="eastAsia"/>
                <w:color w:val="000000"/>
                <w:lang w:eastAsia="ja-JP"/>
              </w:rPr>
              <w:t>329.10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hAnsiTheme="minorHAnsi"/>
                <w:color w:val="000000"/>
              </w:rPr>
            </w:pPr>
            <w:r w:rsidRPr="00F64BE0">
              <w:rPr>
                <w:rFonts w:asciiTheme="minorHAnsi" w:hAnsiTheme="minorHAnsi"/>
                <w:color w:val="000000"/>
              </w:rPr>
              <w:t>Unclear why DC needs to be shifted, please add a note to explain to the reader the reason for the shift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hAnsiTheme="minorHAnsi"/>
                <w:color w:val="000000"/>
              </w:rPr>
            </w:pPr>
            <w:r w:rsidRPr="00F64BE0">
              <w:rPr>
                <w:rFonts w:asciiTheme="minorHAnsi" w:hAnsiTheme="minorHAnsi"/>
                <w:color w:val="000000"/>
              </w:rPr>
              <w:t>Add text to explain why the DC needs be shifted relative to the carrier frequency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eastAsia="ＭＳ 明朝" w:hAnsiTheme="minorHAnsi"/>
                <w:b/>
                <w:lang w:eastAsia="ja-JP"/>
              </w:rPr>
            </w:pPr>
            <w:r w:rsidRPr="008A12D2">
              <w:rPr>
                <w:rFonts w:asciiTheme="minorHAnsi" w:eastAsia="ＭＳ 明朝" w:hAnsiTheme="minorHAnsi"/>
                <w:b/>
                <w:lang w:eastAsia="ja-JP"/>
              </w:rPr>
              <w:t>Revised</w:t>
            </w:r>
          </w:p>
          <w:p w:rsidR="00F64BE0" w:rsidRPr="008A12D2" w:rsidRDefault="00F64BE0" w:rsidP="00F64BE0">
            <w:pPr>
              <w:jc w:val="left"/>
              <w:rPr>
                <w:rFonts w:asciiTheme="minorHAnsi" w:eastAsia="ＭＳ 明朝" w:hAnsiTheme="minorHAnsi"/>
                <w:lang w:eastAsia="ja-JP"/>
              </w:rPr>
            </w:pPr>
          </w:p>
          <w:p w:rsidR="00F64BE0" w:rsidRPr="008A12D2" w:rsidRDefault="00F64BE0" w:rsidP="00F64BE0">
            <w:pPr>
              <w:jc w:val="left"/>
              <w:rPr>
                <w:rFonts w:asciiTheme="minorHAnsi" w:eastAsia="ＭＳ 明朝" w:hAnsiTheme="minorHAnsi"/>
                <w:b/>
                <w:lang w:eastAsia="ja-JP"/>
              </w:rPr>
            </w:pPr>
            <w:r w:rsidRPr="008A12D2">
              <w:rPr>
                <w:rFonts w:asciiTheme="minorHAnsi" w:hAnsiTheme="minorHAnsi"/>
              </w:rPr>
              <w:t>TGay editor to make the changes shown in 11-</w:t>
            </w:r>
            <w:r w:rsidRPr="008A12D2">
              <w:rPr>
                <w:rFonts w:asciiTheme="minorHAnsi" w:eastAsia="ＭＳ 明朝" w:hAnsiTheme="minorHAnsi"/>
                <w:lang w:eastAsia="ja-JP"/>
              </w:rPr>
              <w:t>18/</w:t>
            </w:r>
            <w:r>
              <w:rPr>
                <w:rFonts w:asciiTheme="minorHAnsi" w:eastAsia="ＭＳ 明朝" w:hAnsiTheme="minorHAnsi"/>
                <w:lang w:eastAsia="ja-JP"/>
              </w:rPr>
              <w:t>0275r0</w:t>
            </w:r>
            <w:r w:rsidRPr="008A12D2">
              <w:rPr>
                <w:rFonts w:asciiTheme="minorHAnsi" w:hAnsiTheme="minorHAnsi"/>
              </w:rPr>
              <w:t xml:space="preserve"> under all headings that include CID </w:t>
            </w:r>
            <w:r>
              <w:rPr>
                <w:rFonts w:asciiTheme="minorHAnsi" w:eastAsia="ＭＳ 明朝" w:hAnsiTheme="minorHAnsi"/>
                <w:lang w:eastAsia="ja-JP"/>
              </w:rPr>
              <w:t>2092</w:t>
            </w:r>
            <w:r w:rsidRPr="008A12D2">
              <w:rPr>
                <w:rFonts w:asciiTheme="minorHAnsi" w:hAnsiTheme="minorHAnsi"/>
              </w:rPr>
              <w:t>.</w:t>
            </w:r>
          </w:p>
        </w:tc>
      </w:tr>
      <w:tr w:rsidR="00F64BE0" w:rsidTr="00DB14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hAnsiTheme="minorHAnsi"/>
              </w:rPr>
            </w:pPr>
            <w:r w:rsidRPr="008A12D2">
              <w:rPr>
                <w:rFonts w:asciiTheme="minorHAnsi" w:hAnsiTheme="minorHAnsi"/>
              </w:rPr>
              <w:t>1520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hAnsiTheme="minorHAnsi"/>
              </w:rPr>
            </w:pPr>
            <w:r w:rsidRPr="008A12D2">
              <w:rPr>
                <w:rFonts w:asciiTheme="minorHAnsi" w:hAnsiTheme="minorHAnsi"/>
              </w:rPr>
              <w:t>30.6.1.3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hAnsiTheme="minorHAnsi"/>
              </w:rPr>
            </w:pPr>
            <w:r w:rsidRPr="008A12D2">
              <w:rPr>
                <w:rFonts w:asciiTheme="minorHAnsi" w:hAnsiTheme="minorHAnsi"/>
              </w:rPr>
              <w:t>329.11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eastAsia="ＭＳ Ｐゴシック" w:hAnsiTheme="minorHAnsi" w:cs="ＭＳ Ｐゴシック"/>
                <w:color w:val="000000"/>
              </w:rPr>
            </w:pPr>
            <w:r w:rsidRPr="008A12D2">
              <w:rPr>
                <w:rFonts w:asciiTheme="minorHAnsi" w:hAnsiTheme="minorHAnsi"/>
                <w:color w:val="000000"/>
              </w:rPr>
              <w:t>Dc relative shift should be applied to the TRN field as well since the TRN field for the OFDM PPDU consists of OFDM symbols.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eastAsia="ＭＳ Ｐゴシック" w:hAnsiTheme="minorHAnsi" w:cs="ＭＳ Ｐゴシック"/>
                <w:color w:val="000000"/>
              </w:rPr>
            </w:pPr>
            <w:r w:rsidRPr="008A12D2">
              <w:rPr>
                <w:rFonts w:asciiTheme="minorHAnsi" w:hAnsiTheme="minorHAnsi"/>
                <w:color w:val="000000"/>
              </w:rPr>
              <w:t>"The DC relative frequency shift is applied in digital domain for EDMG-STF, EDMG-CEF, Data  and TRN fields of an EDMG OFDM mode PPDU."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eastAsia="ＭＳ 明朝" w:hAnsiTheme="minorHAnsi"/>
                <w:b/>
                <w:lang w:eastAsia="ja-JP"/>
              </w:rPr>
            </w:pPr>
            <w:r w:rsidRPr="008A12D2">
              <w:rPr>
                <w:rFonts w:asciiTheme="minorHAnsi" w:eastAsia="ＭＳ 明朝" w:hAnsiTheme="minorHAnsi"/>
                <w:b/>
                <w:lang w:eastAsia="ja-JP"/>
              </w:rPr>
              <w:t>Accepted</w:t>
            </w:r>
          </w:p>
          <w:p w:rsidR="00F64BE0" w:rsidRPr="008A12D2" w:rsidRDefault="00F64BE0" w:rsidP="00F64BE0">
            <w:pPr>
              <w:jc w:val="left"/>
              <w:rPr>
                <w:rFonts w:asciiTheme="minorHAnsi" w:eastAsia="ＭＳ 明朝" w:hAnsiTheme="minorHAnsi"/>
                <w:lang w:eastAsia="ja-JP"/>
              </w:rPr>
            </w:pPr>
          </w:p>
          <w:p w:rsidR="00F64BE0" w:rsidRPr="008A12D2" w:rsidRDefault="00F64BE0" w:rsidP="00F64BE0">
            <w:pPr>
              <w:jc w:val="left"/>
              <w:rPr>
                <w:rFonts w:asciiTheme="minorHAnsi" w:eastAsia="ＭＳ 明朝" w:hAnsiTheme="minorHAnsi"/>
                <w:lang w:eastAsia="ja-JP"/>
              </w:rPr>
            </w:pPr>
            <w:r w:rsidRPr="008A12D2">
              <w:rPr>
                <w:rFonts w:asciiTheme="minorHAnsi" w:hAnsiTheme="minorHAnsi"/>
              </w:rPr>
              <w:t>TGay editor to make the changes shown in 11-</w:t>
            </w:r>
            <w:r w:rsidRPr="008A12D2">
              <w:rPr>
                <w:rFonts w:asciiTheme="minorHAnsi" w:eastAsia="ＭＳ 明朝" w:hAnsiTheme="minorHAnsi"/>
                <w:lang w:eastAsia="ja-JP"/>
              </w:rPr>
              <w:t>18/</w:t>
            </w:r>
            <w:r>
              <w:rPr>
                <w:rFonts w:asciiTheme="minorHAnsi" w:eastAsia="ＭＳ 明朝" w:hAnsiTheme="minorHAnsi"/>
                <w:lang w:eastAsia="ja-JP"/>
              </w:rPr>
              <w:t>0275r0</w:t>
            </w:r>
            <w:r w:rsidRPr="008A12D2">
              <w:rPr>
                <w:rFonts w:asciiTheme="minorHAnsi" w:hAnsiTheme="minorHAnsi"/>
              </w:rPr>
              <w:t xml:space="preserve"> under all headings that include CID </w:t>
            </w:r>
            <w:r w:rsidRPr="008A12D2">
              <w:rPr>
                <w:rFonts w:asciiTheme="minorHAnsi" w:eastAsia="ＭＳ 明朝" w:hAnsiTheme="minorHAnsi"/>
                <w:lang w:eastAsia="ja-JP"/>
              </w:rPr>
              <w:t>1520</w:t>
            </w:r>
            <w:r w:rsidRPr="008A12D2">
              <w:rPr>
                <w:rFonts w:asciiTheme="minorHAnsi" w:hAnsiTheme="minorHAnsi"/>
              </w:rPr>
              <w:t>.</w:t>
            </w:r>
          </w:p>
        </w:tc>
      </w:tr>
      <w:tr w:rsidR="00F64BE0" w:rsidTr="00DB14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hAnsiTheme="minorHAnsi"/>
              </w:rPr>
            </w:pPr>
            <w:r w:rsidRPr="008A12D2">
              <w:rPr>
                <w:rFonts w:asciiTheme="minorHAnsi" w:hAnsiTheme="minorHAnsi"/>
              </w:rPr>
              <w:t>1521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hAnsiTheme="minorHAnsi"/>
              </w:rPr>
            </w:pPr>
            <w:r w:rsidRPr="008A12D2">
              <w:rPr>
                <w:rFonts w:asciiTheme="minorHAnsi" w:hAnsiTheme="minorHAnsi"/>
              </w:rPr>
              <w:t>30.6.1.3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hAnsiTheme="minorHAnsi"/>
              </w:rPr>
            </w:pPr>
            <w:r w:rsidRPr="008A12D2">
              <w:rPr>
                <w:rFonts w:asciiTheme="minorHAnsi" w:hAnsiTheme="minorHAnsi"/>
              </w:rPr>
              <w:t>329.11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eastAsia="ＭＳ Ｐゴシック" w:hAnsiTheme="minorHAnsi" w:cs="ＭＳ Ｐゴシック"/>
                <w:color w:val="000000"/>
              </w:rPr>
            </w:pPr>
            <w:r w:rsidRPr="008A12D2">
              <w:rPr>
                <w:rFonts w:asciiTheme="minorHAnsi" w:hAnsiTheme="minorHAnsi"/>
                <w:color w:val="000000"/>
              </w:rPr>
              <w:t>There's no text to mention or define the parameter F_DC, which appears in Table 72.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eastAsia="ＭＳ Ｐゴシック" w:hAnsiTheme="minorHAnsi" w:cs="ＭＳ Ｐゴシック"/>
                <w:color w:val="000000"/>
              </w:rPr>
            </w:pPr>
            <w:r w:rsidRPr="008A12D2">
              <w:rPr>
                <w:rFonts w:asciiTheme="minorHAnsi" w:hAnsiTheme="minorHAnsi"/>
                <w:color w:val="000000"/>
              </w:rPr>
              <w:t>Mention it in the text. e.g. "The DC relative shift, F_DC, is frequency channel dependent and defined in Table 72."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eastAsia="ＭＳ 明朝" w:hAnsiTheme="minorHAnsi"/>
                <w:b/>
                <w:lang w:eastAsia="ja-JP"/>
              </w:rPr>
            </w:pPr>
            <w:r w:rsidRPr="008A12D2">
              <w:rPr>
                <w:rFonts w:asciiTheme="minorHAnsi" w:eastAsia="ＭＳ 明朝" w:hAnsiTheme="minorHAnsi"/>
                <w:b/>
                <w:lang w:eastAsia="ja-JP"/>
              </w:rPr>
              <w:t>Revised</w:t>
            </w:r>
          </w:p>
          <w:p w:rsidR="00F64BE0" w:rsidRPr="008A12D2" w:rsidRDefault="00F64BE0" w:rsidP="00F64BE0">
            <w:pPr>
              <w:jc w:val="left"/>
              <w:rPr>
                <w:rFonts w:asciiTheme="minorHAnsi" w:eastAsia="ＭＳ 明朝" w:hAnsiTheme="minorHAnsi"/>
                <w:lang w:eastAsia="ja-JP"/>
              </w:rPr>
            </w:pPr>
          </w:p>
          <w:p w:rsidR="00F64BE0" w:rsidRPr="008A12D2" w:rsidRDefault="00F64BE0" w:rsidP="00F64BE0">
            <w:pPr>
              <w:jc w:val="left"/>
              <w:rPr>
                <w:rFonts w:asciiTheme="minorHAnsi" w:eastAsia="ＭＳ 明朝" w:hAnsiTheme="minorHAnsi"/>
                <w:lang w:eastAsia="ja-JP"/>
              </w:rPr>
            </w:pPr>
            <w:r w:rsidRPr="008A12D2">
              <w:rPr>
                <w:rFonts w:asciiTheme="minorHAnsi" w:hAnsiTheme="minorHAnsi"/>
              </w:rPr>
              <w:t>TGay editor to make the changes shown in 11-</w:t>
            </w:r>
            <w:r w:rsidRPr="008A12D2">
              <w:rPr>
                <w:rFonts w:asciiTheme="minorHAnsi" w:eastAsia="ＭＳ 明朝" w:hAnsiTheme="minorHAnsi"/>
                <w:lang w:eastAsia="ja-JP"/>
              </w:rPr>
              <w:t>18/</w:t>
            </w:r>
            <w:r>
              <w:rPr>
                <w:rFonts w:asciiTheme="minorHAnsi" w:eastAsia="ＭＳ 明朝" w:hAnsiTheme="minorHAnsi"/>
                <w:lang w:eastAsia="ja-JP"/>
              </w:rPr>
              <w:t>0275r0</w:t>
            </w:r>
            <w:r w:rsidRPr="008A12D2">
              <w:rPr>
                <w:rFonts w:asciiTheme="minorHAnsi" w:hAnsiTheme="minorHAnsi"/>
              </w:rPr>
              <w:t xml:space="preserve"> under all headings that include CID </w:t>
            </w:r>
            <w:r w:rsidRPr="008A12D2">
              <w:rPr>
                <w:rFonts w:asciiTheme="minorHAnsi" w:eastAsia="ＭＳ 明朝" w:hAnsiTheme="minorHAnsi"/>
                <w:lang w:eastAsia="ja-JP"/>
              </w:rPr>
              <w:t>1521</w:t>
            </w:r>
            <w:r w:rsidRPr="008A12D2">
              <w:rPr>
                <w:rFonts w:asciiTheme="minorHAnsi" w:hAnsiTheme="minorHAnsi"/>
              </w:rPr>
              <w:t>.</w:t>
            </w:r>
          </w:p>
        </w:tc>
      </w:tr>
      <w:tr w:rsidR="00F64BE0" w:rsidTr="00DB14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F64BE0" w:rsidRDefault="00F64BE0" w:rsidP="00F64BE0">
            <w:pPr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ＭＳ 明朝" w:hAnsiTheme="minorHAnsi" w:hint="eastAsia"/>
                <w:color w:val="000000"/>
                <w:lang w:eastAsia="ja-JP"/>
              </w:rPr>
              <w:t>2138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hAnsiTheme="minorHAnsi"/>
                <w:color w:val="000000"/>
              </w:rPr>
            </w:pPr>
            <w:r w:rsidRPr="008A12D2">
              <w:rPr>
                <w:rFonts w:asciiTheme="minorHAnsi" w:hAnsiTheme="minorHAnsi"/>
              </w:rPr>
              <w:t>30.6.1.3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C92643" w:rsidRDefault="00F64BE0" w:rsidP="00F64BE0">
            <w:pPr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ＭＳ 明朝" w:hAnsiTheme="minorHAnsi" w:hint="eastAsia"/>
                <w:color w:val="000000"/>
                <w:lang w:eastAsia="ja-JP"/>
              </w:rPr>
              <w:t>330.07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hAnsiTheme="minorHAnsi"/>
                <w:color w:val="000000"/>
              </w:rPr>
            </w:pPr>
            <w:r w:rsidRPr="00F64BE0">
              <w:rPr>
                <w:rFonts w:asciiTheme="minorHAnsi" w:hAnsiTheme="minorHAnsi"/>
                <w:color w:val="000000"/>
              </w:rPr>
              <w:t>Since FCC only approved up to 71 GHz, we should remove rows 7 and 8 from NCB=1 category from Table 72.  Similar action should be taken for NCB&gt;1.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hAnsiTheme="minorHAnsi"/>
                <w:color w:val="000000"/>
              </w:rPr>
            </w:pPr>
            <w:r w:rsidRPr="00F64BE0">
              <w:rPr>
                <w:rFonts w:asciiTheme="minorHAnsi" w:hAnsiTheme="minorHAnsi"/>
                <w:color w:val="000000"/>
              </w:rPr>
              <w:t>As in comment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eastAsia="ＭＳ 明朝" w:hAnsiTheme="minorHAnsi"/>
                <w:b/>
                <w:lang w:eastAsia="ja-JP"/>
              </w:rPr>
            </w:pPr>
            <w:r w:rsidRPr="008A12D2">
              <w:rPr>
                <w:rFonts w:asciiTheme="minorHAnsi" w:eastAsia="ＭＳ 明朝" w:hAnsiTheme="minorHAnsi"/>
                <w:b/>
                <w:lang w:eastAsia="ja-JP"/>
              </w:rPr>
              <w:t>Accepted</w:t>
            </w:r>
          </w:p>
          <w:p w:rsidR="00F64BE0" w:rsidRPr="008A12D2" w:rsidRDefault="00F64BE0" w:rsidP="00F64BE0">
            <w:pPr>
              <w:jc w:val="left"/>
              <w:rPr>
                <w:rFonts w:asciiTheme="minorHAnsi" w:eastAsia="ＭＳ 明朝" w:hAnsiTheme="minorHAnsi"/>
                <w:lang w:eastAsia="ja-JP"/>
              </w:rPr>
            </w:pPr>
          </w:p>
          <w:p w:rsidR="00F64BE0" w:rsidRPr="008A12D2" w:rsidRDefault="00F64BE0" w:rsidP="00F64BE0">
            <w:pPr>
              <w:jc w:val="left"/>
              <w:rPr>
                <w:rFonts w:asciiTheme="minorHAnsi" w:eastAsia="ＭＳ 明朝" w:hAnsiTheme="minorHAnsi"/>
                <w:b/>
                <w:lang w:eastAsia="ja-JP"/>
              </w:rPr>
            </w:pPr>
            <w:r w:rsidRPr="008A12D2">
              <w:rPr>
                <w:rFonts w:asciiTheme="minorHAnsi" w:hAnsiTheme="minorHAnsi"/>
              </w:rPr>
              <w:t>TGay editor to make the changes shown in 11-</w:t>
            </w:r>
            <w:r w:rsidRPr="008A12D2">
              <w:rPr>
                <w:rFonts w:asciiTheme="minorHAnsi" w:eastAsia="ＭＳ 明朝" w:hAnsiTheme="minorHAnsi"/>
                <w:lang w:eastAsia="ja-JP"/>
              </w:rPr>
              <w:t>18/</w:t>
            </w:r>
            <w:r>
              <w:rPr>
                <w:rFonts w:asciiTheme="minorHAnsi" w:eastAsia="ＭＳ 明朝" w:hAnsiTheme="minorHAnsi"/>
                <w:lang w:eastAsia="ja-JP"/>
              </w:rPr>
              <w:t>0275r0</w:t>
            </w:r>
            <w:r w:rsidRPr="008A12D2">
              <w:rPr>
                <w:rFonts w:asciiTheme="minorHAnsi" w:hAnsiTheme="minorHAnsi"/>
              </w:rPr>
              <w:t xml:space="preserve"> under all headings that include CID </w:t>
            </w:r>
            <w:r>
              <w:rPr>
                <w:rFonts w:asciiTheme="minorHAnsi" w:eastAsia="ＭＳ 明朝" w:hAnsiTheme="minorHAnsi"/>
                <w:lang w:eastAsia="ja-JP"/>
              </w:rPr>
              <w:t>2138</w:t>
            </w:r>
            <w:r w:rsidRPr="008A12D2">
              <w:rPr>
                <w:rFonts w:asciiTheme="minorHAnsi" w:hAnsiTheme="minorHAnsi"/>
              </w:rPr>
              <w:t>.</w:t>
            </w:r>
          </w:p>
        </w:tc>
      </w:tr>
      <w:tr w:rsidR="00F64BE0" w:rsidTr="00DB14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eastAsia="ＭＳ Ｐゴシック" w:hAnsiTheme="minorHAnsi" w:cs="ＭＳ Ｐゴシック"/>
                <w:color w:val="000000"/>
              </w:rPr>
            </w:pPr>
            <w:r w:rsidRPr="008A12D2">
              <w:rPr>
                <w:rFonts w:asciiTheme="minorHAnsi" w:hAnsiTheme="minorHAnsi"/>
                <w:color w:val="000000"/>
              </w:rPr>
              <w:t>1539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eastAsia="ＭＳ Ｐゴシック" w:hAnsiTheme="minorHAnsi" w:cs="ＭＳ Ｐゴシック"/>
                <w:color w:val="000000"/>
              </w:rPr>
            </w:pPr>
            <w:r w:rsidRPr="008A12D2">
              <w:rPr>
                <w:rFonts w:asciiTheme="minorHAnsi" w:hAnsiTheme="minorHAnsi"/>
                <w:color w:val="000000"/>
              </w:rPr>
              <w:t>30.6.9.3.3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eastAsia="ＭＳ Ｐゴシック" w:hAnsiTheme="minorHAnsi" w:cs="ＭＳ Ｐゴシック"/>
                <w:color w:val="000000"/>
              </w:rPr>
            </w:pPr>
            <w:r w:rsidRPr="008A12D2">
              <w:rPr>
                <w:rFonts w:asciiTheme="minorHAnsi" w:hAnsiTheme="minorHAnsi"/>
                <w:color w:val="000000"/>
              </w:rPr>
              <w:t>364.29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eastAsia="ＭＳ Ｐゴシック" w:hAnsiTheme="minorHAnsi" w:cs="ＭＳ Ｐゴシック"/>
                <w:color w:val="000000"/>
              </w:rPr>
            </w:pPr>
            <w:r w:rsidRPr="008A12D2">
              <w:rPr>
                <w:rFonts w:asciiTheme="minorHAnsi" w:hAnsiTheme="minorHAnsi"/>
                <w:color w:val="000000"/>
              </w:rPr>
              <w:t>DC relative shift on the EDMG-STF, EDMG-CEF, Data and TRN fields shall be described explicitly in this section as an equation.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eastAsia="ＭＳ Ｐゴシック" w:hAnsiTheme="minorHAnsi" w:cs="ＭＳ Ｐゴシック"/>
                <w:color w:val="000000"/>
              </w:rPr>
            </w:pPr>
            <w:r w:rsidRPr="008A12D2">
              <w:rPr>
                <w:rFonts w:asciiTheme="minorHAnsi" w:hAnsiTheme="minorHAnsi"/>
                <w:color w:val="000000"/>
              </w:rPr>
              <w:t>apply exp(j 2pi (F_DC - Fc) nTs) to r_EDMG-STF, r_EDMG-CEF, r_Data and r_TRN.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F64BE0" w:rsidP="00F64BE0">
            <w:pPr>
              <w:jc w:val="left"/>
              <w:rPr>
                <w:rFonts w:asciiTheme="minorHAnsi" w:eastAsia="ＭＳ Ｐゴシック" w:hAnsiTheme="minorHAnsi" w:cs="ＭＳ Ｐゴシック"/>
                <w:b/>
                <w:color w:val="000000"/>
                <w:lang w:eastAsia="ja-JP"/>
              </w:rPr>
            </w:pPr>
            <w:r w:rsidRPr="008A12D2">
              <w:rPr>
                <w:rFonts w:asciiTheme="minorHAnsi" w:eastAsia="ＭＳ 明朝" w:hAnsiTheme="minorHAnsi"/>
                <w:b/>
                <w:lang w:eastAsia="ja-JP"/>
              </w:rPr>
              <w:t>Revised</w:t>
            </w:r>
          </w:p>
          <w:p w:rsidR="00F64BE0" w:rsidRPr="008A12D2" w:rsidRDefault="00F64BE0" w:rsidP="00F64BE0">
            <w:pPr>
              <w:jc w:val="left"/>
              <w:rPr>
                <w:rFonts w:asciiTheme="minorHAnsi" w:eastAsia="ＭＳ Ｐゴシック" w:hAnsiTheme="minorHAnsi" w:cs="ＭＳ Ｐゴシック"/>
                <w:color w:val="000000"/>
                <w:lang w:eastAsia="ja-JP"/>
              </w:rPr>
            </w:pPr>
          </w:p>
          <w:p w:rsidR="00F64BE0" w:rsidRPr="008A12D2" w:rsidRDefault="00F64BE0" w:rsidP="00F64BE0">
            <w:pPr>
              <w:jc w:val="left"/>
              <w:rPr>
                <w:rFonts w:asciiTheme="minorHAnsi" w:eastAsia="ＭＳ Ｐゴシック" w:hAnsiTheme="minorHAnsi" w:cs="ＭＳ Ｐゴシック"/>
                <w:color w:val="000000"/>
                <w:lang w:eastAsia="ja-JP"/>
              </w:rPr>
            </w:pPr>
            <w:r w:rsidRPr="008A12D2">
              <w:rPr>
                <w:rFonts w:asciiTheme="minorHAnsi" w:hAnsiTheme="minorHAnsi"/>
              </w:rPr>
              <w:t>TGay editor to make the changes shown in 11-</w:t>
            </w:r>
            <w:r w:rsidRPr="008A12D2">
              <w:rPr>
                <w:rFonts w:asciiTheme="minorHAnsi" w:eastAsia="ＭＳ 明朝" w:hAnsiTheme="minorHAnsi"/>
                <w:lang w:eastAsia="ja-JP"/>
              </w:rPr>
              <w:t>18/</w:t>
            </w:r>
            <w:r>
              <w:rPr>
                <w:rFonts w:asciiTheme="minorHAnsi" w:eastAsia="ＭＳ 明朝" w:hAnsiTheme="minorHAnsi"/>
                <w:lang w:eastAsia="ja-JP"/>
              </w:rPr>
              <w:t>0275r0</w:t>
            </w:r>
            <w:r w:rsidRPr="008A12D2">
              <w:rPr>
                <w:rFonts w:asciiTheme="minorHAnsi" w:hAnsiTheme="minorHAnsi"/>
              </w:rPr>
              <w:t xml:space="preserve"> under all headings that include CID </w:t>
            </w:r>
            <w:r>
              <w:rPr>
                <w:rFonts w:asciiTheme="minorHAnsi" w:eastAsia="ＭＳ 明朝" w:hAnsiTheme="minorHAnsi"/>
                <w:lang w:eastAsia="ja-JP"/>
              </w:rPr>
              <w:t>15</w:t>
            </w:r>
            <w:r>
              <w:rPr>
                <w:rFonts w:asciiTheme="minorHAnsi" w:eastAsia="ＭＳ 明朝" w:hAnsiTheme="minorHAnsi" w:hint="eastAsia"/>
                <w:lang w:eastAsia="ja-JP"/>
              </w:rPr>
              <w:t>3</w:t>
            </w:r>
            <w:r w:rsidRPr="008A12D2">
              <w:rPr>
                <w:rFonts w:asciiTheme="minorHAnsi" w:eastAsia="ＭＳ 明朝" w:hAnsiTheme="minorHAnsi"/>
                <w:lang w:eastAsia="ja-JP"/>
              </w:rPr>
              <w:t>9</w:t>
            </w:r>
            <w:r w:rsidRPr="008A12D2">
              <w:rPr>
                <w:rFonts w:asciiTheme="minorHAnsi" w:hAnsiTheme="minorHAnsi"/>
              </w:rPr>
              <w:t>.</w:t>
            </w:r>
          </w:p>
        </w:tc>
      </w:tr>
    </w:tbl>
    <w:p w:rsidR="00EA38B2" w:rsidRPr="00B5616B" w:rsidRDefault="00EA38B2" w:rsidP="00EA38B2">
      <w:pPr>
        <w:jc w:val="left"/>
        <w:rPr>
          <w:rStyle w:val="af0"/>
          <w:rFonts w:eastAsia="ＭＳ 明朝"/>
          <w:lang w:eastAsia="ja-JP"/>
        </w:rPr>
      </w:pPr>
    </w:p>
    <w:p w:rsidR="00EA38B2" w:rsidRPr="00654E8A" w:rsidRDefault="00654E8A" w:rsidP="00EA38B2">
      <w:pPr>
        <w:jc w:val="left"/>
        <w:rPr>
          <w:rStyle w:val="af0"/>
          <w:rFonts w:eastAsia="ＭＳ 明朝"/>
          <w:u w:val="single"/>
          <w:lang w:eastAsia="ja-JP"/>
        </w:rPr>
      </w:pPr>
      <w:r w:rsidRPr="00654E8A">
        <w:rPr>
          <w:rStyle w:val="af0"/>
          <w:rFonts w:eastAsia="ＭＳ 明朝" w:hint="eastAsia"/>
          <w:u w:val="single"/>
          <w:lang w:eastAsia="ja-JP"/>
        </w:rPr>
        <w:t>Discussion</w:t>
      </w:r>
    </w:p>
    <w:p w:rsidR="00D931AA" w:rsidRDefault="00D931AA" w:rsidP="00D931AA">
      <w:pPr>
        <w:jc w:val="left"/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 xml:space="preserve">The parameter </w:t>
      </w:r>
      <w:r w:rsidR="00BE1E3C" w:rsidRPr="00E4594A">
        <w:rPr>
          <w:rFonts w:eastAsia="ＭＳ 明朝"/>
          <w:i/>
          <w:lang w:eastAsia="ja-JP"/>
        </w:rPr>
        <w:t>f</w:t>
      </w:r>
      <w:r w:rsidRPr="00E4594A">
        <w:rPr>
          <w:rFonts w:eastAsia="ＭＳ 明朝" w:hint="eastAsia"/>
          <w:i/>
          <w:vertAlign w:val="subscript"/>
          <w:lang w:eastAsia="ja-JP"/>
        </w:rPr>
        <w:t>DC</w:t>
      </w:r>
      <w:r w:rsidR="00C20F62">
        <w:rPr>
          <w:rFonts w:eastAsia="ＭＳ 明朝"/>
          <w:lang w:eastAsia="ja-JP"/>
        </w:rPr>
        <w:t>(see Note 1)</w:t>
      </w:r>
      <w:r>
        <w:rPr>
          <w:rFonts w:eastAsia="ＭＳ 明朝" w:hint="eastAsia"/>
          <w:lang w:eastAsia="ja-JP"/>
        </w:rPr>
        <w:t>, defined in Table 7</w:t>
      </w:r>
      <w:r w:rsidR="007A054F">
        <w:rPr>
          <w:rFonts w:eastAsia="ＭＳ 明朝"/>
          <w:lang w:eastAsia="ja-JP"/>
        </w:rPr>
        <w:t>2</w:t>
      </w:r>
      <w:r>
        <w:rPr>
          <w:rFonts w:eastAsia="ＭＳ 明朝" w:hint="eastAsia"/>
          <w:lang w:eastAsia="ja-JP"/>
        </w:rPr>
        <w:t xml:space="preserve">, </w:t>
      </w:r>
      <w:r w:rsidR="00ED08D2">
        <w:rPr>
          <w:rFonts w:eastAsia="ＭＳ 明朝"/>
          <w:lang w:eastAsia="ja-JP"/>
        </w:rPr>
        <w:t>shall be</w:t>
      </w:r>
      <w:r w:rsidR="00ED08D2">
        <w:rPr>
          <w:rFonts w:eastAsia="ＭＳ 明朝" w:hint="eastAsia"/>
          <w:lang w:eastAsia="ja-JP"/>
        </w:rPr>
        <w:t xml:space="preserve"> </w:t>
      </w:r>
      <w:r>
        <w:rPr>
          <w:rFonts w:eastAsia="ＭＳ 明朝" w:hint="eastAsia"/>
          <w:lang w:eastAsia="ja-JP"/>
        </w:rPr>
        <w:t>the</w:t>
      </w:r>
      <w:r w:rsidR="00ED08D2">
        <w:rPr>
          <w:rFonts w:eastAsia="ＭＳ 明朝"/>
          <w:lang w:eastAsia="ja-JP"/>
        </w:rPr>
        <w:t xml:space="preserve"> </w:t>
      </w:r>
      <w:r w:rsidR="00BE1E3C">
        <w:rPr>
          <w:rFonts w:eastAsia="ＭＳ 明朝"/>
          <w:lang w:eastAsia="ja-JP"/>
        </w:rPr>
        <w:t>DC subcarrier frequency</w:t>
      </w:r>
      <w:r>
        <w:rPr>
          <w:rFonts w:eastAsia="ＭＳ 明朝" w:hint="eastAsia"/>
          <w:lang w:eastAsia="ja-JP"/>
        </w:rPr>
        <w:t>, and the value, (</w:t>
      </w:r>
      <w:r w:rsidR="00BE1E3C" w:rsidRPr="009D4573">
        <w:rPr>
          <w:rFonts w:eastAsia="ＭＳ 明朝"/>
          <w:i/>
          <w:lang w:eastAsia="ja-JP"/>
        </w:rPr>
        <w:t>f</w:t>
      </w:r>
      <w:r w:rsidR="00BE1E3C" w:rsidRPr="009D4573">
        <w:rPr>
          <w:rFonts w:eastAsia="ＭＳ 明朝" w:hint="eastAsia"/>
          <w:i/>
          <w:vertAlign w:val="subscript"/>
          <w:lang w:eastAsia="ja-JP"/>
        </w:rPr>
        <w:t>DC</w:t>
      </w:r>
      <w:r w:rsidR="00BE1E3C" w:rsidRPr="00E4594A">
        <w:rPr>
          <w:rFonts w:eastAsia="ＭＳ 明朝"/>
          <w:i/>
          <w:lang w:eastAsia="ja-JP"/>
        </w:rPr>
        <w:t xml:space="preserve"> </w:t>
      </w:r>
      <w:r w:rsidR="00BE1E3C">
        <w:rPr>
          <w:rFonts w:eastAsia="ＭＳ 明朝"/>
          <w:lang w:eastAsia="ja-JP"/>
        </w:rPr>
        <w:t>–</w:t>
      </w:r>
      <w:r w:rsidR="00BE1E3C" w:rsidRPr="00BE1E3C">
        <w:rPr>
          <w:rFonts w:eastAsia="ＭＳ 明朝"/>
          <w:lang w:eastAsia="ja-JP"/>
        </w:rPr>
        <w:t xml:space="preserve"> </w:t>
      </w:r>
      <w:r w:rsidR="00BE1E3C" w:rsidRPr="009D4573">
        <w:rPr>
          <w:rFonts w:eastAsia="ＭＳ 明朝"/>
          <w:i/>
          <w:lang w:eastAsia="ja-JP"/>
        </w:rPr>
        <w:t>f</w:t>
      </w:r>
      <w:r w:rsidR="00BE1E3C">
        <w:rPr>
          <w:rFonts w:eastAsia="ＭＳ 明朝"/>
          <w:i/>
          <w:vertAlign w:val="subscript"/>
          <w:lang w:eastAsia="ja-JP"/>
        </w:rPr>
        <w:t>c</w:t>
      </w:r>
      <w:r>
        <w:rPr>
          <w:rFonts w:eastAsia="ＭＳ 明朝" w:hint="eastAsia"/>
          <w:lang w:eastAsia="ja-JP"/>
        </w:rPr>
        <w:t xml:space="preserve">) where </w:t>
      </w:r>
      <w:r w:rsidR="00BE1E3C" w:rsidRPr="00BE1E3C">
        <w:rPr>
          <w:rFonts w:eastAsia="ＭＳ 明朝"/>
          <w:i/>
          <w:lang w:eastAsia="ja-JP"/>
        </w:rPr>
        <w:t xml:space="preserve"> </w:t>
      </w:r>
      <w:r w:rsidR="00BE1E3C" w:rsidRPr="009D4573">
        <w:rPr>
          <w:rFonts w:eastAsia="ＭＳ 明朝"/>
          <w:i/>
          <w:lang w:eastAsia="ja-JP"/>
        </w:rPr>
        <w:t>f</w:t>
      </w:r>
      <w:r w:rsidR="00BE1E3C">
        <w:rPr>
          <w:rFonts w:eastAsia="ＭＳ 明朝"/>
          <w:i/>
          <w:vertAlign w:val="subscript"/>
          <w:lang w:eastAsia="ja-JP"/>
        </w:rPr>
        <w:t>c</w:t>
      </w:r>
      <w:r>
        <w:rPr>
          <w:rFonts w:eastAsia="ＭＳ 明朝" w:hint="eastAsia"/>
          <w:lang w:eastAsia="ja-JP"/>
        </w:rPr>
        <w:t xml:space="preserve"> is the </w:t>
      </w:r>
      <w:r w:rsidRPr="003A642D">
        <w:rPr>
          <w:rFonts w:eastAsia="ＭＳ 明朝" w:hint="eastAsia"/>
          <w:lang w:val="en-US" w:eastAsia="ja-JP"/>
        </w:rPr>
        <w:t>center</w:t>
      </w:r>
      <w:r>
        <w:rPr>
          <w:rFonts w:eastAsia="ＭＳ 明朝" w:hint="eastAsia"/>
          <w:lang w:eastAsia="ja-JP"/>
        </w:rPr>
        <w:t xml:space="preserve"> frequency</w:t>
      </w:r>
      <w:r w:rsidR="00E4594A">
        <w:rPr>
          <w:rFonts w:eastAsia="ＭＳ 明朝"/>
          <w:lang w:eastAsia="ja-JP"/>
        </w:rPr>
        <w:t xml:space="preserve"> of the carrier</w:t>
      </w:r>
      <w:r>
        <w:rPr>
          <w:rFonts w:eastAsia="ＭＳ 明朝" w:hint="eastAsia"/>
          <w:lang w:eastAsia="ja-JP"/>
        </w:rPr>
        <w:t xml:space="preserve">, </w:t>
      </w:r>
      <w:r w:rsidR="00ED08D2">
        <w:rPr>
          <w:rFonts w:eastAsia="ＭＳ 明朝"/>
          <w:lang w:eastAsia="ja-JP"/>
        </w:rPr>
        <w:t>shall be</w:t>
      </w:r>
      <w:r w:rsidR="00ED08D2" w:rsidDel="00ED08D2">
        <w:rPr>
          <w:rFonts w:eastAsia="ＭＳ 明朝" w:hint="eastAsia"/>
          <w:lang w:eastAsia="ja-JP"/>
        </w:rPr>
        <w:t xml:space="preserve"> </w:t>
      </w:r>
      <w:r>
        <w:rPr>
          <w:rFonts w:eastAsia="ＭＳ 明朝" w:hint="eastAsia"/>
          <w:lang w:eastAsia="ja-JP"/>
        </w:rPr>
        <w:t xml:space="preserve">the DC relative shift. The draft spec shall define the meaning of the parameter </w:t>
      </w:r>
      <w:r w:rsidR="00BE1E3C" w:rsidRPr="009D4573">
        <w:rPr>
          <w:rFonts w:eastAsia="ＭＳ 明朝"/>
          <w:i/>
          <w:lang w:eastAsia="ja-JP"/>
        </w:rPr>
        <w:t>f</w:t>
      </w:r>
      <w:r w:rsidR="00BE1E3C" w:rsidRPr="009D4573">
        <w:rPr>
          <w:rFonts w:eastAsia="ＭＳ 明朝" w:hint="eastAsia"/>
          <w:i/>
          <w:vertAlign w:val="subscript"/>
          <w:lang w:eastAsia="ja-JP"/>
        </w:rPr>
        <w:t>DC</w:t>
      </w:r>
      <w:r w:rsidR="007A665B">
        <w:rPr>
          <w:rFonts w:eastAsia="ＭＳ 明朝" w:hint="eastAsia"/>
          <w:lang w:eastAsia="ja-JP"/>
        </w:rPr>
        <w:t xml:space="preserve"> </w:t>
      </w:r>
      <w:r>
        <w:rPr>
          <w:rFonts w:eastAsia="ＭＳ 明朝" w:hint="eastAsia"/>
          <w:lang w:eastAsia="ja-JP"/>
        </w:rPr>
        <w:t>(CID #1521).</w:t>
      </w:r>
    </w:p>
    <w:p w:rsidR="00633209" w:rsidRDefault="00633209" w:rsidP="00EA38B2">
      <w:pPr>
        <w:jc w:val="left"/>
        <w:rPr>
          <w:rStyle w:val="af0"/>
          <w:rFonts w:eastAsia="ＭＳ 明朝"/>
          <w:b w:val="0"/>
          <w:lang w:eastAsia="ja-JP"/>
        </w:rPr>
      </w:pPr>
    </w:p>
    <w:p w:rsidR="00477797" w:rsidRPr="00477797" w:rsidRDefault="00477797" w:rsidP="00EA38B2">
      <w:pPr>
        <w:jc w:val="left"/>
        <w:rPr>
          <w:rStyle w:val="af0"/>
          <w:rFonts w:eastAsia="ＭＳ 明朝"/>
          <w:b w:val="0"/>
          <w:lang w:eastAsia="ja-JP"/>
        </w:rPr>
      </w:pPr>
      <w:r>
        <w:rPr>
          <w:rStyle w:val="af0"/>
          <w:rFonts w:eastAsia="ＭＳ 明朝" w:hint="eastAsia"/>
          <w:b w:val="0"/>
          <w:lang w:eastAsia="ja-JP"/>
        </w:rPr>
        <w:t>Note</w:t>
      </w:r>
      <w:r w:rsidR="00BE1E3C">
        <w:rPr>
          <w:rStyle w:val="af0"/>
          <w:rFonts w:eastAsia="ＭＳ 明朝"/>
          <w:b w:val="0"/>
          <w:lang w:eastAsia="ja-JP"/>
        </w:rPr>
        <w:t xml:space="preserve"> 1</w:t>
      </w:r>
      <w:r>
        <w:rPr>
          <w:rStyle w:val="af0"/>
          <w:rFonts w:eastAsia="ＭＳ 明朝" w:hint="eastAsia"/>
          <w:b w:val="0"/>
          <w:lang w:eastAsia="ja-JP"/>
        </w:rPr>
        <w:t xml:space="preserve">: </w:t>
      </w:r>
      <w:r w:rsidR="00BE1E3C">
        <w:rPr>
          <w:rStyle w:val="af0"/>
          <w:rFonts w:eastAsia="ＭＳ 明朝"/>
          <w:b w:val="0"/>
          <w:lang w:eastAsia="ja-JP"/>
        </w:rPr>
        <w:t xml:space="preserve">We replaced </w:t>
      </w:r>
      <w:r w:rsidR="00BE1E3C" w:rsidRPr="00E4594A">
        <w:rPr>
          <w:rStyle w:val="af0"/>
          <w:rFonts w:eastAsia="ＭＳ 明朝"/>
          <w:b w:val="0"/>
          <w:i/>
          <w:lang w:eastAsia="ja-JP"/>
        </w:rPr>
        <w:t>F</w:t>
      </w:r>
      <w:r w:rsidR="00BE1E3C" w:rsidRPr="00ED08D2">
        <w:rPr>
          <w:rFonts w:eastAsia="ＭＳ 明朝"/>
          <w:i/>
          <w:vertAlign w:val="subscript"/>
          <w:lang w:eastAsia="ja-JP"/>
        </w:rPr>
        <w:t>c</w:t>
      </w:r>
      <w:r w:rsidR="00BE1E3C">
        <w:rPr>
          <w:rStyle w:val="af0"/>
          <w:rFonts w:eastAsia="ＭＳ 明朝"/>
          <w:b w:val="0"/>
          <w:lang w:eastAsia="ja-JP"/>
        </w:rPr>
        <w:t xml:space="preserve"> and </w:t>
      </w:r>
      <w:r w:rsidR="00BE1E3C" w:rsidRPr="009D4573">
        <w:rPr>
          <w:rStyle w:val="af0"/>
          <w:rFonts w:eastAsia="ＭＳ 明朝"/>
          <w:b w:val="0"/>
          <w:i/>
          <w:lang w:eastAsia="ja-JP"/>
        </w:rPr>
        <w:t>F</w:t>
      </w:r>
      <w:r w:rsidR="00BE1E3C">
        <w:rPr>
          <w:rFonts w:eastAsia="ＭＳ 明朝"/>
          <w:i/>
          <w:vertAlign w:val="subscript"/>
          <w:lang w:eastAsia="ja-JP"/>
        </w:rPr>
        <w:t>DC</w:t>
      </w:r>
      <w:r w:rsidR="00BE1E3C">
        <w:rPr>
          <w:rStyle w:val="af0"/>
          <w:rFonts w:eastAsia="ＭＳ 明朝"/>
          <w:b w:val="0"/>
          <w:lang w:eastAsia="ja-JP"/>
        </w:rPr>
        <w:t xml:space="preserve"> with </w:t>
      </w:r>
      <w:r w:rsidR="00BE1E3C" w:rsidRPr="009D4573">
        <w:rPr>
          <w:rFonts w:eastAsia="ＭＳ 明朝"/>
          <w:i/>
          <w:lang w:eastAsia="ja-JP"/>
        </w:rPr>
        <w:t>f</w:t>
      </w:r>
      <w:r w:rsidR="00BE1E3C">
        <w:rPr>
          <w:rFonts w:eastAsia="ＭＳ 明朝"/>
          <w:i/>
          <w:vertAlign w:val="subscript"/>
          <w:lang w:eastAsia="ja-JP"/>
        </w:rPr>
        <w:t>c</w:t>
      </w:r>
      <w:r w:rsidR="00BE1E3C">
        <w:rPr>
          <w:rStyle w:val="af0"/>
          <w:rFonts w:eastAsia="ＭＳ 明朝"/>
          <w:b w:val="0"/>
          <w:lang w:eastAsia="ja-JP"/>
        </w:rPr>
        <w:t xml:space="preserve"> and </w:t>
      </w:r>
      <w:r w:rsidR="00BE1E3C" w:rsidRPr="009D4573">
        <w:rPr>
          <w:rFonts w:eastAsia="ＭＳ 明朝"/>
          <w:i/>
          <w:lang w:eastAsia="ja-JP"/>
        </w:rPr>
        <w:t>f</w:t>
      </w:r>
      <w:r w:rsidR="00BE1E3C" w:rsidRPr="009D4573">
        <w:rPr>
          <w:rFonts w:eastAsia="ＭＳ 明朝" w:hint="eastAsia"/>
          <w:i/>
          <w:vertAlign w:val="subscript"/>
          <w:lang w:eastAsia="ja-JP"/>
        </w:rPr>
        <w:t>DC</w:t>
      </w:r>
      <w:r w:rsidR="00BE1E3C">
        <w:rPr>
          <w:rStyle w:val="af0"/>
          <w:rFonts w:eastAsia="ＭＳ 明朝"/>
          <w:b w:val="0"/>
          <w:lang w:eastAsia="ja-JP"/>
        </w:rPr>
        <w:t xml:space="preserve"> respectively to align with the </w:t>
      </w:r>
      <w:r w:rsidR="00C20F62">
        <w:rPr>
          <w:rStyle w:val="af0"/>
          <w:rFonts w:eastAsia="ＭＳ 明朝"/>
          <w:b w:val="0"/>
          <w:lang w:eastAsia="ja-JP"/>
        </w:rPr>
        <w:t>parameter definitions</w:t>
      </w:r>
      <w:r w:rsidR="00BE1E3C">
        <w:rPr>
          <w:rStyle w:val="af0"/>
          <w:rFonts w:eastAsia="ＭＳ 明朝"/>
          <w:b w:val="0"/>
          <w:lang w:eastAsia="ja-JP"/>
        </w:rPr>
        <w:t xml:space="preserve"> in clause 20. </w:t>
      </w:r>
      <w:r w:rsidR="00104B1A">
        <w:rPr>
          <w:rStyle w:val="af0"/>
          <w:rFonts w:eastAsia="ＭＳ 明朝"/>
          <w:b w:val="0"/>
          <w:lang w:eastAsia="ja-JP"/>
        </w:rPr>
        <w:t xml:space="preserve">In clause 20, </w:t>
      </w:r>
      <w:r>
        <w:rPr>
          <w:rStyle w:val="af0"/>
          <w:rFonts w:eastAsia="ＭＳ 明朝" w:hint="eastAsia"/>
          <w:b w:val="0"/>
          <w:lang w:eastAsia="ja-JP"/>
        </w:rPr>
        <w:t xml:space="preserve">the parameter </w:t>
      </w:r>
      <w:r w:rsidR="00104B1A" w:rsidRPr="00C81B86">
        <w:rPr>
          <w:rStyle w:val="af0"/>
          <w:rFonts w:eastAsia="ＭＳ 明朝"/>
          <w:b w:val="0"/>
          <w:i/>
          <w:lang w:eastAsia="ja-JP"/>
        </w:rPr>
        <w:t>f</w:t>
      </w:r>
      <w:r w:rsidR="00104B1A" w:rsidRPr="00C81B86">
        <w:rPr>
          <w:rStyle w:val="af0"/>
          <w:rFonts w:eastAsia="ＭＳ 明朝"/>
          <w:b w:val="0"/>
          <w:i/>
          <w:vertAlign w:val="subscript"/>
          <w:lang w:eastAsia="ja-JP"/>
        </w:rPr>
        <w:t>c</w:t>
      </w:r>
      <w:r w:rsidR="00104B1A">
        <w:rPr>
          <w:rStyle w:val="af0"/>
          <w:rFonts w:eastAsia="ＭＳ 明朝"/>
          <w:b w:val="0"/>
          <w:lang w:eastAsia="ja-JP"/>
        </w:rPr>
        <w:t xml:space="preserve"> is used to indicate the </w:t>
      </w:r>
      <w:r w:rsidR="00E4594A">
        <w:rPr>
          <w:rStyle w:val="af0"/>
          <w:rFonts w:eastAsia="ＭＳ 明朝"/>
          <w:b w:val="0"/>
          <w:lang w:eastAsia="ja-JP"/>
        </w:rPr>
        <w:t>center</w:t>
      </w:r>
      <w:r w:rsidR="00104B1A">
        <w:rPr>
          <w:rStyle w:val="af0"/>
          <w:rFonts w:eastAsia="ＭＳ 明朝"/>
          <w:b w:val="0"/>
          <w:lang w:eastAsia="ja-JP"/>
        </w:rPr>
        <w:t xml:space="preserve"> frequency</w:t>
      </w:r>
      <w:r w:rsidR="00E4594A">
        <w:rPr>
          <w:rStyle w:val="af0"/>
          <w:rFonts w:eastAsia="ＭＳ 明朝"/>
          <w:b w:val="0"/>
          <w:lang w:eastAsia="ja-JP"/>
        </w:rPr>
        <w:t xml:space="preserve"> of the carrier</w:t>
      </w:r>
      <w:r w:rsidR="00104B1A">
        <w:rPr>
          <w:rStyle w:val="af0"/>
          <w:rFonts w:eastAsia="ＭＳ 明朝"/>
          <w:b w:val="0"/>
          <w:lang w:eastAsia="ja-JP"/>
        </w:rPr>
        <w:t xml:space="preserve"> while</w:t>
      </w:r>
      <w:r w:rsidR="00104B1A" w:rsidRPr="001C160D">
        <w:rPr>
          <w:rStyle w:val="af0"/>
          <w:rFonts w:eastAsia="ＭＳ 明朝" w:hint="eastAsia"/>
          <w:b w:val="0"/>
          <w:i/>
          <w:lang w:eastAsia="ja-JP"/>
        </w:rPr>
        <w:t xml:space="preserve"> </w:t>
      </w:r>
      <w:r w:rsidRPr="001C160D">
        <w:rPr>
          <w:rStyle w:val="af0"/>
          <w:rFonts w:eastAsia="ＭＳ 明朝" w:hint="eastAsia"/>
          <w:b w:val="0"/>
          <w:i/>
          <w:lang w:eastAsia="ja-JP"/>
        </w:rPr>
        <w:t>F</w:t>
      </w:r>
      <w:r w:rsidRPr="001C160D">
        <w:rPr>
          <w:rStyle w:val="af0"/>
          <w:rFonts w:eastAsia="ＭＳ 明朝" w:hint="eastAsia"/>
          <w:b w:val="0"/>
          <w:i/>
          <w:vertAlign w:val="subscript"/>
          <w:lang w:eastAsia="ja-JP"/>
        </w:rPr>
        <w:t>c</w:t>
      </w:r>
      <w:r>
        <w:rPr>
          <w:rStyle w:val="af0"/>
          <w:rFonts w:eastAsia="ＭＳ 明朝" w:hint="eastAsia"/>
          <w:b w:val="0"/>
          <w:lang w:eastAsia="ja-JP"/>
        </w:rPr>
        <w:t xml:space="preserve"> </w:t>
      </w:r>
      <w:r w:rsidR="00104B1A">
        <w:rPr>
          <w:rStyle w:val="af0"/>
          <w:rFonts w:eastAsia="ＭＳ 明朝"/>
          <w:b w:val="0"/>
          <w:lang w:eastAsia="ja-JP"/>
        </w:rPr>
        <w:t xml:space="preserve">represents </w:t>
      </w:r>
      <w:r>
        <w:rPr>
          <w:rStyle w:val="af0"/>
          <w:rFonts w:eastAsia="ＭＳ 明朝" w:hint="eastAsia"/>
          <w:b w:val="0"/>
          <w:lang w:eastAsia="ja-JP"/>
        </w:rPr>
        <w:t>the SC chip rate</w:t>
      </w:r>
      <w:r w:rsidR="00104B1A">
        <w:rPr>
          <w:rStyle w:val="af0"/>
          <w:rFonts w:eastAsia="ＭＳ 明朝"/>
          <w:b w:val="0"/>
          <w:lang w:eastAsia="ja-JP"/>
        </w:rPr>
        <w:t>.</w:t>
      </w:r>
    </w:p>
    <w:p w:rsidR="00477797" w:rsidRDefault="00477797" w:rsidP="00EA38B2">
      <w:pPr>
        <w:jc w:val="left"/>
        <w:rPr>
          <w:rStyle w:val="af0"/>
          <w:rFonts w:eastAsia="ＭＳ 明朝"/>
          <w:b w:val="0"/>
          <w:lang w:eastAsia="ja-JP"/>
        </w:rPr>
      </w:pPr>
    </w:p>
    <w:p w:rsidR="00E067B0" w:rsidRDefault="00E067B0" w:rsidP="00EA38B2">
      <w:pPr>
        <w:jc w:val="left"/>
        <w:rPr>
          <w:rStyle w:val="af0"/>
          <w:rFonts w:eastAsia="ＭＳ 明朝"/>
          <w:b w:val="0"/>
          <w:lang w:eastAsia="ja-JP"/>
        </w:rPr>
      </w:pPr>
      <w:r>
        <w:rPr>
          <w:rStyle w:val="af0"/>
          <w:rFonts w:eastAsia="ＭＳ 明朝" w:hint="eastAsia"/>
          <w:b w:val="0"/>
          <w:lang w:eastAsia="ja-JP"/>
        </w:rPr>
        <w:t>Table 7</w:t>
      </w:r>
      <w:r w:rsidR="007A054F">
        <w:rPr>
          <w:rStyle w:val="af0"/>
          <w:rFonts w:eastAsia="ＭＳ 明朝"/>
          <w:b w:val="0"/>
          <w:lang w:eastAsia="ja-JP"/>
        </w:rPr>
        <w:t>2</w:t>
      </w:r>
      <w:r>
        <w:rPr>
          <w:rStyle w:val="af0"/>
          <w:rFonts w:eastAsia="ＭＳ 明朝" w:hint="eastAsia"/>
          <w:b w:val="0"/>
          <w:lang w:eastAsia="ja-JP"/>
        </w:rPr>
        <w:t xml:space="preserve"> of Draft D1.0 defines DC relative shift values for channels 1-8 as well as </w:t>
      </w:r>
      <w:r w:rsidR="002A22AE">
        <w:rPr>
          <w:rStyle w:val="af0"/>
          <w:rFonts w:eastAsia="ＭＳ 明朝"/>
          <w:b w:val="0"/>
          <w:lang w:eastAsia="ja-JP"/>
        </w:rPr>
        <w:t>4.32 GHz or wider</w:t>
      </w:r>
      <w:r>
        <w:rPr>
          <w:rStyle w:val="af0"/>
          <w:rFonts w:eastAsia="ＭＳ 明朝" w:hint="eastAsia"/>
          <w:b w:val="0"/>
          <w:lang w:eastAsia="ja-JP"/>
        </w:rPr>
        <w:t xml:space="preserve"> channels composed of </w:t>
      </w:r>
      <w:r>
        <w:rPr>
          <w:rStyle w:val="af0"/>
          <w:rFonts w:eastAsia="ＭＳ 明朝"/>
          <w:b w:val="0"/>
          <w:lang w:eastAsia="ja-JP"/>
        </w:rPr>
        <w:t xml:space="preserve">the </w:t>
      </w:r>
      <w:r>
        <w:rPr>
          <w:rStyle w:val="af0"/>
          <w:rFonts w:eastAsia="ＭＳ 明朝" w:hint="eastAsia"/>
          <w:b w:val="0"/>
          <w:lang w:eastAsia="ja-JP"/>
        </w:rPr>
        <w:t xml:space="preserve">channels. </w:t>
      </w:r>
      <w:r>
        <w:rPr>
          <w:rStyle w:val="af0"/>
          <w:rFonts w:eastAsia="ＭＳ 明朝"/>
          <w:b w:val="0"/>
          <w:lang w:eastAsia="ja-JP"/>
        </w:rPr>
        <w:t xml:space="preserve">As </w:t>
      </w:r>
      <w:r w:rsidR="001C160D">
        <w:rPr>
          <w:rStyle w:val="af0"/>
          <w:rFonts w:eastAsia="ＭＳ 明朝"/>
          <w:b w:val="0"/>
          <w:lang w:eastAsia="ja-JP"/>
        </w:rPr>
        <w:t xml:space="preserve">any tables in </w:t>
      </w:r>
      <w:r>
        <w:rPr>
          <w:rStyle w:val="af0"/>
          <w:rFonts w:eastAsia="ＭＳ 明朝"/>
          <w:b w:val="0"/>
          <w:lang w:eastAsia="ja-JP"/>
        </w:rPr>
        <w:t xml:space="preserve">Annex E </w:t>
      </w:r>
      <w:r w:rsidR="001C160D">
        <w:rPr>
          <w:rStyle w:val="af0"/>
          <w:rFonts w:eastAsia="ＭＳ 明朝"/>
          <w:b w:val="0"/>
          <w:lang w:eastAsia="ja-JP"/>
        </w:rPr>
        <w:t>don’t include</w:t>
      </w:r>
      <w:r>
        <w:rPr>
          <w:rStyle w:val="af0"/>
          <w:rFonts w:eastAsia="ＭＳ 明朝"/>
          <w:b w:val="0"/>
          <w:lang w:eastAsia="ja-JP"/>
        </w:rPr>
        <w:t xml:space="preserve"> channels 7, 8 and related </w:t>
      </w:r>
      <w:r w:rsidR="002A22AE">
        <w:rPr>
          <w:rStyle w:val="af0"/>
          <w:rFonts w:eastAsia="ＭＳ 明朝"/>
          <w:b w:val="0"/>
          <w:lang w:eastAsia="ja-JP"/>
        </w:rPr>
        <w:lastRenderedPageBreak/>
        <w:t>wider</w:t>
      </w:r>
      <w:r>
        <w:rPr>
          <w:rStyle w:val="af0"/>
          <w:rFonts w:eastAsia="ＭＳ 明朝"/>
          <w:b w:val="0"/>
          <w:lang w:eastAsia="ja-JP"/>
        </w:rPr>
        <w:t xml:space="preserve"> channels, Table 7</w:t>
      </w:r>
      <w:r w:rsidR="007A054F">
        <w:rPr>
          <w:rStyle w:val="af0"/>
          <w:rFonts w:eastAsia="ＭＳ 明朝"/>
          <w:b w:val="0"/>
          <w:lang w:eastAsia="ja-JP"/>
        </w:rPr>
        <w:t>2</w:t>
      </w:r>
      <w:r>
        <w:rPr>
          <w:rStyle w:val="af0"/>
          <w:rFonts w:eastAsia="ＭＳ 明朝"/>
          <w:b w:val="0"/>
          <w:lang w:eastAsia="ja-JP"/>
        </w:rPr>
        <w:t xml:space="preserve"> should not include the </w:t>
      </w:r>
      <w:r w:rsidR="002A22AE">
        <w:rPr>
          <w:rStyle w:val="af0"/>
          <w:rFonts w:eastAsia="ＭＳ 明朝"/>
          <w:b w:val="0"/>
          <w:lang w:eastAsia="ja-JP"/>
        </w:rPr>
        <w:t>specification</w:t>
      </w:r>
      <w:r>
        <w:rPr>
          <w:rStyle w:val="af0"/>
          <w:rFonts w:eastAsia="ＭＳ 明朝"/>
          <w:b w:val="0"/>
          <w:lang w:eastAsia="ja-JP"/>
        </w:rPr>
        <w:t xml:space="preserve"> for them. We propose to accept the comment and remove the related rows. (</w:t>
      </w:r>
      <w:r w:rsidR="00870C3D">
        <w:rPr>
          <w:rStyle w:val="af0"/>
          <w:rFonts w:eastAsia="ＭＳ 明朝"/>
          <w:b w:val="0"/>
          <w:lang w:eastAsia="ja-JP"/>
        </w:rPr>
        <w:t xml:space="preserve">CID </w:t>
      </w:r>
      <w:r>
        <w:rPr>
          <w:rStyle w:val="af0"/>
          <w:rFonts w:eastAsia="ＭＳ 明朝"/>
          <w:b w:val="0"/>
          <w:lang w:eastAsia="ja-JP"/>
        </w:rPr>
        <w:t>#2138)</w:t>
      </w:r>
    </w:p>
    <w:p w:rsidR="00E067B0" w:rsidRDefault="00E067B0" w:rsidP="00EA38B2">
      <w:pPr>
        <w:jc w:val="left"/>
        <w:rPr>
          <w:rStyle w:val="af0"/>
          <w:rFonts w:eastAsia="ＭＳ 明朝"/>
          <w:b w:val="0"/>
          <w:lang w:eastAsia="ja-JP"/>
        </w:rPr>
      </w:pPr>
    </w:p>
    <w:p w:rsidR="00D931AA" w:rsidRPr="004E4DB1" w:rsidRDefault="00D931AA" w:rsidP="00EA38B2">
      <w:pPr>
        <w:jc w:val="left"/>
        <w:rPr>
          <w:rStyle w:val="af0"/>
          <w:rFonts w:eastAsia="ＭＳ 明朝"/>
          <w:b w:val="0"/>
          <w:lang w:eastAsia="ja-JP"/>
        </w:rPr>
      </w:pPr>
      <w:r>
        <w:rPr>
          <w:rStyle w:val="af0"/>
          <w:rFonts w:eastAsia="ＭＳ 明朝" w:hint="eastAsia"/>
          <w:b w:val="0"/>
          <w:lang w:eastAsia="ja-JP"/>
        </w:rPr>
        <w:t xml:space="preserve">The DC relative shift </w:t>
      </w:r>
      <w:r w:rsidR="007A665B">
        <w:rPr>
          <w:rStyle w:val="af0"/>
          <w:rFonts w:eastAsia="ＭＳ 明朝" w:hint="eastAsia"/>
          <w:b w:val="0"/>
          <w:lang w:eastAsia="ja-JP"/>
        </w:rPr>
        <w:t xml:space="preserve">should apply to the OFDM symbols, while not to apply to the PHY </w:t>
      </w:r>
      <w:r w:rsidR="001B2538">
        <w:rPr>
          <w:rStyle w:val="af0"/>
          <w:rFonts w:eastAsia="ＭＳ 明朝"/>
          <w:b w:val="0"/>
          <w:lang w:eastAsia="ja-JP"/>
        </w:rPr>
        <w:t>fields</w:t>
      </w:r>
      <w:r w:rsidR="007A665B">
        <w:rPr>
          <w:rStyle w:val="af0"/>
          <w:rFonts w:eastAsia="ＭＳ 明朝" w:hint="eastAsia"/>
          <w:b w:val="0"/>
          <w:lang w:eastAsia="ja-JP"/>
        </w:rPr>
        <w:t xml:space="preserve"> with SC modulation. In D1.0, OFDM-modulated </w:t>
      </w:r>
      <w:r w:rsidR="000C1F61">
        <w:rPr>
          <w:rStyle w:val="af0"/>
          <w:rFonts w:eastAsia="ＭＳ 明朝"/>
          <w:b w:val="0"/>
          <w:lang w:eastAsia="ja-JP"/>
        </w:rPr>
        <w:t>field</w:t>
      </w:r>
      <w:r w:rsidR="000C1F61">
        <w:rPr>
          <w:rStyle w:val="af0"/>
          <w:rFonts w:eastAsia="ＭＳ 明朝" w:hint="eastAsia"/>
          <w:b w:val="0"/>
          <w:lang w:eastAsia="ja-JP"/>
        </w:rPr>
        <w:t xml:space="preserve">s </w:t>
      </w:r>
      <w:r w:rsidR="007A665B">
        <w:rPr>
          <w:rStyle w:val="af0"/>
          <w:rFonts w:eastAsia="ＭＳ 明朝" w:hint="eastAsia"/>
          <w:b w:val="0"/>
          <w:lang w:eastAsia="ja-JP"/>
        </w:rPr>
        <w:t xml:space="preserve">are the </w:t>
      </w:r>
      <w:r w:rsidR="007A665B" w:rsidRPr="007A665B">
        <w:rPr>
          <w:rStyle w:val="af0"/>
          <w:rFonts w:eastAsia="ＭＳ 明朝"/>
          <w:b w:val="0"/>
          <w:lang w:eastAsia="ja-JP"/>
        </w:rPr>
        <w:t>EDMG-STF, EDMG-CEF, Data and TRN fields</w:t>
      </w:r>
      <w:r w:rsidR="000C1F61">
        <w:rPr>
          <w:rStyle w:val="af0"/>
          <w:rFonts w:eastAsia="ＭＳ 明朝"/>
          <w:b w:val="0"/>
          <w:lang w:eastAsia="ja-JP"/>
        </w:rPr>
        <w:t>.</w:t>
      </w:r>
      <w:r w:rsidR="004E4DB1">
        <w:rPr>
          <w:rStyle w:val="af0"/>
          <w:rFonts w:eastAsia="ＭＳ 明朝" w:hint="eastAsia"/>
          <w:b w:val="0"/>
          <w:lang w:eastAsia="ja-JP"/>
        </w:rPr>
        <w:t xml:space="preserve"> </w:t>
      </w:r>
      <w:r w:rsidR="000C1F61">
        <w:rPr>
          <w:rStyle w:val="af0"/>
          <w:rFonts w:eastAsia="ＭＳ 明朝"/>
          <w:b w:val="0"/>
          <w:lang w:eastAsia="ja-JP"/>
        </w:rPr>
        <w:t xml:space="preserve">The </w:t>
      </w:r>
      <w:r w:rsidR="004E4DB1">
        <w:rPr>
          <w:rStyle w:val="af0"/>
          <w:rFonts w:eastAsia="ＭＳ 明朝" w:hint="eastAsia"/>
          <w:b w:val="0"/>
          <w:lang w:eastAsia="ja-JP"/>
        </w:rPr>
        <w:t>DC relative shift</w:t>
      </w:r>
      <w:r w:rsidR="000C1F61">
        <w:rPr>
          <w:rStyle w:val="af0"/>
          <w:rFonts w:eastAsia="ＭＳ 明朝"/>
          <w:b w:val="0"/>
          <w:lang w:eastAsia="ja-JP"/>
        </w:rPr>
        <w:t xml:space="preserve"> should apply to the TRN field as well</w:t>
      </w:r>
      <w:r w:rsidR="004E4DB1">
        <w:rPr>
          <w:rStyle w:val="af0"/>
          <w:rFonts w:eastAsia="ＭＳ 明朝" w:hint="eastAsia"/>
          <w:b w:val="0"/>
          <w:lang w:eastAsia="ja-JP"/>
        </w:rPr>
        <w:t>. (CID #1520)</w:t>
      </w:r>
    </w:p>
    <w:p w:rsidR="00E067B0" w:rsidRDefault="00E067B0" w:rsidP="00E067B0">
      <w:pPr>
        <w:jc w:val="left"/>
      </w:pPr>
    </w:p>
    <w:p w:rsidR="00E067B0" w:rsidRDefault="00E067B0" w:rsidP="00E067B0">
      <w:pPr>
        <w:jc w:val="left"/>
        <w:rPr>
          <w:rFonts w:eastAsia="ＭＳ 明朝"/>
          <w:lang w:eastAsia="ja-JP"/>
        </w:rPr>
      </w:pPr>
      <w:r>
        <w:t>By applying the DC relative shift, each of the subcarrier frequencies for any channel numbers can be denoted as 64.8+∆</w:t>
      </w:r>
      <w:r w:rsidRPr="00A8594E">
        <w:rPr>
          <w:i/>
          <w:vertAlign w:val="subscript"/>
        </w:rPr>
        <w:t>F</w:t>
      </w:r>
      <w:r>
        <w:t>×</w:t>
      </w:r>
      <w:r w:rsidRPr="004B3781">
        <w:rPr>
          <w:i/>
        </w:rPr>
        <w:t>n</w:t>
      </w:r>
      <w:r w:rsidRPr="004B3781">
        <w:t xml:space="preserve"> </w:t>
      </w:r>
      <w:r>
        <w:t xml:space="preserve">GHz, where </w:t>
      </w:r>
      <w:r w:rsidRPr="004B3781">
        <w:rPr>
          <w:i/>
        </w:rPr>
        <w:t>n</w:t>
      </w:r>
      <w:r>
        <w:t xml:space="preserve"> is an integer. This makes the space between DC subcarrier frequencies of any two channels an integer multiple of the OFDM subcarrier spacing, and the subcarrier frequencies for </w:t>
      </w:r>
      <w:r w:rsidR="000C1F61">
        <w:t>4.32 GHz or wider</w:t>
      </w:r>
      <w:r>
        <w:t xml:space="preserve"> channels are aligned with the subcarriers in 2.16 GHz channels. – The reason for applying the DC relative frequency shift should be mentioned in the Note. (</w:t>
      </w:r>
      <w:r w:rsidR="00870C3D">
        <w:t xml:space="preserve">CID </w:t>
      </w:r>
      <w:r>
        <w:t>#2092)</w:t>
      </w:r>
    </w:p>
    <w:p w:rsidR="008A12D2" w:rsidRPr="00E067B0" w:rsidRDefault="008A12D2" w:rsidP="00EA38B2">
      <w:pPr>
        <w:jc w:val="left"/>
        <w:rPr>
          <w:rStyle w:val="af0"/>
          <w:rFonts w:eastAsia="ＭＳ 明朝"/>
          <w:b w:val="0"/>
          <w:lang w:eastAsia="ja-JP"/>
        </w:rPr>
      </w:pPr>
    </w:p>
    <w:p w:rsidR="008A12D2" w:rsidRDefault="004E4DB1" w:rsidP="00EA38B2">
      <w:pPr>
        <w:jc w:val="left"/>
        <w:rPr>
          <w:rStyle w:val="af0"/>
          <w:rFonts w:eastAsia="ＭＳ 明朝"/>
          <w:b w:val="0"/>
          <w:lang w:eastAsia="ja-JP"/>
        </w:rPr>
      </w:pPr>
      <w:r>
        <w:rPr>
          <w:rStyle w:val="af0"/>
          <w:rFonts w:eastAsia="ＭＳ 明朝" w:hint="eastAsia"/>
          <w:b w:val="0"/>
          <w:lang w:eastAsia="ja-JP"/>
        </w:rPr>
        <w:t xml:space="preserve">Since the </w:t>
      </w:r>
      <w:r w:rsidR="00E50665">
        <w:rPr>
          <w:rStyle w:val="af0"/>
          <w:rFonts w:eastAsia="ＭＳ 明朝" w:hint="eastAsia"/>
          <w:b w:val="0"/>
          <w:lang w:eastAsia="ja-JP"/>
        </w:rPr>
        <w:t xml:space="preserve">DC relative shift is applied </w:t>
      </w:r>
      <w:r w:rsidR="003717D1">
        <w:rPr>
          <w:rStyle w:val="af0"/>
          <w:rFonts w:eastAsia="ＭＳ 明朝" w:hint="eastAsia"/>
          <w:b w:val="0"/>
          <w:lang w:eastAsia="ja-JP"/>
        </w:rPr>
        <w:t>in digital domain, we propose to include</w:t>
      </w:r>
      <w:r w:rsidR="00E50665">
        <w:rPr>
          <w:rStyle w:val="af0"/>
          <w:rFonts w:eastAsia="ＭＳ 明朝" w:hint="eastAsia"/>
          <w:b w:val="0"/>
          <w:lang w:eastAsia="ja-JP"/>
        </w:rPr>
        <w:t xml:space="preserve"> the DC relative shift </w:t>
      </w:r>
      <w:r w:rsidR="001C160D">
        <w:rPr>
          <w:rStyle w:val="af0"/>
          <w:rFonts w:eastAsia="ＭＳ 明朝"/>
          <w:b w:val="0"/>
          <w:lang w:eastAsia="ja-JP"/>
        </w:rPr>
        <w:t xml:space="preserve">to </w:t>
      </w:r>
      <w:r w:rsidR="003717D1">
        <w:rPr>
          <w:rStyle w:val="af0"/>
          <w:rFonts w:eastAsia="ＭＳ 明朝" w:hint="eastAsia"/>
          <w:b w:val="0"/>
          <w:lang w:eastAsia="ja-JP"/>
        </w:rPr>
        <w:t>the</w:t>
      </w:r>
      <w:r w:rsidR="00E50665">
        <w:rPr>
          <w:rStyle w:val="af0"/>
          <w:rFonts w:eastAsia="ＭＳ 明朝" w:hint="eastAsia"/>
          <w:b w:val="0"/>
          <w:lang w:eastAsia="ja-JP"/>
        </w:rPr>
        <w:t xml:space="preserve"> PPDU transmission</w:t>
      </w:r>
      <w:r w:rsidR="003717D1">
        <w:rPr>
          <w:rStyle w:val="af0"/>
          <w:rFonts w:eastAsia="ＭＳ 明朝" w:hint="eastAsia"/>
          <w:b w:val="0"/>
          <w:lang w:eastAsia="ja-JP"/>
        </w:rPr>
        <w:t xml:space="preserve"> related subclauses</w:t>
      </w:r>
      <w:r w:rsidR="00E50665">
        <w:rPr>
          <w:rStyle w:val="af0"/>
          <w:rFonts w:eastAsia="ＭＳ 明朝" w:hint="eastAsia"/>
          <w:b w:val="0"/>
          <w:lang w:eastAsia="ja-JP"/>
        </w:rPr>
        <w:t xml:space="preserve"> (CID #1539).</w:t>
      </w:r>
    </w:p>
    <w:p w:rsidR="00BE29F0" w:rsidRPr="00E067B0" w:rsidDel="00AD04D9" w:rsidRDefault="00BE29F0" w:rsidP="00EA38B2">
      <w:pPr>
        <w:jc w:val="left"/>
        <w:rPr>
          <w:del w:id="0" w:author="作成者"/>
          <w:rStyle w:val="af0"/>
          <w:rFonts w:eastAsia="ＭＳ 明朝"/>
          <w:b w:val="0"/>
          <w:lang w:eastAsia="ja-JP"/>
        </w:rPr>
      </w:pPr>
    </w:p>
    <w:p w:rsidR="00633209" w:rsidDel="00AD04D9" w:rsidRDefault="00633209" w:rsidP="00EA38B2">
      <w:pPr>
        <w:jc w:val="left"/>
        <w:rPr>
          <w:del w:id="1" w:author="作成者"/>
          <w:rStyle w:val="af0"/>
          <w:rFonts w:eastAsia="ＭＳ 明朝"/>
          <w:b w:val="0"/>
          <w:lang w:eastAsia="ja-JP"/>
        </w:rPr>
      </w:pPr>
    </w:p>
    <w:p w:rsidR="003717D1" w:rsidDel="00AD04D9" w:rsidRDefault="003717D1" w:rsidP="00EA38B2">
      <w:pPr>
        <w:jc w:val="left"/>
        <w:rPr>
          <w:del w:id="2" w:author="作成者"/>
          <w:rStyle w:val="af0"/>
          <w:rFonts w:eastAsia="ＭＳ 明朝"/>
          <w:b w:val="0"/>
          <w:lang w:eastAsia="ja-JP"/>
        </w:rPr>
      </w:pPr>
    </w:p>
    <w:p w:rsidR="003717D1" w:rsidRPr="00BE29F0" w:rsidRDefault="003717D1" w:rsidP="00EA38B2">
      <w:pPr>
        <w:jc w:val="left"/>
        <w:rPr>
          <w:rStyle w:val="af0"/>
          <w:rFonts w:eastAsia="ＭＳ 明朝"/>
          <w:b w:val="0"/>
          <w:lang w:eastAsia="ja-JP"/>
        </w:rPr>
      </w:pPr>
    </w:p>
    <w:p w:rsidR="00633209" w:rsidRDefault="00633209" w:rsidP="00EA38B2">
      <w:pPr>
        <w:jc w:val="left"/>
        <w:rPr>
          <w:rStyle w:val="af0"/>
          <w:rFonts w:eastAsia="ＭＳ 明朝"/>
          <w:b w:val="0"/>
          <w:lang w:eastAsia="ja-JP"/>
        </w:rPr>
      </w:pPr>
    </w:p>
    <w:p w:rsidR="00633209" w:rsidRPr="00654E8A" w:rsidRDefault="00633209" w:rsidP="00633209">
      <w:pPr>
        <w:jc w:val="left"/>
        <w:rPr>
          <w:rStyle w:val="af0"/>
          <w:rFonts w:eastAsia="ＭＳ 明朝"/>
          <w:u w:val="single"/>
          <w:lang w:eastAsia="ja-JP"/>
        </w:rPr>
      </w:pPr>
      <w:r>
        <w:rPr>
          <w:rStyle w:val="af0"/>
          <w:rFonts w:eastAsia="ＭＳ 明朝" w:hint="eastAsia"/>
          <w:u w:val="single"/>
          <w:lang w:eastAsia="ja-JP"/>
        </w:rPr>
        <w:t>Proposed changes</w:t>
      </w:r>
      <w:r w:rsidR="001E788B">
        <w:rPr>
          <w:rStyle w:val="af0"/>
          <w:rFonts w:eastAsia="ＭＳ 明朝" w:hint="eastAsia"/>
          <w:u w:val="single"/>
          <w:lang w:eastAsia="ja-JP"/>
        </w:rPr>
        <w:t xml:space="preserve"> to D1.0</w:t>
      </w:r>
    </w:p>
    <w:p w:rsidR="00DA5396" w:rsidRDefault="00DA5396" w:rsidP="00AC3256">
      <w:pPr>
        <w:autoSpaceDE w:val="0"/>
        <w:autoSpaceDN w:val="0"/>
        <w:adjustRightInd w:val="0"/>
        <w:jc w:val="left"/>
        <w:rPr>
          <w:rFonts w:eastAsia="ＭＳ 明朝"/>
          <w:b/>
          <w:i/>
          <w:lang w:val="en-SG" w:eastAsia="ja-JP"/>
        </w:rPr>
      </w:pPr>
    </w:p>
    <w:p w:rsidR="00DA5396" w:rsidRPr="00C10107" w:rsidRDefault="00DA5396" w:rsidP="00DA5396">
      <w:pPr>
        <w:rPr>
          <w:rStyle w:val="af0"/>
          <w:rFonts w:eastAsia="ＭＳ 明朝"/>
          <w:b w:val="0"/>
          <w:i/>
          <w:lang w:eastAsia="ja-JP"/>
        </w:rPr>
      </w:pP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Editor: modify the </w:t>
      </w:r>
      <w:r w:rsidR="004D0C25">
        <w:rPr>
          <w:rStyle w:val="af0"/>
          <w:rFonts w:eastAsia="ＭＳ 明朝" w:hint="eastAsia"/>
          <w:b w:val="0"/>
          <w:i/>
          <w:lang w:eastAsia="ja-JP"/>
        </w:rPr>
        <w:t xml:space="preserve">text 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in subclause </w:t>
      </w:r>
      <w:r>
        <w:rPr>
          <w:rStyle w:val="af0"/>
          <w:rFonts w:eastAsia="ＭＳ 明朝" w:hint="eastAsia"/>
          <w:b w:val="0"/>
          <w:i/>
          <w:lang w:eastAsia="ja-JP"/>
        </w:rPr>
        <w:t>30.6.1</w:t>
      </w:r>
      <w:r w:rsidR="00C92643">
        <w:rPr>
          <w:rStyle w:val="af0"/>
          <w:rFonts w:eastAsia="ＭＳ 明朝"/>
          <w:b w:val="0"/>
          <w:i/>
          <w:lang w:eastAsia="ja-JP"/>
        </w:rPr>
        <w:t>.3</w:t>
      </w:r>
      <w:r>
        <w:rPr>
          <w:rStyle w:val="af0"/>
          <w:rFonts w:eastAsia="ＭＳ 明朝" w:hint="eastAsia"/>
          <w:b w:val="0"/>
          <w:i/>
          <w:lang w:eastAsia="ja-JP"/>
        </w:rPr>
        <w:t xml:space="preserve"> 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>of D</w:t>
      </w:r>
      <w:r>
        <w:rPr>
          <w:rStyle w:val="af0"/>
          <w:rFonts w:eastAsia="ＭＳ 明朝" w:hint="eastAsia"/>
          <w:b w:val="0"/>
          <w:i/>
          <w:lang w:eastAsia="ja-JP"/>
        </w:rPr>
        <w:t>1.0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 as follows</w:t>
      </w:r>
      <w:r w:rsidR="004D0C25">
        <w:rPr>
          <w:rStyle w:val="af0"/>
          <w:rFonts w:eastAsia="ＭＳ 明朝" w:hint="eastAsia"/>
          <w:b w:val="0"/>
          <w:i/>
          <w:lang w:eastAsia="ja-JP"/>
        </w:rPr>
        <w:t>: (P329L10-P330L2)</w:t>
      </w:r>
      <w:r>
        <w:rPr>
          <w:rStyle w:val="af0"/>
          <w:rFonts w:eastAsia="ＭＳ 明朝" w:hint="eastAsia"/>
          <w:b w:val="0"/>
          <w:i/>
          <w:lang w:eastAsia="ja-JP"/>
        </w:rPr>
        <w:t xml:space="preserve"> (CID #1520, #1521</w:t>
      </w:r>
      <w:r w:rsidR="004D0C25">
        <w:rPr>
          <w:rStyle w:val="af0"/>
          <w:rFonts w:eastAsia="ＭＳ 明朝" w:hint="eastAsia"/>
          <w:b w:val="0"/>
          <w:i/>
          <w:lang w:eastAsia="ja-JP"/>
        </w:rPr>
        <w:t>, #1539</w:t>
      </w:r>
      <w:r w:rsidR="00C92643">
        <w:rPr>
          <w:rStyle w:val="af0"/>
          <w:rFonts w:eastAsia="ＭＳ 明朝"/>
          <w:b w:val="0"/>
          <w:i/>
          <w:lang w:eastAsia="ja-JP"/>
        </w:rPr>
        <w:t>, #2092</w:t>
      </w:r>
      <w:r>
        <w:rPr>
          <w:rStyle w:val="af0"/>
          <w:rFonts w:eastAsia="ＭＳ 明朝" w:hint="eastAsia"/>
          <w:b w:val="0"/>
          <w:i/>
          <w:lang w:eastAsia="ja-JP"/>
        </w:rPr>
        <w:t>)</w:t>
      </w:r>
    </w:p>
    <w:p w:rsidR="00DA5396" w:rsidRPr="00DA5396" w:rsidRDefault="00DA5396" w:rsidP="00AC3256">
      <w:pPr>
        <w:autoSpaceDE w:val="0"/>
        <w:autoSpaceDN w:val="0"/>
        <w:adjustRightInd w:val="0"/>
        <w:jc w:val="left"/>
        <w:rPr>
          <w:rFonts w:eastAsia="ＭＳ 明朝"/>
          <w:b/>
          <w:i/>
          <w:lang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3"/>
          <w:numId w:val="13"/>
        </w:numPr>
        <w:suppressAutoHyphens/>
        <w:spacing w:before="240" w:after="240"/>
        <w:contextualSpacing w:val="0"/>
        <w:jc w:val="left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3"/>
          <w:numId w:val="13"/>
        </w:numPr>
        <w:suppressAutoHyphens/>
        <w:spacing w:before="240" w:after="240"/>
        <w:contextualSpacing w:val="0"/>
        <w:jc w:val="left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:rsidR="00DA5396" w:rsidRDefault="00DA5396" w:rsidP="00E13EC7">
      <w:pPr>
        <w:pStyle w:val="IEEEStdsLevel4Header"/>
      </w:pPr>
      <w:r>
        <w:t>DC relative shift to carrier frequency</w:t>
      </w:r>
    </w:p>
    <w:p w:rsidR="00DA5396" w:rsidRDefault="00DA5396" w:rsidP="00DA5396">
      <w:pPr>
        <w:pStyle w:val="IEEEStdsParagraph"/>
      </w:pPr>
      <w:r w:rsidRPr="003A739C">
        <w:t xml:space="preserve">The DC relative frequency shift is applied in digital domain </w:t>
      </w:r>
      <w:del w:id="3" w:author="作成者">
        <w:r w:rsidRPr="003A739C" w:rsidDel="003A642D">
          <w:delText xml:space="preserve">for </w:delText>
        </w:r>
      </w:del>
      <w:ins w:id="4" w:author="作成者">
        <w:r w:rsidR="003A642D">
          <w:rPr>
            <w:rFonts w:eastAsia="ＭＳ 明朝" w:hint="eastAsia"/>
          </w:rPr>
          <w:t>to</w:t>
        </w:r>
        <w:r w:rsidR="003A642D" w:rsidRPr="003A739C">
          <w:t xml:space="preserve"> </w:t>
        </w:r>
        <w:r w:rsidR="002E51D6">
          <w:rPr>
            <w:rFonts w:eastAsia="ＭＳ 明朝" w:hint="eastAsia"/>
          </w:rPr>
          <w:t xml:space="preserve">the </w:t>
        </w:r>
      </w:ins>
      <w:r w:rsidRPr="003A739C">
        <w:t xml:space="preserve">EDMG-STF, EDMG-CEF, </w:t>
      </w:r>
      <w:del w:id="5" w:author="作成者">
        <w:r w:rsidRPr="003A739C" w:rsidDel="00A15680">
          <w:delText xml:space="preserve">and </w:delText>
        </w:r>
        <w:r w:rsidDel="002E51D6">
          <w:delText xml:space="preserve">the </w:delText>
        </w:r>
      </w:del>
      <w:r>
        <w:t>Data</w:t>
      </w:r>
      <w:ins w:id="6" w:author="作成者">
        <w:r>
          <w:rPr>
            <w:rFonts w:hint="eastAsia"/>
          </w:rPr>
          <w:t xml:space="preserve"> and TRN</w:t>
        </w:r>
      </w:ins>
      <w:r>
        <w:t xml:space="preserve"> field</w:t>
      </w:r>
      <w:ins w:id="7" w:author="作成者">
        <w:r>
          <w:rPr>
            <w:rFonts w:hint="eastAsia"/>
          </w:rPr>
          <w:t>s (CID#1520)</w:t>
        </w:r>
      </w:ins>
      <w:r>
        <w:t xml:space="preserve"> </w:t>
      </w:r>
      <w:r w:rsidRPr="003A739C">
        <w:t xml:space="preserve">of </w:t>
      </w:r>
      <w:r>
        <w:t xml:space="preserve">an </w:t>
      </w:r>
      <w:r w:rsidRPr="003A739C">
        <w:t xml:space="preserve">EDMG OFDM </w:t>
      </w:r>
      <w:r>
        <w:t xml:space="preserve">mode </w:t>
      </w:r>
      <w:r w:rsidRPr="003A739C">
        <w:t>PPDU. The DC relative shift is frequency channel dependent</w:t>
      </w:r>
      <w:ins w:id="8" w:author="作成者">
        <w:r>
          <w:rPr>
            <w:rFonts w:eastAsia="ＭＳ 明朝" w:hint="eastAsia"/>
          </w:rPr>
          <w:t>,</w:t>
        </w:r>
      </w:ins>
      <w:r w:rsidRPr="003A739C">
        <w:t xml:space="preserve"> and </w:t>
      </w:r>
      <w:ins w:id="9" w:author="作成者">
        <w:r w:rsidR="00C92643">
          <w:t>denoted as (</w:t>
        </w:r>
        <w:r w:rsidR="00104B1A" w:rsidRPr="002C2E65">
          <w:rPr>
            <w:i/>
          </w:rPr>
          <w:t>f</w:t>
        </w:r>
        <w:r w:rsidR="00104B1A" w:rsidRPr="002C2E65">
          <w:rPr>
            <w:i/>
            <w:vertAlign w:val="subscript"/>
          </w:rPr>
          <w:t>DC</w:t>
        </w:r>
        <w:r w:rsidR="00104B1A" w:rsidRPr="002C2E65">
          <w:rPr>
            <w:i/>
          </w:rPr>
          <w:t xml:space="preserve"> – f</w:t>
        </w:r>
        <w:r w:rsidR="00104B1A" w:rsidRPr="002C2E65">
          <w:rPr>
            <w:i/>
            <w:vertAlign w:val="subscript"/>
          </w:rPr>
          <w:t>c</w:t>
        </w:r>
        <w:r w:rsidR="00C92643">
          <w:t xml:space="preserve">), where </w:t>
        </w:r>
        <w:r w:rsidR="00104B1A" w:rsidRPr="002C2E65">
          <w:rPr>
            <w:i/>
          </w:rPr>
          <w:t>f</w:t>
        </w:r>
        <w:r w:rsidR="00104B1A" w:rsidRPr="002C2E65">
          <w:rPr>
            <w:i/>
            <w:vertAlign w:val="subscript"/>
          </w:rPr>
          <w:t>c</w:t>
        </w:r>
        <w:r w:rsidR="00C92643">
          <w:t xml:space="preserve"> is the </w:t>
        </w:r>
        <w:r w:rsidR="00E4594A">
          <w:t>center</w:t>
        </w:r>
        <w:r w:rsidR="00C92643">
          <w:t xml:space="preserve"> frequency</w:t>
        </w:r>
        <w:r w:rsidR="00E4594A">
          <w:t xml:space="preserve"> of the carrier</w:t>
        </w:r>
        <w:r w:rsidR="00C92643">
          <w:t xml:space="preserve"> and </w:t>
        </w:r>
        <w:r w:rsidR="00104B1A" w:rsidRPr="006A45E4">
          <w:rPr>
            <w:i/>
          </w:rPr>
          <w:t>f</w:t>
        </w:r>
        <w:r w:rsidR="00104B1A" w:rsidRPr="006A45E4">
          <w:rPr>
            <w:i/>
            <w:vertAlign w:val="subscript"/>
          </w:rPr>
          <w:t>DC</w:t>
        </w:r>
        <w:r w:rsidR="00104B1A">
          <w:t xml:space="preserve"> </w:t>
        </w:r>
        <w:r w:rsidR="00C92643">
          <w:t>is the DC subcarrier</w:t>
        </w:r>
        <w:r w:rsidR="0010693D">
          <w:t xml:space="preserve"> frequency</w:t>
        </w:r>
        <w:r w:rsidR="00E260BF">
          <w:t xml:space="preserve"> </w:t>
        </w:r>
        <w:r w:rsidR="00C92643">
          <w:rPr>
            <w:rFonts w:hint="eastAsia"/>
          </w:rPr>
          <w:t>(CID#1521)</w:t>
        </w:r>
        <w:r w:rsidR="00C92643">
          <w:t xml:space="preserve">. </w:t>
        </w:r>
        <w:r w:rsidR="00ED08D2" w:rsidRPr="009D4573">
          <w:rPr>
            <w:i/>
          </w:rPr>
          <w:t>f</w:t>
        </w:r>
        <w:r w:rsidR="00ED08D2" w:rsidRPr="009D4573">
          <w:rPr>
            <w:i/>
            <w:vertAlign w:val="subscript"/>
          </w:rPr>
          <w:t>DC</w:t>
        </w:r>
        <w:r w:rsidR="00ED08D2">
          <w:t xml:space="preserve"> and t</w:t>
        </w:r>
        <w:r w:rsidR="00C92643">
          <w:t>he DC relative shift</w:t>
        </w:r>
        <w:r w:rsidR="00ED08D2">
          <w:t xml:space="preserve"> </w:t>
        </w:r>
        <w:r w:rsidR="00C92643">
          <w:t xml:space="preserve">are </w:t>
        </w:r>
      </w:ins>
      <w:r w:rsidRPr="003A739C">
        <w:t>defined in</w:t>
      </w:r>
      <w:r>
        <w:t xml:space="preserve"> </w:t>
      </w:r>
      <w:r>
        <w:fldChar w:fldCharType="begin"/>
      </w:r>
      <w:r>
        <w:instrText xml:space="preserve"> REF _Ref481327718 \r \h </w:instrText>
      </w:r>
      <w:r>
        <w:fldChar w:fldCharType="separate"/>
      </w:r>
      <w:r>
        <w:t>Table 72</w:t>
      </w:r>
      <w:r>
        <w:fldChar w:fldCharType="end"/>
      </w:r>
      <w:r w:rsidRPr="003A739C">
        <w:t>.</w:t>
      </w:r>
    </w:p>
    <w:p w:rsidR="00DA5396" w:rsidRDefault="00DA5396" w:rsidP="00DA5396">
      <w:pPr>
        <w:pStyle w:val="IEEEStdsSingleNote"/>
      </w:pPr>
      <w:r>
        <w:t>NOTE—</w:t>
      </w:r>
      <w:ins w:id="10" w:author="作成者">
        <w:r w:rsidR="00F92E29">
          <w:t>By applying the DC relative shift, each of the subcarrier frequencies</w:t>
        </w:r>
        <w:r w:rsidR="004B3781">
          <w:t xml:space="preserve"> for any channel numbers</w:t>
        </w:r>
        <w:r w:rsidR="00F92E29">
          <w:t xml:space="preserve"> can be denoted as 64.8+∆</w:t>
        </w:r>
        <w:r w:rsidR="00F92E29" w:rsidRPr="00A8594E">
          <w:rPr>
            <w:i/>
            <w:vertAlign w:val="subscript"/>
          </w:rPr>
          <w:t>F</w:t>
        </w:r>
        <w:r w:rsidR="00F92E29">
          <w:t>×</w:t>
        </w:r>
        <w:r w:rsidR="00F92E29" w:rsidRPr="004B3781">
          <w:rPr>
            <w:i/>
          </w:rPr>
          <w:t>n</w:t>
        </w:r>
        <w:r w:rsidR="00F92E29" w:rsidRPr="004B3781">
          <w:t xml:space="preserve"> </w:t>
        </w:r>
        <w:r w:rsidR="00F92E29">
          <w:t xml:space="preserve">GHz, where </w:t>
        </w:r>
        <w:r w:rsidR="00F92E29" w:rsidRPr="004B3781">
          <w:rPr>
            <w:i/>
          </w:rPr>
          <w:t>n</w:t>
        </w:r>
        <w:r w:rsidR="00F92E29">
          <w:t xml:space="preserve"> is an integer. </w:t>
        </w:r>
        <w:r w:rsidR="004B3781">
          <w:t xml:space="preserve">This makes </w:t>
        </w:r>
        <w:r w:rsidR="00F92E29">
          <w:t>the space between DC subcarrier frequencies of any two channels an integer multiple of the</w:t>
        </w:r>
        <w:r w:rsidR="004B3781">
          <w:t xml:space="preserve"> OFDM subcarrier spacing, and the subcarrier frequencies for </w:t>
        </w:r>
        <w:r w:rsidR="002A22AE">
          <w:t>4.32 GHz or wider</w:t>
        </w:r>
        <w:r w:rsidR="004B3781">
          <w:t xml:space="preserve"> channels are aligned with the subcarriers in 2.16 GHz channels.</w:t>
        </w:r>
        <w:r w:rsidR="00E067B0">
          <w:t>(#2092)</w:t>
        </w:r>
        <w:r w:rsidR="00F92E29">
          <w:t xml:space="preserve"> </w:t>
        </w:r>
      </w:ins>
      <w:r>
        <w:t>I</w:t>
      </w:r>
      <w:r w:rsidRPr="003A739C">
        <w:t xml:space="preserve">n all cases, the relative shift between </w:t>
      </w:r>
      <w:ins w:id="11" w:author="作成者">
        <w:r w:rsidR="00E4594A">
          <w:t xml:space="preserve">the </w:t>
        </w:r>
      </w:ins>
      <w:r w:rsidRPr="003A739C">
        <w:t xml:space="preserve">DC </w:t>
      </w:r>
      <w:ins w:id="12" w:author="作成者">
        <w:r w:rsidR="00E4594A">
          <w:t xml:space="preserve">subcarrier frequency </w:t>
        </w:r>
      </w:ins>
      <w:r w:rsidRPr="003A739C">
        <w:t xml:space="preserve">and </w:t>
      </w:r>
      <w:ins w:id="13" w:author="作成者">
        <w:r w:rsidR="00E4594A">
          <w:t>the center</w:t>
        </w:r>
      </w:ins>
      <w:r w:rsidRPr="003A739C">
        <w:t xml:space="preserve"> frequency</w:t>
      </w:r>
      <w:ins w:id="14" w:author="作成者">
        <w:r w:rsidR="00E4594A">
          <w:t xml:space="preserve"> of the carrier</w:t>
        </w:r>
      </w:ins>
      <w:r w:rsidRPr="003A739C">
        <w:t xml:space="preserve"> does not exceed half of </w:t>
      </w:r>
      <w:r>
        <w:t xml:space="preserve">the </w:t>
      </w:r>
      <w:r w:rsidRPr="003A739C">
        <w:t>subcarrier spacing.</w:t>
      </w:r>
    </w:p>
    <w:p w:rsidR="00DA5396" w:rsidRDefault="00DA5396" w:rsidP="00DA5396">
      <w:pPr>
        <w:pStyle w:val="IEEEStdsParagraph"/>
        <w:rPr>
          <w:rFonts w:eastAsia="ＭＳ 明朝"/>
        </w:rPr>
      </w:pPr>
    </w:p>
    <w:p w:rsidR="00F64BE0" w:rsidRPr="00C10107" w:rsidRDefault="00F64BE0" w:rsidP="00F64BE0">
      <w:pPr>
        <w:rPr>
          <w:rStyle w:val="af0"/>
          <w:rFonts w:eastAsia="ＭＳ 明朝"/>
          <w:b w:val="0"/>
          <w:i/>
          <w:lang w:eastAsia="ja-JP"/>
        </w:rPr>
      </w:pP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Editor: </w:t>
      </w:r>
      <w:r>
        <w:rPr>
          <w:rStyle w:val="af0"/>
          <w:rFonts w:eastAsia="ＭＳ 明朝"/>
          <w:b w:val="0"/>
          <w:i/>
          <w:lang w:eastAsia="ja-JP"/>
        </w:rPr>
        <w:t>remove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 the </w:t>
      </w:r>
      <w:r>
        <w:rPr>
          <w:rStyle w:val="af0"/>
          <w:rFonts w:eastAsia="ＭＳ 明朝"/>
          <w:b w:val="0"/>
          <w:i/>
          <w:lang w:eastAsia="ja-JP"/>
        </w:rPr>
        <w:t>rows</w:t>
      </w:r>
      <w:r>
        <w:rPr>
          <w:rStyle w:val="af0"/>
          <w:rFonts w:eastAsia="ＭＳ 明朝" w:hint="eastAsia"/>
          <w:b w:val="0"/>
          <w:i/>
          <w:lang w:eastAsia="ja-JP"/>
        </w:rPr>
        <w:t xml:space="preserve"> </w:t>
      </w:r>
      <w:r>
        <w:rPr>
          <w:rStyle w:val="af0"/>
          <w:rFonts w:eastAsia="ＭＳ 明朝"/>
          <w:b w:val="0"/>
          <w:i/>
          <w:lang w:eastAsia="ja-JP"/>
        </w:rPr>
        <w:t xml:space="preserve">relate to </w:t>
      </w:r>
      <w:r w:rsidR="00E13EC7">
        <w:rPr>
          <w:rStyle w:val="af0"/>
          <w:rFonts w:eastAsia="ＭＳ 明朝"/>
          <w:b w:val="0"/>
          <w:i/>
          <w:lang w:eastAsia="ja-JP"/>
        </w:rPr>
        <w:t>c</w:t>
      </w:r>
      <w:r>
        <w:rPr>
          <w:rStyle w:val="af0"/>
          <w:rFonts w:eastAsia="ＭＳ 明朝"/>
          <w:b w:val="0"/>
          <w:i/>
          <w:lang w:eastAsia="ja-JP"/>
        </w:rPr>
        <w:t xml:space="preserve">hannel numbers 7, 8, 14, 15, 21, 22, 28, 29 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in </w:t>
      </w:r>
      <w:r>
        <w:rPr>
          <w:rStyle w:val="af0"/>
          <w:rFonts w:eastAsia="ＭＳ 明朝"/>
          <w:b w:val="0"/>
          <w:i/>
          <w:lang w:eastAsia="ja-JP"/>
        </w:rPr>
        <w:t>Table 7</w:t>
      </w:r>
      <w:r w:rsidR="007A054F">
        <w:rPr>
          <w:rStyle w:val="af0"/>
          <w:rFonts w:eastAsia="ＭＳ 明朝"/>
          <w:b w:val="0"/>
          <w:i/>
          <w:lang w:eastAsia="ja-JP"/>
        </w:rPr>
        <w:t>2</w:t>
      </w:r>
      <w:r>
        <w:rPr>
          <w:rStyle w:val="af0"/>
          <w:rFonts w:eastAsia="ＭＳ 明朝"/>
          <w:b w:val="0"/>
          <w:i/>
          <w:lang w:eastAsia="ja-JP"/>
        </w:rPr>
        <w:t xml:space="preserve"> as follows</w:t>
      </w:r>
      <w:r>
        <w:rPr>
          <w:rStyle w:val="af0"/>
          <w:rFonts w:eastAsia="ＭＳ 明朝" w:hint="eastAsia"/>
          <w:b w:val="0"/>
          <w:i/>
          <w:lang w:eastAsia="ja-JP"/>
        </w:rPr>
        <w:t>: (P3</w:t>
      </w:r>
      <w:r w:rsidR="00E13EC7">
        <w:rPr>
          <w:rStyle w:val="af0"/>
          <w:rFonts w:eastAsia="ＭＳ 明朝"/>
          <w:b w:val="0"/>
          <w:i/>
          <w:lang w:eastAsia="ja-JP"/>
        </w:rPr>
        <w:t>30</w:t>
      </w:r>
      <w:r>
        <w:rPr>
          <w:rStyle w:val="af0"/>
          <w:rFonts w:eastAsia="ＭＳ 明朝" w:hint="eastAsia"/>
          <w:b w:val="0"/>
          <w:i/>
          <w:lang w:eastAsia="ja-JP"/>
        </w:rPr>
        <w:t>L1) (CID #</w:t>
      </w:r>
      <w:r w:rsidR="00E13EC7">
        <w:rPr>
          <w:rStyle w:val="af0"/>
          <w:rFonts w:eastAsia="ＭＳ 明朝"/>
          <w:b w:val="0"/>
          <w:i/>
          <w:lang w:eastAsia="ja-JP"/>
        </w:rPr>
        <w:t>2138</w:t>
      </w:r>
      <w:r>
        <w:rPr>
          <w:rStyle w:val="af0"/>
          <w:rFonts w:eastAsia="ＭＳ 明朝" w:hint="eastAsia"/>
          <w:b w:val="0"/>
          <w:i/>
          <w:lang w:eastAsia="ja-JP"/>
        </w:rPr>
        <w:t>)</w:t>
      </w:r>
    </w:p>
    <w:p w:rsidR="00F64BE0" w:rsidRPr="00F64BE0" w:rsidRDefault="00F64BE0" w:rsidP="00DA5396">
      <w:pPr>
        <w:pStyle w:val="IEEEStdsParagraph"/>
      </w:pPr>
    </w:p>
    <w:p w:rsidR="00DA5396" w:rsidRDefault="00DA5396" w:rsidP="00C2621A">
      <w:pPr>
        <w:pStyle w:val="IEEEStdsRegularTableCaption"/>
      </w:pPr>
      <w:bookmarkStart w:id="15" w:name="_Ref481327718"/>
      <w:bookmarkStart w:id="16" w:name="_Toc499223515"/>
      <w:r>
        <w:lastRenderedPageBreak/>
        <w:t>—DC relative shift to carrier frequency</w:t>
      </w:r>
      <w:bookmarkEnd w:id="15"/>
      <w:bookmarkEnd w:id="1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2"/>
        <w:gridCol w:w="999"/>
        <w:gridCol w:w="2126"/>
        <w:gridCol w:w="2078"/>
        <w:gridCol w:w="1671"/>
      </w:tblGrid>
      <w:tr w:rsidR="004D0C25" w:rsidRPr="000B2780" w:rsidTr="003D0139">
        <w:tc>
          <w:tcPr>
            <w:tcW w:w="0" w:type="auto"/>
            <w:shd w:val="clear" w:color="auto" w:fill="auto"/>
          </w:tcPr>
          <w:p w:rsidR="00DA5396" w:rsidRPr="000B2780" w:rsidRDefault="00DA5396" w:rsidP="00DA5396">
            <w:pPr>
              <w:pStyle w:val="IEEEStdsTableColumnHead"/>
            </w:pPr>
            <w:r>
              <w:t>Number of contiguous 2.16 GHz channels (N</w:t>
            </w:r>
            <w:r w:rsidRPr="002F7C3C">
              <w:rPr>
                <w:vertAlign w:val="subscript"/>
              </w:rPr>
              <w:t>CB</w:t>
            </w:r>
            <w:r>
              <w:t>)</w:t>
            </w:r>
          </w:p>
        </w:tc>
        <w:tc>
          <w:tcPr>
            <w:tcW w:w="999" w:type="dxa"/>
            <w:shd w:val="clear" w:color="auto" w:fill="auto"/>
          </w:tcPr>
          <w:p w:rsidR="00DA5396" w:rsidRPr="000B2780" w:rsidRDefault="00DA5396" w:rsidP="00DA5396">
            <w:pPr>
              <w:pStyle w:val="IEEEStdsTableColumnHead"/>
            </w:pPr>
            <w:r w:rsidRPr="000B2780">
              <w:t xml:space="preserve">Channel </w:t>
            </w:r>
            <w:r>
              <w:t>number</w:t>
            </w:r>
          </w:p>
        </w:tc>
        <w:tc>
          <w:tcPr>
            <w:tcW w:w="2126" w:type="dxa"/>
            <w:shd w:val="clear" w:color="auto" w:fill="auto"/>
          </w:tcPr>
          <w:p w:rsidR="00DA5396" w:rsidRPr="000B2780" w:rsidRDefault="00E4594A" w:rsidP="00BC0EC5">
            <w:pPr>
              <w:pStyle w:val="IEEEStdsTableColumnHead"/>
            </w:pPr>
            <w:ins w:id="17" w:author="作成者">
              <w:r>
                <w:t>Center</w:t>
              </w:r>
              <w:r w:rsidR="00DA5396" w:rsidRPr="00A15680">
                <w:rPr>
                  <w:rFonts w:hint="eastAsia"/>
                </w:rPr>
                <w:t xml:space="preserve"> frequency</w:t>
              </w:r>
              <w:r>
                <w:t xml:space="preserve"> of the carrier, </w:t>
              </w:r>
            </w:ins>
            <w:del w:id="18" w:author="作成者">
              <w:r w:rsidR="00DA5396" w:rsidRPr="00A8594E" w:rsidDel="00FF0AD9">
                <w:rPr>
                  <w:i/>
                </w:rPr>
                <w:delText>F</w:delText>
              </w:r>
              <w:r w:rsidR="00DA5396" w:rsidRPr="00A8594E" w:rsidDel="00FF0AD9">
                <w:rPr>
                  <w:i/>
                  <w:vertAlign w:val="subscript"/>
                </w:rPr>
                <w:delText>c</w:delText>
              </w:r>
            </w:del>
            <w:ins w:id="19" w:author="作成者">
              <w:r w:rsidR="00BA737D" w:rsidRPr="006A45E4">
                <w:rPr>
                  <w:i/>
                </w:rPr>
                <w:t>f</w:t>
              </w:r>
              <w:r w:rsidR="00BA737D" w:rsidRPr="006A45E4">
                <w:rPr>
                  <w:i/>
                  <w:vertAlign w:val="subscript"/>
                </w:rPr>
                <w:t>c</w:t>
              </w:r>
            </w:ins>
            <w:r w:rsidR="00DA5396" w:rsidRPr="000B2780">
              <w:t>, GHz</w:t>
            </w:r>
          </w:p>
        </w:tc>
        <w:tc>
          <w:tcPr>
            <w:tcW w:w="2078" w:type="dxa"/>
            <w:shd w:val="clear" w:color="auto" w:fill="auto"/>
          </w:tcPr>
          <w:p w:rsidR="00DA5396" w:rsidRPr="000B2780" w:rsidRDefault="00A02CB7" w:rsidP="00BA737D">
            <w:pPr>
              <w:pStyle w:val="IEEEStdsTableColumnHead"/>
            </w:pPr>
            <w:ins w:id="20" w:author="作成者">
              <w:r>
                <w:t>DC subcarrier frequency</w:t>
              </w:r>
              <w:r w:rsidR="00E4594A">
                <w:t>,</w:t>
              </w:r>
              <w:r w:rsidR="004D0C25">
                <w:rPr>
                  <w:rFonts w:hint="eastAsia"/>
                </w:rPr>
                <w:t xml:space="preserve"> </w:t>
              </w:r>
            </w:ins>
            <w:del w:id="21" w:author="作成者">
              <w:r w:rsidR="00DA5396" w:rsidRPr="00A8594E" w:rsidDel="00FF0AD9">
                <w:rPr>
                  <w:i/>
                </w:rPr>
                <w:delText>F</w:delText>
              </w:r>
              <w:r w:rsidR="00DA5396" w:rsidRPr="00A8594E" w:rsidDel="00FF0AD9">
                <w:rPr>
                  <w:i/>
                  <w:vertAlign w:val="subscript"/>
                </w:rPr>
                <w:delText>DC</w:delText>
              </w:r>
            </w:del>
            <w:ins w:id="22" w:author="作成者">
              <w:r w:rsidR="00BA737D" w:rsidRPr="00BA737D">
                <w:rPr>
                  <w:i/>
                </w:rPr>
                <w:t>f</w:t>
              </w:r>
              <w:r w:rsidR="00BA737D" w:rsidRPr="00BA737D">
                <w:rPr>
                  <w:i/>
                  <w:vertAlign w:val="subscript"/>
                </w:rPr>
                <w:t>DC</w:t>
              </w:r>
            </w:ins>
            <w:r w:rsidR="00DA5396" w:rsidRPr="000B2780">
              <w:t>, GHz</w:t>
            </w:r>
          </w:p>
        </w:tc>
        <w:tc>
          <w:tcPr>
            <w:tcW w:w="1671" w:type="dxa"/>
            <w:shd w:val="clear" w:color="auto" w:fill="auto"/>
          </w:tcPr>
          <w:p w:rsidR="00DA5396" w:rsidRPr="000B2780" w:rsidRDefault="004D0C25" w:rsidP="00E4594A">
            <w:pPr>
              <w:pStyle w:val="IEEEStdsTableColumnHead"/>
            </w:pPr>
            <w:ins w:id="23" w:author="作成者">
              <w:r>
                <w:rPr>
                  <w:rFonts w:hint="eastAsia"/>
                </w:rPr>
                <w:t>DC relative shift</w:t>
              </w:r>
              <w:r w:rsidR="00E4594A">
                <w:t>,</w:t>
              </w:r>
              <w:del w:id="24" w:author="作成者">
                <w:r w:rsidDel="00E4594A">
                  <w:rPr>
                    <w:rFonts w:hint="eastAsia"/>
                  </w:rPr>
                  <w:delText xml:space="preserve"> </w:delText>
                </w:r>
              </w:del>
              <w:r w:rsidR="00BA737D">
                <w:br/>
              </w:r>
            </w:ins>
            <w:r w:rsidR="00DA5396" w:rsidRPr="000B2780">
              <w:t>(</w:t>
            </w:r>
            <w:del w:id="25" w:author="作成者">
              <w:r w:rsidR="00DA5396" w:rsidRPr="00A8594E" w:rsidDel="00FF0AD9">
                <w:rPr>
                  <w:i/>
                </w:rPr>
                <w:delText>F</w:delText>
              </w:r>
              <w:r w:rsidR="00DA5396" w:rsidRPr="00A8594E" w:rsidDel="00FF0AD9">
                <w:rPr>
                  <w:i/>
                  <w:vertAlign w:val="subscript"/>
                </w:rPr>
                <w:delText>DC</w:delText>
              </w:r>
              <w:r w:rsidR="00DA5396" w:rsidRPr="000B2780" w:rsidDel="00FF0AD9">
                <w:delText xml:space="preserve"> - </w:delText>
              </w:r>
              <w:r w:rsidR="00DA5396" w:rsidRPr="00A8594E" w:rsidDel="00FF0AD9">
                <w:rPr>
                  <w:i/>
                </w:rPr>
                <w:delText>F</w:delText>
              </w:r>
              <w:r w:rsidR="00DA5396" w:rsidRPr="00A8594E" w:rsidDel="00FF0AD9">
                <w:rPr>
                  <w:i/>
                  <w:vertAlign w:val="subscript"/>
                </w:rPr>
                <w:delText>c</w:delText>
              </w:r>
            </w:del>
            <w:ins w:id="26" w:author="作成者">
              <w:r w:rsidR="00BA737D" w:rsidRPr="00BA737D">
                <w:rPr>
                  <w:i/>
                </w:rPr>
                <w:t>f</w:t>
              </w:r>
              <w:r w:rsidR="00BA737D" w:rsidRPr="00BA737D">
                <w:rPr>
                  <w:i/>
                  <w:vertAlign w:val="subscript"/>
                </w:rPr>
                <w:t>DC</w:t>
              </w:r>
              <w:r w:rsidR="00BA737D" w:rsidRPr="00BA737D">
                <w:rPr>
                  <w:i/>
                </w:rPr>
                <w:t xml:space="preserve"> – f</w:t>
              </w:r>
              <w:r w:rsidR="00BA737D" w:rsidRPr="00BA737D">
                <w:rPr>
                  <w:i/>
                  <w:vertAlign w:val="subscript"/>
                </w:rPr>
                <w:t>c</w:t>
              </w:r>
            </w:ins>
            <w:r w:rsidR="00DA5396" w:rsidRPr="000B2780">
              <w:t xml:space="preserve">), </w:t>
            </w:r>
            <w:r w:rsidR="00DA5396">
              <w:t>M</w:t>
            </w:r>
            <w:r w:rsidR="00DA5396" w:rsidRPr="000B2780">
              <w:t>Hz</w:t>
            </w:r>
          </w:p>
        </w:tc>
      </w:tr>
      <w:tr w:rsidR="004D0C25" w:rsidTr="003D0139">
        <w:tc>
          <w:tcPr>
            <w:tcW w:w="0" w:type="auto"/>
            <w:vMerge w:val="restart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1</w:t>
            </w:r>
          </w:p>
        </w:tc>
        <w:tc>
          <w:tcPr>
            <w:tcW w:w="999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1</w:t>
            </w:r>
          </w:p>
        </w:tc>
        <w:tc>
          <w:tcPr>
            <w:tcW w:w="2126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 w:rsidRPr="00155B39">
              <w:t>58.32</w:t>
            </w:r>
          </w:p>
        </w:tc>
        <w:tc>
          <w:tcPr>
            <w:tcW w:w="2078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64.8 - ∆</w:t>
            </w:r>
            <w:r w:rsidRPr="00A8594E">
              <w:rPr>
                <w:i/>
                <w:vertAlign w:val="subscript"/>
              </w:rPr>
              <w:t>F</w:t>
            </w:r>
            <w:r>
              <w:t>×3×419</w:t>
            </w:r>
          </w:p>
        </w:tc>
        <w:tc>
          <w:tcPr>
            <w:tcW w:w="1671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 w:rsidRPr="00037521">
              <w:t>-1.4063</w:t>
            </w:r>
          </w:p>
        </w:tc>
      </w:tr>
      <w:tr w:rsidR="004D0C25" w:rsidTr="003D0139">
        <w:tc>
          <w:tcPr>
            <w:tcW w:w="0" w:type="auto"/>
            <w:vMerge/>
            <w:shd w:val="clear" w:color="auto" w:fill="auto"/>
          </w:tcPr>
          <w:p w:rsidR="00DA5396" w:rsidRDefault="00DA5396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2</w:t>
            </w:r>
          </w:p>
        </w:tc>
        <w:tc>
          <w:tcPr>
            <w:tcW w:w="2126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 w:rsidRPr="00155B39">
              <w:t>60.48</w:t>
            </w:r>
          </w:p>
        </w:tc>
        <w:tc>
          <w:tcPr>
            <w:tcW w:w="2078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64.8 - ∆</w:t>
            </w:r>
            <w:r w:rsidRPr="00A8594E">
              <w:rPr>
                <w:i/>
                <w:vertAlign w:val="subscript"/>
              </w:rPr>
              <w:t>F</w:t>
            </w:r>
            <w:r>
              <w:t>×2×419</w:t>
            </w:r>
          </w:p>
        </w:tc>
        <w:tc>
          <w:tcPr>
            <w:tcW w:w="1671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 w:rsidRPr="00117A22">
              <w:t>-0.9375</w:t>
            </w:r>
          </w:p>
        </w:tc>
      </w:tr>
      <w:tr w:rsidR="004D0C25" w:rsidTr="003D0139">
        <w:tc>
          <w:tcPr>
            <w:tcW w:w="0" w:type="auto"/>
            <w:vMerge/>
            <w:shd w:val="clear" w:color="auto" w:fill="auto"/>
          </w:tcPr>
          <w:p w:rsidR="00DA5396" w:rsidRDefault="00DA5396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3</w:t>
            </w:r>
          </w:p>
        </w:tc>
        <w:tc>
          <w:tcPr>
            <w:tcW w:w="2126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 w:rsidRPr="00155B39">
              <w:t>62.64</w:t>
            </w:r>
          </w:p>
        </w:tc>
        <w:tc>
          <w:tcPr>
            <w:tcW w:w="2078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64.8 - ∆</w:t>
            </w:r>
            <w:r w:rsidRPr="00A8594E">
              <w:rPr>
                <w:i/>
                <w:vertAlign w:val="subscript"/>
              </w:rPr>
              <w:t>F</w:t>
            </w:r>
            <w:r>
              <w:t>×419</w:t>
            </w:r>
          </w:p>
        </w:tc>
        <w:tc>
          <w:tcPr>
            <w:tcW w:w="1671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 w:rsidRPr="00117A22">
              <w:t>-0.4688</w:t>
            </w:r>
          </w:p>
        </w:tc>
      </w:tr>
      <w:tr w:rsidR="004D0C25" w:rsidTr="003D0139">
        <w:tc>
          <w:tcPr>
            <w:tcW w:w="0" w:type="auto"/>
            <w:vMerge/>
            <w:shd w:val="clear" w:color="auto" w:fill="auto"/>
          </w:tcPr>
          <w:p w:rsidR="00DA5396" w:rsidRDefault="00DA5396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4</w:t>
            </w:r>
          </w:p>
        </w:tc>
        <w:tc>
          <w:tcPr>
            <w:tcW w:w="2126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 w:rsidRPr="00155B39">
              <w:t>64.8</w:t>
            </w:r>
          </w:p>
        </w:tc>
        <w:tc>
          <w:tcPr>
            <w:tcW w:w="2078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 w:rsidRPr="00155B39">
              <w:t>64.8</w:t>
            </w:r>
          </w:p>
        </w:tc>
        <w:tc>
          <w:tcPr>
            <w:tcW w:w="1671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0</w:t>
            </w:r>
          </w:p>
        </w:tc>
      </w:tr>
      <w:tr w:rsidR="004D0C25" w:rsidTr="003D0139">
        <w:tc>
          <w:tcPr>
            <w:tcW w:w="0" w:type="auto"/>
            <w:vMerge/>
            <w:shd w:val="clear" w:color="auto" w:fill="auto"/>
          </w:tcPr>
          <w:p w:rsidR="00DA5396" w:rsidRDefault="00DA5396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5</w:t>
            </w:r>
          </w:p>
        </w:tc>
        <w:tc>
          <w:tcPr>
            <w:tcW w:w="2126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 w:rsidRPr="00155B39">
              <w:t>66.96</w:t>
            </w:r>
          </w:p>
        </w:tc>
        <w:tc>
          <w:tcPr>
            <w:tcW w:w="2078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64.8 + ∆</w:t>
            </w:r>
            <w:r w:rsidRPr="00A8594E">
              <w:rPr>
                <w:i/>
                <w:vertAlign w:val="subscript"/>
              </w:rPr>
              <w:t>F</w:t>
            </w:r>
            <w:r>
              <w:t>×419</w:t>
            </w:r>
          </w:p>
        </w:tc>
        <w:tc>
          <w:tcPr>
            <w:tcW w:w="1671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 w:rsidRPr="00FC426D">
              <w:t>0.4688</w:t>
            </w:r>
          </w:p>
        </w:tc>
      </w:tr>
      <w:tr w:rsidR="004D0C25" w:rsidTr="003D0139">
        <w:tc>
          <w:tcPr>
            <w:tcW w:w="0" w:type="auto"/>
            <w:vMerge/>
            <w:shd w:val="clear" w:color="auto" w:fill="auto"/>
          </w:tcPr>
          <w:p w:rsidR="00DA5396" w:rsidRDefault="00DA5396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6</w:t>
            </w:r>
          </w:p>
        </w:tc>
        <w:tc>
          <w:tcPr>
            <w:tcW w:w="2126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 w:rsidRPr="00155B39">
              <w:t>69.12</w:t>
            </w:r>
          </w:p>
        </w:tc>
        <w:tc>
          <w:tcPr>
            <w:tcW w:w="2078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64.8 + ∆</w:t>
            </w:r>
            <w:r w:rsidRPr="00A8594E">
              <w:rPr>
                <w:i/>
                <w:vertAlign w:val="subscript"/>
              </w:rPr>
              <w:t>F</w:t>
            </w:r>
            <w:r>
              <w:t>×2×419</w:t>
            </w:r>
          </w:p>
        </w:tc>
        <w:tc>
          <w:tcPr>
            <w:tcW w:w="1671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 w:rsidRPr="009D5E34">
              <w:t>0.9375</w:t>
            </w:r>
          </w:p>
        </w:tc>
      </w:tr>
      <w:tr w:rsidR="004D0C25" w:rsidTr="003D0139">
        <w:tc>
          <w:tcPr>
            <w:tcW w:w="0" w:type="auto"/>
            <w:vMerge w:val="restart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2</w:t>
            </w:r>
          </w:p>
        </w:tc>
        <w:tc>
          <w:tcPr>
            <w:tcW w:w="999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9</w:t>
            </w:r>
          </w:p>
        </w:tc>
        <w:tc>
          <w:tcPr>
            <w:tcW w:w="2126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59.4</w:t>
            </w:r>
          </w:p>
        </w:tc>
        <w:tc>
          <w:tcPr>
            <w:tcW w:w="2078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64.8 – ∆</w:t>
            </w:r>
            <w:r w:rsidRPr="00A8594E">
              <w:rPr>
                <w:i/>
                <w:vertAlign w:val="subscript"/>
              </w:rPr>
              <w:t>F</w:t>
            </w:r>
            <w:r>
              <w:t>×1047</w:t>
            </w:r>
          </w:p>
        </w:tc>
        <w:tc>
          <w:tcPr>
            <w:tcW w:w="1671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 w:rsidRPr="003C249A">
              <w:t>1.406</w:t>
            </w:r>
            <w:r>
              <w:t>2</w:t>
            </w:r>
          </w:p>
        </w:tc>
      </w:tr>
      <w:tr w:rsidR="004D0C25" w:rsidTr="003D0139">
        <w:tc>
          <w:tcPr>
            <w:tcW w:w="0" w:type="auto"/>
            <w:vMerge/>
            <w:shd w:val="clear" w:color="auto" w:fill="auto"/>
          </w:tcPr>
          <w:p w:rsidR="00DA5396" w:rsidRDefault="00DA5396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10</w:t>
            </w:r>
          </w:p>
        </w:tc>
        <w:tc>
          <w:tcPr>
            <w:tcW w:w="2126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61.56</w:t>
            </w:r>
          </w:p>
        </w:tc>
        <w:tc>
          <w:tcPr>
            <w:tcW w:w="2078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64.8 – ∆</w:t>
            </w:r>
            <w:r w:rsidRPr="00A8594E">
              <w:rPr>
                <w:i/>
                <w:vertAlign w:val="subscript"/>
              </w:rPr>
              <w:t>F</w:t>
            </w:r>
            <w:r>
              <w:t>×628</w:t>
            </w:r>
          </w:p>
        </w:tc>
        <w:tc>
          <w:tcPr>
            <w:tcW w:w="1671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 w:rsidRPr="003C249A">
              <w:t>1.8750</w:t>
            </w:r>
          </w:p>
        </w:tc>
      </w:tr>
      <w:tr w:rsidR="004D0C25" w:rsidTr="003D0139">
        <w:tc>
          <w:tcPr>
            <w:tcW w:w="0" w:type="auto"/>
            <w:vMerge/>
            <w:shd w:val="clear" w:color="auto" w:fill="auto"/>
          </w:tcPr>
          <w:p w:rsidR="00DA5396" w:rsidRDefault="00DA5396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11</w:t>
            </w:r>
          </w:p>
        </w:tc>
        <w:tc>
          <w:tcPr>
            <w:tcW w:w="2126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63.72</w:t>
            </w:r>
          </w:p>
        </w:tc>
        <w:tc>
          <w:tcPr>
            <w:tcW w:w="2078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64.8 – ∆</w:t>
            </w:r>
            <w:r w:rsidRPr="00A8594E">
              <w:rPr>
                <w:i/>
                <w:vertAlign w:val="subscript"/>
              </w:rPr>
              <w:t>F</w:t>
            </w:r>
            <w:r>
              <w:t>×209</w:t>
            </w:r>
          </w:p>
        </w:tc>
        <w:tc>
          <w:tcPr>
            <w:tcW w:w="1671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 w:rsidRPr="003C249A">
              <w:t>2.3438</w:t>
            </w:r>
          </w:p>
        </w:tc>
      </w:tr>
      <w:tr w:rsidR="004D0C25" w:rsidTr="003D0139">
        <w:tc>
          <w:tcPr>
            <w:tcW w:w="0" w:type="auto"/>
            <w:vMerge/>
            <w:shd w:val="clear" w:color="auto" w:fill="auto"/>
          </w:tcPr>
          <w:p w:rsidR="00DA5396" w:rsidRDefault="00DA5396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12</w:t>
            </w:r>
          </w:p>
        </w:tc>
        <w:tc>
          <w:tcPr>
            <w:tcW w:w="2126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65.88</w:t>
            </w:r>
          </w:p>
        </w:tc>
        <w:tc>
          <w:tcPr>
            <w:tcW w:w="2078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 w:rsidRPr="00155B39">
              <w:t>64.8</w:t>
            </w:r>
            <w:r>
              <w:t xml:space="preserve"> + ∆</w:t>
            </w:r>
            <w:r w:rsidRPr="00A8594E">
              <w:rPr>
                <w:i/>
                <w:vertAlign w:val="subscript"/>
              </w:rPr>
              <w:t>F</w:t>
            </w:r>
            <w:r>
              <w:t>×209</w:t>
            </w:r>
          </w:p>
        </w:tc>
        <w:tc>
          <w:tcPr>
            <w:tcW w:w="1671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-</w:t>
            </w:r>
            <w:r w:rsidRPr="00DC0ECD">
              <w:t>2.3437</w:t>
            </w:r>
          </w:p>
        </w:tc>
      </w:tr>
      <w:tr w:rsidR="004D0C25" w:rsidTr="003D0139">
        <w:tc>
          <w:tcPr>
            <w:tcW w:w="0" w:type="auto"/>
            <w:vMerge/>
            <w:shd w:val="clear" w:color="auto" w:fill="auto"/>
          </w:tcPr>
          <w:p w:rsidR="00DA5396" w:rsidRDefault="00DA5396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13</w:t>
            </w:r>
          </w:p>
        </w:tc>
        <w:tc>
          <w:tcPr>
            <w:tcW w:w="2126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68.04</w:t>
            </w:r>
          </w:p>
        </w:tc>
        <w:tc>
          <w:tcPr>
            <w:tcW w:w="2078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64.8 + ∆</w:t>
            </w:r>
            <w:r w:rsidRPr="00A8594E">
              <w:rPr>
                <w:i/>
                <w:vertAlign w:val="subscript"/>
              </w:rPr>
              <w:t>F</w:t>
            </w:r>
            <w:r>
              <w:t>×628</w:t>
            </w:r>
          </w:p>
        </w:tc>
        <w:tc>
          <w:tcPr>
            <w:tcW w:w="1671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-</w:t>
            </w:r>
            <w:r w:rsidRPr="0044479B">
              <w:t>1.8750</w:t>
            </w:r>
          </w:p>
        </w:tc>
      </w:tr>
      <w:tr w:rsidR="004D0C25" w:rsidTr="003D0139">
        <w:tc>
          <w:tcPr>
            <w:tcW w:w="0" w:type="auto"/>
            <w:vMerge w:val="restart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3</w:t>
            </w:r>
          </w:p>
        </w:tc>
        <w:tc>
          <w:tcPr>
            <w:tcW w:w="999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17</w:t>
            </w:r>
          </w:p>
        </w:tc>
        <w:tc>
          <w:tcPr>
            <w:tcW w:w="2126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60.48</w:t>
            </w:r>
          </w:p>
        </w:tc>
        <w:tc>
          <w:tcPr>
            <w:tcW w:w="2078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64.8 – ∆</w:t>
            </w:r>
            <w:r w:rsidRPr="00A8594E">
              <w:rPr>
                <w:i/>
                <w:vertAlign w:val="subscript"/>
              </w:rPr>
              <w:t>F</w:t>
            </w:r>
            <w:r>
              <w:t>×2×419</w:t>
            </w:r>
          </w:p>
        </w:tc>
        <w:tc>
          <w:tcPr>
            <w:tcW w:w="1671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 w:rsidRPr="00495EC8">
              <w:t>-0.9375</w:t>
            </w:r>
          </w:p>
        </w:tc>
      </w:tr>
      <w:tr w:rsidR="004D0C25" w:rsidTr="003D0139">
        <w:tc>
          <w:tcPr>
            <w:tcW w:w="0" w:type="auto"/>
            <w:vMerge/>
            <w:shd w:val="clear" w:color="auto" w:fill="auto"/>
          </w:tcPr>
          <w:p w:rsidR="00DA5396" w:rsidRDefault="00DA5396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18</w:t>
            </w:r>
          </w:p>
        </w:tc>
        <w:tc>
          <w:tcPr>
            <w:tcW w:w="2126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62.64</w:t>
            </w:r>
          </w:p>
        </w:tc>
        <w:tc>
          <w:tcPr>
            <w:tcW w:w="2078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64.8 – ∆</w:t>
            </w:r>
            <w:r w:rsidRPr="00A8594E">
              <w:rPr>
                <w:i/>
                <w:vertAlign w:val="subscript"/>
              </w:rPr>
              <w:t>F</w:t>
            </w:r>
            <w:r>
              <w:t>×419</w:t>
            </w:r>
          </w:p>
        </w:tc>
        <w:tc>
          <w:tcPr>
            <w:tcW w:w="1671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 w:rsidRPr="001D5E1E">
              <w:t>-0.4688</w:t>
            </w:r>
          </w:p>
        </w:tc>
      </w:tr>
      <w:tr w:rsidR="004D0C25" w:rsidTr="003D0139">
        <w:tc>
          <w:tcPr>
            <w:tcW w:w="0" w:type="auto"/>
            <w:vMerge/>
            <w:shd w:val="clear" w:color="auto" w:fill="auto"/>
          </w:tcPr>
          <w:p w:rsidR="00DA5396" w:rsidRDefault="00DA5396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19</w:t>
            </w:r>
          </w:p>
        </w:tc>
        <w:tc>
          <w:tcPr>
            <w:tcW w:w="2126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64.8</w:t>
            </w:r>
          </w:p>
        </w:tc>
        <w:tc>
          <w:tcPr>
            <w:tcW w:w="2078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64.8</w:t>
            </w:r>
          </w:p>
        </w:tc>
        <w:tc>
          <w:tcPr>
            <w:tcW w:w="1671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0</w:t>
            </w:r>
          </w:p>
        </w:tc>
      </w:tr>
      <w:tr w:rsidR="004D0C25" w:rsidTr="003D0139">
        <w:tc>
          <w:tcPr>
            <w:tcW w:w="0" w:type="auto"/>
            <w:vMerge/>
            <w:shd w:val="clear" w:color="auto" w:fill="auto"/>
          </w:tcPr>
          <w:p w:rsidR="00DA5396" w:rsidRDefault="00DA5396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20</w:t>
            </w:r>
          </w:p>
        </w:tc>
        <w:tc>
          <w:tcPr>
            <w:tcW w:w="2126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66.96</w:t>
            </w:r>
          </w:p>
        </w:tc>
        <w:tc>
          <w:tcPr>
            <w:tcW w:w="2078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64.8 + ∆</w:t>
            </w:r>
            <w:r w:rsidRPr="00A8594E">
              <w:rPr>
                <w:i/>
                <w:vertAlign w:val="subscript"/>
              </w:rPr>
              <w:t>F</w:t>
            </w:r>
            <w:r>
              <w:t>×419</w:t>
            </w:r>
          </w:p>
        </w:tc>
        <w:tc>
          <w:tcPr>
            <w:tcW w:w="1671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 w:rsidRPr="001D5E1E">
              <w:t>0.4688</w:t>
            </w:r>
          </w:p>
        </w:tc>
      </w:tr>
      <w:tr w:rsidR="004D0C25" w:rsidTr="003D0139">
        <w:tc>
          <w:tcPr>
            <w:tcW w:w="0" w:type="auto"/>
            <w:vMerge w:val="restart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4</w:t>
            </w:r>
          </w:p>
        </w:tc>
        <w:tc>
          <w:tcPr>
            <w:tcW w:w="999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25</w:t>
            </w:r>
          </w:p>
        </w:tc>
        <w:tc>
          <w:tcPr>
            <w:tcW w:w="2126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61.56</w:t>
            </w:r>
          </w:p>
        </w:tc>
        <w:tc>
          <w:tcPr>
            <w:tcW w:w="2078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64.8 – ∆</w:t>
            </w:r>
            <w:r w:rsidRPr="00A8594E">
              <w:rPr>
                <w:i/>
                <w:vertAlign w:val="subscript"/>
              </w:rPr>
              <w:t>F</w:t>
            </w:r>
            <w:r>
              <w:t>×628</w:t>
            </w:r>
          </w:p>
        </w:tc>
        <w:tc>
          <w:tcPr>
            <w:tcW w:w="1671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 w:rsidRPr="00F80D78">
              <w:t>1.8750</w:t>
            </w:r>
          </w:p>
        </w:tc>
      </w:tr>
      <w:tr w:rsidR="004D0C25" w:rsidTr="003D0139">
        <w:tc>
          <w:tcPr>
            <w:tcW w:w="0" w:type="auto"/>
            <w:vMerge/>
            <w:shd w:val="clear" w:color="auto" w:fill="auto"/>
          </w:tcPr>
          <w:p w:rsidR="00DA5396" w:rsidRDefault="00DA5396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26</w:t>
            </w:r>
          </w:p>
        </w:tc>
        <w:tc>
          <w:tcPr>
            <w:tcW w:w="2126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63.72</w:t>
            </w:r>
          </w:p>
        </w:tc>
        <w:tc>
          <w:tcPr>
            <w:tcW w:w="2078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64.8 – ∆</w:t>
            </w:r>
            <w:r w:rsidRPr="00A8594E">
              <w:rPr>
                <w:i/>
                <w:vertAlign w:val="subscript"/>
              </w:rPr>
              <w:t>F</w:t>
            </w:r>
            <w:r>
              <w:t>×209</w:t>
            </w:r>
          </w:p>
        </w:tc>
        <w:tc>
          <w:tcPr>
            <w:tcW w:w="1671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 w:rsidRPr="00675640">
              <w:t>2.3438</w:t>
            </w:r>
          </w:p>
        </w:tc>
      </w:tr>
      <w:tr w:rsidR="004D0C25" w:rsidTr="003D0139">
        <w:tc>
          <w:tcPr>
            <w:tcW w:w="0" w:type="auto"/>
            <w:vMerge/>
            <w:shd w:val="clear" w:color="auto" w:fill="auto"/>
          </w:tcPr>
          <w:p w:rsidR="00DA5396" w:rsidRDefault="00DA5396" w:rsidP="00DA5396">
            <w:pPr>
              <w:pStyle w:val="IEEEStdsTableData-Center"/>
            </w:pPr>
          </w:p>
        </w:tc>
        <w:tc>
          <w:tcPr>
            <w:tcW w:w="999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27</w:t>
            </w:r>
          </w:p>
        </w:tc>
        <w:tc>
          <w:tcPr>
            <w:tcW w:w="2126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>
              <w:t>65.88</w:t>
            </w:r>
          </w:p>
        </w:tc>
        <w:tc>
          <w:tcPr>
            <w:tcW w:w="2078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 w:rsidRPr="00155B39">
              <w:t>64.8</w:t>
            </w:r>
            <w:r>
              <w:t xml:space="preserve"> + ∆</w:t>
            </w:r>
            <w:r w:rsidRPr="00A8594E">
              <w:rPr>
                <w:i/>
                <w:vertAlign w:val="subscript"/>
              </w:rPr>
              <w:t>F</w:t>
            </w:r>
            <w:r>
              <w:t>×209</w:t>
            </w:r>
          </w:p>
        </w:tc>
        <w:tc>
          <w:tcPr>
            <w:tcW w:w="1671" w:type="dxa"/>
            <w:shd w:val="clear" w:color="auto" w:fill="auto"/>
          </w:tcPr>
          <w:p w:rsidR="00DA5396" w:rsidRDefault="00DA5396" w:rsidP="00DA5396">
            <w:pPr>
              <w:pStyle w:val="IEEEStdsTableData-Center"/>
            </w:pPr>
            <w:r w:rsidRPr="00BB1BE3">
              <w:t>-2.3437</w:t>
            </w:r>
          </w:p>
        </w:tc>
      </w:tr>
    </w:tbl>
    <w:p w:rsidR="004D0C25" w:rsidRPr="00C10107" w:rsidRDefault="004D0C25" w:rsidP="004D0C25">
      <w:pPr>
        <w:rPr>
          <w:rStyle w:val="af0"/>
          <w:rFonts w:eastAsia="ＭＳ 明朝"/>
          <w:b w:val="0"/>
          <w:i/>
          <w:lang w:eastAsia="ja-JP"/>
        </w:rPr>
      </w:pPr>
    </w:p>
    <w:p w:rsidR="00B5616B" w:rsidRDefault="00B5616B" w:rsidP="00AC3256">
      <w:pPr>
        <w:autoSpaceDE w:val="0"/>
        <w:autoSpaceDN w:val="0"/>
        <w:adjustRightInd w:val="0"/>
        <w:jc w:val="left"/>
        <w:rPr>
          <w:rFonts w:eastAsia="ＭＳ 明朝"/>
          <w:b/>
          <w:lang w:eastAsia="ja-JP"/>
        </w:rPr>
      </w:pPr>
    </w:p>
    <w:p w:rsidR="00925915" w:rsidRPr="00925915" w:rsidRDefault="00925915" w:rsidP="00925915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925915" w:rsidRPr="00925915" w:rsidRDefault="00925915" w:rsidP="00925915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925915" w:rsidRPr="00925915" w:rsidRDefault="00925915" w:rsidP="00925915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925915" w:rsidRPr="00925915" w:rsidRDefault="00925915" w:rsidP="00925915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925915" w:rsidRPr="00925915" w:rsidRDefault="00925915" w:rsidP="00925915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925915" w:rsidRPr="00925915" w:rsidRDefault="00925915" w:rsidP="00925915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925915" w:rsidRPr="00925915" w:rsidRDefault="00925915" w:rsidP="00925915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925915" w:rsidRPr="00925915" w:rsidRDefault="00925915" w:rsidP="00925915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925915" w:rsidRPr="00925915" w:rsidRDefault="00925915" w:rsidP="00925915">
      <w:pPr>
        <w:pStyle w:val="ad"/>
        <w:keepNext/>
        <w:keepLines/>
        <w:numPr>
          <w:ilvl w:val="3"/>
          <w:numId w:val="13"/>
        </w:numPr>
        <w:suppressAutoHyphens/>
        <w:spacing w:before="240" w:after="240"/>
        <w:contextualSpacing w:val="0"/>
        <w:jc w:val="left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:rsidR="00925915" w:rsidRPr="00925915" w:rsidRDefault="00925915" w:rsidP="00925915">
      <w:pPr>
        <w:pStyle w:val="ad"/>
        <w:keepNext/>
        <w:keepLines/>
        <w:numPr>
          <w:ilvl w:val="3"/>
          <w:numId w:val="13"/>
        </w:numPr>
        <w:suppressAutoHyphens/>
        <w:spacing w:before="240" w:after="240"/>
        <w:contextualSpacing w:val="0"/>
        <w:jc w:val="left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:rsidR="00925915" w:rsidRPr="00925915" w:rsidRDefault="00925915" w:rsidP="00925915">
      <w:pPr>
        <w:pStyle w:val="ad"/>
        <w:keepNext/>
        <w:keepLines/>
        <w:numPr>
          <w:ilvl w:val="3"/>
          <w:numId w:val="13"/>
        </w:numPr>
        <w:suppressAutoHyphens/>
        <w:spacing w:before="240" w:after="240"/>
        <w:contextualSpacing w:val="0"/>
        <w:jc w:val="left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:rsidR="00925915" w:rsidRPr="00925915" w:rsidRDefault="00925915" w:rsidP="00925915">
      <w:pPr>
        <w:pStyle w:val="ad"/>
        <w:keepNext/>
        <w:keepLines/>
        <w:numPr>
          <w:ilvl w:val="4"/>
          <w:numId w:val="13"/>
        </w:numPr>
        <w:suppressAutoHyphens/>
        <w:spacing w:before="240" w:after="240"/>
        <w:contextualSpacing w:val="0"/>
        <w:jc w:val="left"/>
        <w:outlineLvl w:val="4"/>
        <w:rPr>
          <w:rFonts w:ascii="Arial" w:hAnsi="Arial"/>
          <w:b/>
          <w:vanish/>
          <w:sz w:val="20"/>
          <w:lang w:val="en-US" w:eastAsia="ja-JP"/>
        </w:rPr>
      </w:pPr>
    </w:p>
    <w:p w:rsidR="00925915" w:rsidRPr="00925915" w:rsidRDefault="00925915" w:rsidP="00925915">
      <w:pPr>
        <w:pStyle w:val="ad"/>
        <w:keepNext/>
        <w:keepLines/>
        <w:numPr>
          <w:ilvl w:val="4"/>
          <w:numId w:val="13"/>
        </w:numPr>
        <w:suppressAutoHyphens/>
        <w:spacing w:before="240" w:after="240"/>
        <w:contextualSpacing w:val="0"/>
        <w:jc w:val="left"/>
        <w:outlineLvl w:val="4"/>
        <w:rPr>
          <w:rFonts w:ascii="Arial" w:hAnsi="Arial"/>
          <w:b/>
          <w:vanish/>
          <w:sz w:val="20"/>
          <w:lang w:val="en-US" w:eastAsia="ja-JP"/>
        </w:rPr>
      </w:pPr>
    </w:p>
    <w:p w:rsidR="004D0C25" w:rsidRDefault="004D0C25" w:rsidP="00925915">
      <w:pPr>
        <w:pStyle w:val="IEEEStdsLevel5Header"/>
      </w:pPr>
      <w:r w:rsidRPr="007B2608">
        <w:t xml:space="preserve">EDMG preamble, </w:t>
      </w:r>
      <w:r>
        <w:t>D</w:t>
      </w:r>
      <w:r w:rsidRPr="007B2608">
        <w:t>ata and TRN field</w:t>
      </w:r>
      <w:r>
        <w:t>s</w:t>
      </w:r>
      <w:r w:rsidRPr="007B2608">
        <w:t xml:space="preserve"> transmission</w:t>
      </w:r>
    </w:p>
    <w:p w:rsidR="004D0C25" w:rsidRDefault="006D6EB5" w:rsidP="006D6EB5">
      <w:pPr>
        <w:rPr>
          <w:rStyle w:val="af0"/>
          <w:rFonts w:eastAsia="ＭＳ 明朝"/>
          <w:b w:val="0"/>
          <w:i/>
          <w:lang w:eastAsia="ja-JP"/>
        </w:rPr>
      </w:pP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Editor: modify the </w:t>
      </w:r>
      <w:r>
        <w:rPr>
          <w:rStyle w:val="af0"/>
          <w:rFonts w:eastAsia="ＭＳ 明朝" w:hint="eastAsia"/>
          <w:b w:val="0"/>
          <w:i/>
          <w:lang w:eastAsia="ja-JP"/>
        </w:rPr>
        <w:t>3rd paragraph of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 subclause </w:t>
      </w:r>
      <w:r>
        <w:rPr>
          <w:rStyle w:val="af0"/>
          <w:rFonts w:eastAsia="ＭＳ 明朝" w:hint="eastAsia"/>
          <w:b w:val="0"/>
          <w:i/>
          <w:lang w:eastAsia="ja-JP"/>
        </w:rPr>
        <w:t xml:space="preserve">30.6.9.3.3 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>of D</w:t>
      </w:r>
      <w:r>
        <w:rPr>
          <w:rStyle w:val="af0"/>
          <w:rFonts w:eastAsia="ＭＳ 明朝" w:hint="eastAsia"/>
          <w:b w:val="0"/>
          <w:i/>
          <w:lang w:eastAsia="ja-JP"/>
        </w:rPr>
        <w:t>1.0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 as follows:</w:t>
      </w:r>
      <w:r>
        <w:rPr>
          <w:rStyle w:val="af0"/>
          <w:rFonts w:eastAsia="ＭＳ 明朝" w:hint="eastAsia"/>
          <w:b w:val="0"/>
          <w:i/>
          <w:lang w:eastAsia="ja-JP"/>
        </w:rPr>
        <w:t xml:space="preserve"> (P365L25-P366L2) (CID #1539)</w:t>
      </w:r>
    </w:p>
    <w:p w:rsidR="006D6EB5" w:rsidRPr="006D6EB5" w:rsidRDefault="006D6EB5" w:rsidP="006D6EB5"/>
    <w:p w:rsidR="004D0C25" w:rsidRDefault="004D0C25" w:rsidP="004D0C25">
      <w:pPr>
        <w:pStyle w:val="IEEEStdsParagraph"/>
      </w:pPr>
      <w:r>
        <w:t>The EDMG OFDM mode SU PPDU waveform for the i</w:t>
      </w:r>
      <w:r w:rsidRPr="004046B3">
        <w:rPr>
          <w:vertAlign w:val="subscript"/>
        </w:rPr>
        <w:t>TX</w:t>
      </w:r>
      <w:r w:rsidRPr="004046B3">
        <w:rPr>
          <w:vertAlign w:val="superscript"/>
        </w:rPr>
        <w:t>th</w:t>
      </w:r>
      <w:r>
        <w:t xml:space="preserve"> transmit chain concatenates the pre-EDMG, EDMG preamble, Data field and TRN field</w:t>
      </w:r>
      <w:ins w:id="27" w:author="作成者">
        <w:r w:rsidR="00B74430">
          <w:t>,</w:t>
        </w:r>
      </w:ins>
      <w:r>
        <w:t xml:space="preserve"> </w:t>
      </w:r>
      <w:ins w:id="28" w:author="作成者">
        <w:r w:rsidR="00B74430">
          <w:rPr>
            <w:rFonts w:hint="eastAsia"/>
          </w:rPr>
          <w:t xml:space="preserve">with DC </w:t>
        </w:r>
        <w:r w:rsidR="00B74430">
          <w:t>relative</w:t>
        </w:r>
        <w:r w:rsidR="00B74430">
          <w:rPr>
            <w:rFonts w:hint="eastAsia"/>
          </w:rPr>
          <w:t xml:space="preserve"> shift </w:t>
        </w:r>
        <w:r w:rsidR="00B74430">
          <w:t>applied to the EDMG modulated fields as described</w:t>
        </w:r>
        <w:r w:rsidR="00B74430">
          <w:rPr>
            <w:rFonts w:hint="eastAsia"/>
          </w:rPr>
          <w:t xml:space="preserve"> in </w:t>
        </w:r>
        <w:r w:rsidR="00B74430" w:rsidRPr="00E50665">
          <w:rPr>
            <w:b/>
          </w:rPr>
          <w:t>30.6.1.3</w:t>
        </w:r>
        <w:r w:rsidR="00B74430">
          <w:rPr>
            <w:rFonts w:hint="eastAsia"/>
          </w:rPr>
          <w:t>,</w:t>
        </w:r>
        <w:r>
          <w:rPr>
            <w:rFonts w:hint="eastAsia"/>
          </w:rPr>
          <w:t xml:space="preserve"> </w:t>
        </w:r>
      </w:ins>
      <w:r>
        <w:t>and shall be defined as follows:</w:t>
      </w:r>
    </w:p>
    <w:p w:rsidR="004D0C25" w:rsidRDefault="00AD04D9" w:rsidP="004D0C25">
      <w:pPr>
        <w:pStyle w:val="IEEEStdsParagraph"/>
        <w:ind w:left="432"/>
      </w:pPr>
      <w:ins w:id="29" w:author="作成者">
        <w:r w:rsidRPr="005E514E">
          <w:rPr>
            <w:position w:val="-16"/>
            <w:szCs w:val="22"/>
          </w:rPr>
          <w:object w:dxaOrig="8580" w:dyaOrig="4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00.85pt;height:22.05pt" o:ole="">
              <v:imagedata r:id="rId8" o:title=""/>
            </v:shape>
            <o:OLEObject Type="Embed" ProgID="Equation.DSMT4" ShapeID="_x0000_i1025" DrawAspect="Content" ObjectID="_1581242587" r:id="rId9"/>
          </w:object>
        </w:r>
      </w:ins>
    </w:p>
    <w:p w:rsidR="004D0C25" w:rsidRDefault="004D0C25" w:rsidP="004D0C25">
      <w:pPr>
        <w:pStyle w:val="IEEEStdsParagraph"/>
      </w:pPr>
      <w:r>
        <w:t>where:</w:t>
      </w:r>
    </w:p>
    <w:p w:rsidR="004D0C25" w:rsidRDefault="004D0C25" w:rsidP="004D0C25">
      <w:pPr>
        <w:pStyle w:val="IEEEStdsEquationVariableList"/>
        <w:rPr>
          <w:ins w:id="30" w:author="作成者"/>
        </w:rPr>
      </w:pPr>
      <w:r w:rsidRPr="00686D70">
        <w:rPr>
          <w:position w:val="-14"/>
          <w:sz w:val="22"/>
          <w:szCs w:val="22"/>
        </w:rPr>
        <w:object w:dxaOrig="1660" w:dyaOrig="380">
          <v:shape id="_x0000_i1026" type="#_x0000_t75" style="width:83.3pt;height:18.8pt" o:ole="">
            <v:imagedata r:id="rId10" o:title=""/>
          </v:shape>
          <o:OLEObject Type="Embed" ProgID="Equation.3" ShapeID="_x0000_i1026" DrawAspect="Content" ObjectID="_1581242588" r:id="rId11"/>
        </w:object>
      </w:r>
      <w:r>
        <w:t xml:space="preserve"> is the </w:t>
      </w:r>
      <w:r w:rsidRPr="000F6FFD">
        <w:t xml:space="preserve">total duration of </w:t>
      </w:r>
      <w:r>
        <w:t xml:space="preserve">the </w:t>
      </w:r>
      <w:r w:rsidRPr="000F6FFD">
        <w:t xml:space="preserve">L-STF, </w:t>
      </w:r>
      <w:r>
        <w:t xml:space="preserve">the </w:t>
      </w:r>
      <w:r w:rsidRPr="000F6FFD">
        <w:t xml:space="preserve">L-CEF, </w:t>
      </w:r>
      <w:r>
        <w:t xml:space="preserve">the </w:t>
      </w:r>
      <w:r w:rsidRPr="000F6FFD">
        <w:t xml:space="preserve">L-Header, and </w:t>
      </w:r>
      <w:r>
        <w:t xml:space="preserve">the </w:t>
      </w:r>
      <w:r w:rsidRPr="000F6FFD">
        <w:t xml:space="preserve">EDMG-Header-A fields of </w:t>
      </w:r>
      <w:r>
        <w:t xml:space="preserve">the </w:t>
      </w:r>
      <w:r w:rsidRPr="000F6FFD">
        <w:t>PPDU</w:t>
      </w:r>
    </w:p>
    <w:p w:rsidR="004D0C25" w:rsidRPr="0069053D" w:rsidRDefault="00BA737D" w:rsidP="004D0C25">
      <w:pPr>
        <w:pStyle w:val="IEEEStdsEquationVariableList"/>
        <w:rPr>
          <w:ins w:id="31" w:author="作成者"/>
        </w:rPr>
      </w:pPr>
      <w:ins w:id="32" w:author="作成者">
        <w:r w:rsidRPr="004C2F06">
          <w:rPr>
            <w:position w:val="-12"/>
            <w:sz w:val="22"/>
            <w:szCs w:val="22"/>
          </w:rPr>
          <w:object w:dxaOrig="260" w:dyaOrig="360">
            <v:shape id="_x0000_i1027" type="#_x0000_t75" style="width:12.9pt;height:18.8pt" o:ole="">
              <v:imagedata r:id="rId12" o:title=""/>
            </v:shape>
            <o:OLEObject Type="Embed" ProgID="Equation.DSMT4" ShapeID="_x0000_i1027" DrawAspect="Content" ObjectID="_1581242589" r:id="rId13"/>
          </w:object>
        </w:r>
      </w:ins>
      <w:ins w:id="33" w:author="作成者">
        <w:r w:rsidR="004D0C25" w:rsidRPr="0069053D">
          <w:rPr>
            <w:rFonts w:hint="eastAsia"/>
          </w:rPr>
          <w:t xml:space="preserve"> is the center frequency</w:t>
        </w:r>
        <w:r w:rsidR="000C1F61">
          <w:t xml:space="preserve"> of the carrier</w:t>
        </w:r>
      </w:ins>
    </w:p>
    <w:p w:rsidR="004D0C25" w:rsidRDefault="00BA737D" w:rsidP="004D0C25">
      <w:pPr>
        <w:pStyle w:val="IEEEStdsEquationVariableList"/>
      </w:pPr>
      <w:ins w:id="34" w:author="作成者">
        <w:r w:rsidRPr="0069053D">
          <w:rPr>
            <w:position w:val="-12"/>
            <w:sz w:val="22"/>
            <w:szCs w:val="22"/>
          </w:rPr>
          <w:object w:dxaOrig="400" w:dyaOrig="360">
            <v:shape id="_x0000_i1028" type="#_x0000_t75" style="width:20.4pt;height:18.8pt" o:ole="">
              <v:imagedata r:id="rId14" o:title=""/>
            </v:shape>
            <o:OLEObject Type="Embed" ProgID="Equation.DSMT4" ShapeID="_x0000_i1028" DrawAspect="Content" ObjectID="_1581242590" r:id="rId15"/>
          </w:object>
        </w:r>
      </w:ins>
      <w:ins w:id="35" w:author="作成者">
        <w:r w:rsidR="004D0C25">
          <w:rPr>
            <w:rFonts w:hint="eastAsia"/>
            <w:sz w:val="22"/>
            <w:szCs w:val="22"/>
          </w:rPr>
          <w:t xml:space="preserve"> </w:t>
        </w:r>
        <w:r w:rsidR="004D0C25" w:rsidRPr="0069053D">
          <w:rPr>
            <w:rFonts w:hint="eastAsia"/>
          </w:rPr>
          <w:t xml:space="preserve">is the </w:t>
        </w:r>
        <w:r>
          <w:t>DC subcarrier frequency defined</w:t>
        </w:r>
        <w:r w:rsidR="006D6EB5">
          <w:rPr>
            <w:rFonts w:hint="eastAsia"/>
          </w:rPr>
          <w:t xml:space="preserve"> in </w:t>
        </w:r>
        <w:r w:rsidR="004D0C25" w:rsidRPr="00E50665">
          <w:rPr>
            <w:b/>
          </w:rPr>
          <w:t>30.6.1.3</w:t>
        </w:r>
      </w:ins>
    </w:p>
    <w:p w:rsidR="004D0C25" w:rsidRPr="004D0C25" w:rsidRDefault="004D0C25" w:rsidP="00AC3256">
      <w:pPr>
        <w:autoSpaceDE w:val="0"/>
        <w:autoSpaceDN w:val="0"/>
        <w:adjustRightInd w:val="0"/>
        <w:jc w:val="left"/>
        <w:rPr>
          <w:rFonts w:eastAsia="ＭＳ 明朝"/>
          <w:b/>
          <w:lang w:val="en-US" w:eastAsia="ja-JP"/>
        </w:rPr>
      </w:pPr>
    </w:p>
    <w:p w:rsidR="00870C3D" w:rsidRPr="00870C3D" w:rsidRDefault="00870C3D" w:rsidP="00870C3D">
      <w:pPr>
        <w:pStyle w:val="ad"/>
        <w:keepNext/>
        <w:keepLines/>
        <w:numPr>
          <w:ilvl w:val="3"/>
          <w:numId w:val="13"/>
        </w:numPr>
        <w:suppressAutoHyphens/>
        <w:spacing w:before="240" w:after="240"/>
        <w:contextualSpacing w:val="0"/>
        <w:jc w:val="left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:rsidR="00870C3D" w:rsidRPr="00870C3D" w:rsidRDefault="00870C3D" w:rsidP="00870C3D">
      <w:pPr>
        <w:pStyle w:val="ad"/>
        <w:keepNext/>
        <w:keepLines/>
        <w:numPr>
          <w:ilvl w:val="4"/>
          <w:numId w:val="13"/>
        </w:numPr>
        <w:suppressAutoHyphens/>
        <w:spacing w:before="240" w:after="240"/>
        <w:contextualSpacing w:val="0"/>
        <w:jc w:val="left"/>
        <w:outlineLvl w:val="4"/>
        <w:rPr>
          <w:rFonts w:ascii="Arial" w:hAnsi="Arial"/>
          <w:b/>
          <w:vanish/>
          <w:sz w:val="20"/>
          <w:lang w:val="en-US" w:eastAsia="ja-JP"/>
        </w:rPr>
      </w:pPr>
    </w:p>
    <w:p w:rsidR="00870C3D" w:rsidRPr="00870C3D" w:rsidRDefault="00870C3D" w:rsidP="00870C3D">
      <w:pPr>
        <w:pStyle w:val="ad"/>
        <w:keepNext/>
        <w:keepLines/>
        <w:numPr>
          <w:ilvl w:val="4"/>
          <w:numId w:val="13"/>
        </w:numPr>
        <w:suppressAutoHyphens/>
        <w:spacing w:before="240" w:after="240"/>
        <w:contextualSpacing w:val="0"/>
        <w:jc w:val="left"/>
        <w:outlineLvl w:val="4"/>
        <w:rPr>
          <w:rFonts w:ascii="Arial" w:hAnsi="Arial"/>
          <w:b/>
          <w:vanish/>
          <w:sz w:val="20"/>
          <w:lang w:val="en-US" w:eastAsia="ja-JP"/>
        </w:rPr>
      </w:pPr>
    </w:p>
    <w:p w:rsidR="006D6EB5" w:rsidRDefault="006D6EB5" w:rsidP="00870C3D">
      <w:pPr>
        <w:pStyle w:val="IEEEStdsLevel5Header"/>
      </w:pPr>
      <w:bookmarkStart w:id="36" w:name="_GoBack"/>
      <w:bookmarkEnd w:id="36"/>
      <w:r w:rsidRPr="007B2608">
        <w:t xml:space="preserve">EDMG preamble, </w:t>
      </w:r>
      <w:r>
        <w:t>D</w:t>
      </w:r>
      <w:r w:rsidRPr="007B2608">
        <w:t>ata and TRN field</w:t>
      </w:r>
      <w:r>
        <w:t>s</w:t>
      </w:r>
      <w:r w:rsidRPr="007B2608">
        <w:t xml:space="preserve"> transmission</w:t>
      </w:r>
    </w:p>
    <w:p w:rsidR="006D6EB5" w:rsidRDefault="006D6EB5" w:rsidP="006D6EB5">
      <w:pPr>
        <w:rPr>
          <w:rStyle w:val="af0"/>
          <w:rFonts w:eastAsia="ＭＳ 明朝"/>
          <w:b w:val="0"/>
          <w:i/>
          <w:lang w:eastAsia="ja-JP"/>
        </w:rPr>
      </w:pP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Editor: modify the </w:t>
      </w:r>
      <w:r>
        <w:rPr>
          <w:rStyle w:val="af0"/>
          <w:rFonts w:eastAsia="ＭＳ 明朝" w:hint="eastAsia"/>
          <w:b w:val="0"/>
          <w:i/>
          <w:lang w:eastAsia="ja-JP"/>
        </w:rPr>
        <w:t>3rd paragraph of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 subclause </w:t>
      </w:r>
      <w:r>
        <w:rPr>
          <w:rStyle w:val="af0"/>
          <w:rFonts w:eastAsia="ＭＳ 明朝" w:hint="eastAsia"/>
          <w:b w:val="0"/>
          <w:i/>
          <w:lang w:eastAsia="ja-JP"/>
        </w:rPr>
        <w:t>30.6.9.</w:t>
      </w:r>
      <w:r w:rsidR="00AE7452">
        <w:rPr>
          <w:rStyle w:val="af0"/>
          <w:rFonts w:eastAsia="ＭＳ 明朝" w:hint="eastAsia"/>
          <w:b w:val="0"/>
          <w:i/>
          <w:lang w:eastAsia="ja-JP"/>
        </w:rPr>
        <w:t>4</w:t>
      </w:r>
      <w:r>
        <w:rPr>
          <w:rStyle w:val="af0"/>
          <w:rFonts w:eastAsia="ＭＳ 明朝" w:hint="eastAsia"/>
          <w:b w:val="0"/>
          <w:i/>
          <w:lang w:eastAsia="ja-JP"/>
        </w:rPr>
        <w:t xml:space="preserve">.3 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>of D</w:t>
      </w:r>
      <w:r>
        <w:rPr>
          <w:rStyle w:val="af0"/>
          <w:rFonts w:eastAsia="ＭＳ 明朝" w:hint="eastAsia"/>
          <w:b w:val="0"/>
          <w:i/>
          <w:lang w:eastAsia="ja-JP"/>
        </w:rPr>
        <w:t>1.0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 as follows:</w:t>
      </w:r>
      <w:r>
        <w:rPr>
          <w:rStyle w:val="af0"/>
          <w:rFonts w:eastAsia="ＭＳ 明朝" w:hint="eastAsia"/>
          <w:b w:val="0"/>
          <w:i/>
          <w:lang w:eastAsia="ja-JP"/>
        </w:rPr>
        <w:t xml:space="preserve"> (P</w:t>
      </w:r>
      <w:r w:rsidR="00E50665">
        <w:rPr>
          <w:rStyle w:val="af0"/>
          <w:rFonts w:eastAsia="ＭＳ 明朝" w:hint="eastAsia"/>
          <w:b w:val="0"/>
          <w:i/>
          <w:lang w:eastAsia="ja-JP"/>
        </w:rPr>
        <w:t>367</w:t>
      </w:r>
      <w:r w:rsidR="00AE7452">
        <w:rPr>
          <w:rStyle w:val="af0"/>
          <w:rFonts w:eastAsia="ＭＳ 明朝" w:hint="eastAsia"/>
          <w:b w:val="0"/>
          <w:i/>
          <w:lang w:eastAsia="ja-JP"/>
        </w:rPr>
        <w:t>L</w:t>
      </w:r>
      <w:r w:rsidR="00E50665">
        <w:rPr>
          <w:rStyle w:val="af0"/>
          <w:rFonts w:eastAsia="ＭＳ 明朝" w:hint="eastAsia"/>
          <w:b w:val="0"/>
          <w:i/>
          <w:lang w:eastAsia="ja-JP"/>
        </w:rPr>
        <w:t>8</w:t>
      </w:r>
      <w:r>
        <w:rPr>
          <w:rStyle w:val="af0"/>
          <w:rFonts w:eastAsia="ＭＳ 明朝" w:hint="eastAsia"/>
          <w:b w:val="0"/>
          <w:i/>
          <w:lang w:eastAsia="ja-JP"/>
        </w:rPr>
        <w:t>-P</w:t>
      </w:r>
      <w:r w:rsidR="00E50665">
        <w:rPr>
          <w:rStyle w:val="af0"/>
          <w:rFonts w:eastAsia="ＭＳ 明朝" w:hint="eastAsia"/>
          <w:b w:val="0"/>
          <w:i/>
          <w:lang w:eastAsia="ja-JP"/>
        </w:rPr>
        <w:t>367</w:t>
      </w:r>
      <w:r w:rsidR="00AE7452">
        <w:rPr>
          <w:rStyle w:val="af0"/>
          <w:rFonts w:eastAsia="ＭＳ 明朝" w:hint="eastAsia"/>
          <w:b w:val="0"/>
          <w:i/>
          <w:lang w:eastAsia="ja-JP"/>
        </w:rPr>
        <w:t>L</w:t>
      </w:r>
      <w:r w:rsidR="00E50665">
        <w:rPr>
          <w:rStyle w:val="af0"/>
          <w:rFonts w:eastAsia="ＭＳ 明朝" w:hint="eastAsia"/>
          <w:b w:val="0"/>
          <w:i/>
          <w:lang w:eastAsia="ja-JP"/>
        </w:rPr>
        <w:t>13</w:t>
      </w:r>
      <w:r>
        <w:rPr>
          <w:rStyle w:val="af0"/>
          <w:rFonts w:eastAsia="ＭＳ 明朝" w:hint="eastAsia"/>
          <w:b w:val="0"/>
          <w:i/>
          <w:lang w:eastAsia="ja-JP"/>
        </w:rPr>
        <w:t>) (CID #1539)</w:t>
      </w:r>
    </w:p>
    <w:p w:rsidR="006D6EB5" w:rsidRPr="006D6EB5" w:rsidRDefault="006D6EB5" w:rsidP="006D6EB5"/>
    <w:p w:rsidR="006D6EB5" w:rsidRDefault="006D6EB5" w:rsidP="006D6EB5">
      <w:pPr>
        <w:pStyle w:val="IEEEStdsParagraph"/>
      </w:pPr>
      <w:r>
        <w:t>The EDMG OFDM mode MU PPDU waveform for the i</w:t>
      </w:r>
      <w:r w:rsidRPr="00DC1B91">
        <w:rPr>
          <w:vertAlign w:val="subscript"/>
        </w:rPr>
        <w:t>TX</w:t>
      </w:r>
      <w:r w:rsidRPr="00DC1B91">
        <w:rPr>
          <w:vertAlign w:val="superscript"/>
        </w:rPr>
        <w:t>th</w:t>
      </w:r>
      <w:r>
        <w:t xml:space="preserve"> transmit chain concatenates the pre-EDMG, EDMG preamble, Data field and TRN field</w:t>
      </w:r>
      <w:ins w:id="37" w:author="作成者">
        <w:r w:rsidR="000D7494">
          <w:t>,</w:t>
        </w:r>
      </w:ins>
      <w:r>
        <w:t xml:space="preserve"> </w:t>
      </w:r>
      <w:ins w:id="38" w:author="作成者">
        <w:r w:rsidR="00AA21BA">
          <w:rPr>
            <w:rFonts w:hint="eastAsia"/>
          </w:rPr>
          <w:t xml:space="preserve">with DC </w:t>
        </w:r>
        <w:r w:rsidR="00AA21BA">
          <w:t>relative</w:t>
        </w:r>
        <w:r w:rsidR="00AA21BA">
          <w:rPr>
            <w:rFonts w:hint="eastAsia"/>
          </w:rPr>
          <w:t xml:space="preserve"> shift </w:t>
        </w:r>
        <w:r w:rsidR="000D7494">
          <w:t>applied to the EDMG modulated fields as described</w:t>
        </w:r>
        <w:r w:rsidR="00AA21BA">
          <w:rPr>
            <w:rFonts w:hint="eastAsia"/>
          </w:rPr>
          <w:t xml:space="preserve"> in </w:t>
        </w:r>
        <w:r w:rsidR="00AA21BA" w:rsidRPr="00E50665">
          <w:rPr>
            <w:b/>
          </w:rPr>
          <w:t>30.6.1.3</w:t>
        </w:r>
        <w:r w:rsidR="00AA21BA">
          <w:rPr>
            <w:rFonts w:hint="eastAsia"/>
          </w:rPr>
          <w:t xml:space="preserve">, </w:t>
        </w:r>
      </w:ins>
      <w:r>
        <w:t>and shall be defined as follows:</w:t>
      </w:r>
    </w:p>
    <w:p w:rsidR="006D6EB5" w:rsidRDefault="00AD04D9" w:rsidP="006D6EB5">
      <w:pPr>
        <w:pStyle w:val="IEEEStdsParagraph"/>
        <w:ind w:left="432"/>
      </w:pPr>
      <w:ins w:id="39" w:author="作成者">
        <w:r w:rsidRPr="008222BC">
          <w:rPr>
            <w:position w:val="-16"/>
            <w:szCs w:val="22"/>
          </w:rPr>
          <w:object w:dxaOrig="8580" w:dyaOrig="460">
            <v:shape id="_x0000_i1029" type="#_x0000_t75" style="width:401.35pt;height:22.05pt" o:ole="">
              <v:imagedata r:id="rId16" o:title=""/>
            </v:shape>
            <o:OLEObject Type="Embed" ProgID="Equation.DSMT4" ShapeID="_x0000_i1029" DrawAspect="Content" ObjectID="_1581242591" r:id="rId17"/>
          </w:object>
        </w:r>
      </w:ins>
    </w:p>
    <w:p w:rsidR="006D6EB5" w:rsidRDefault="006D6EB5" w:rsidP="006D6EB5">
      <w:pPr>
        <w:pStyle w:val="IEEEStdsParagraph"/>
      </w:pPr>
      <w:r>
        <w:lastRenderedPageBreak/>
        <w:t>where:</w:t>
      </w:r>
    </w:p>
    <w:p w:rsidR="006D6EB5" w:rsidRDefault="006D6EB5" w:rsidP="006D6EB5">
      <w:pPr>
        <w:pStyle w:val="IEEEStdsEquationVariableList"/>
      </w:pPr>
      <w:r w:rsidRPr="00686D70">
        <w:rPr>
          <w:position w:val="-14"/>
          <w:sz w:val="22"/>
          <w:szCs w:val="22"/>
        </w:rPr>
        <w:object w:dxaOrig="1660" w:dyaOrig="380">
          <v:shape id="_x0000_i1030" type="#_x0000_t75" style="width:83.3pt;height:18.8pt" o:ole="">
            <v:imagedata r:id="rId10" o:title=""/>
          </v:shape>
          <o:OLEObject Type="Embed" ProgID="Equation.3" ShapeID="_x0000_i1030" DrawAspect="Content" ObjectID="_1581242592" r:id="rId18"/>
        </w:object>
      </w:r>
      <w:r>
        <w:t xml:space="preserve"> is the </w:t>
      </w:r>
      <w:r w:rsidRPr="000F6FFD">
        <w:t xml:space="preserve">total duration of </w:t>
      </w:r>
      <w:r>
        <w:t xml:space="preserve">the </w:t>
      </w:r>
      <w:r w:rsidRPr="000F6FFD">
        <w:t xml:space="preserve">L-STF, </w:t>
      </w:r>
      <w:r>
        <w:t xml:space="preserve">the </w:t>
      </w:r>
      <w:r w:rsidRPr="000F6FFD">
        <w:t xml:space="preserve">L-CEF, </w:t>
      </w:r>
      <w:r>
        <w:t xml:space="preserve">the </w:t>
      </w:r>
      <w:r w:rsidRPr="000F6FFD">
        <w:t xml:space="preserve">L-Header, and </w:t>
      </w:r>
      <w:r>
        <w:t xml:space="preserve">the </w:t>
      </w:r>
      <w:r w:rsidRPr="000F6FFD">
        <w:t xml:space="preserve">EDMG-Header-A fields of </w:t>
      </w:r>
      <w:r>
        <w:t xml:space="preserve">the </w:t>
      </w:r>
      <w:r w:rsidRPr="000F6FFD">
        <w:t>PPDU</w:t>
      </w:r>
    </w:p>
    <w:p w:rsidR="008222BC" w:rsidRPr="0069053D" w:rsidRDefault="00BA737D" w:rsidP="000C1F61">
      <w:pPr>
        <w:pStyle w:val="IEEEStdsEquationVariableList"/>
        <w:rPr>
          <w:ins w:id="40" w:author="作成者"/>
        </w:rPr>
      </w:pPr>
      <w:ins w:id="41" w:author="作成者">
        <w:r w:rsidRPr="004C2F06">
          <w:rPr>
            <w:position w:val="-12"/>
            <w:sz w:val="22"/>
            <w:szCs w:val="22"/>
          </w:rPr>
          <w:object w:dxaOrig="260" w:dyaOrig="360">
            <v:shape id="_x0000_i1031" type="#_x0000_t75" style="width:12.9pt;height:18.8pt" o:ole="">
              <v:imagedata r:id="rId19" o:title=""/>
            </v:shape>
            <o:OLEObject Type="Embed" ProgID="Equation.DSMT4" ShapeID="_x0000_i1031" DrawAspect="Content" ObjectID="_1581242593" r:id="rId20"/>
          </w:object>
        </w:r>
      </w:ins>
      <w:ins w:id="42" w:author="作成者">
        <w:r w:rsidR="008222BC" w:rsidRPr="0069053D">
          <w:rPr>
            <w:rFonts w:hint="eastAsia"/>
          </w:rPr>
          <w:t xml:space="preserve"> is the center frequency</w:t>
        </w:r>
        <w:r w:rsidR="000C1F61">
          <w:t xml:space="preserve"> of the carrier</w:t>
        </w:r>
      </w:ins>
    </w:p>
    <w:p w:rsidR="008222BC" w:rsidRDefault="00BA737D" w:rsidP="008222BC">
      <w:pPr>
        <w:pStyle w:val="IEEEStdsEquationVariableList"/>
        <w:rPr>
          <w:ins w:id="43" w:author="作成者"/>
        </w:rPr>
      </w:pPr>
      <w:ins w:id="44" w:author="作成者">
        <w:r w:rsidRPr="0069053D">
          <w:rPr>
            <w:position w:val="-12"/>
            <w:sz w:val="22"/>
            <w:szCs w:val="22"/>
          </w:rPr>
          <w:object w:dxaOrig="400" w:dyaOrig="360">
            <v:shape id="_x0000_i1032" type="#_x0000_t75" style="width:20.4pt;height:18.8pt" o:ole="">
              <v:imagedata r:id="rId21" o:title=""/>
            </v:shape>
            <o:OLEObject Type="Embed" ProgID="Equation.DSMT4" ShapeID="_x0000_i1032" DrawAspect="Content" ObjectID="_1581242594" r:id="rId22"/>
          </w:object>
        </w:r>
      </w:ins>
      <w:ins w:id="45" w:author="作成者">
        <w:r w:rsidR="008222BC">
          <w:rPr>
            <w:rFonts w:hint="eastAsia"/>
            <w:sz w:val="22"/>
            <w:szCs w:val="22"/>
          </w:rPr>
          <w:t xml:space="preserve"> </w:t>
        </w:r>
        <w:r w:rsidR="008222BC" w:rsidRPr="0069053D">
          <w:rPr>
            <w:rFonts w:hint="eastAsia"/>
          </w:rPr>
          <w:t xml:space="preserve">is the </w:t>
        </w:r>
        <w:r>
          <w:t>DC subcarrier frequency defined</w:t>
        </w:r>
        <w:r>
          <w:rPr>
            <w:rFonts w:hint="eastAsia"/>
          </w:rPr>
          <w:t xml:space="preserve"> </w:t>
        </w:r>
        <w:r w:rsidR="008222BC">
          <w:rPr>
            <w:rFonts w:hint="eastAsia"/>
          </w:rPr>
          <w:t xml:space="preserve">in </w:t>
        </w:r>
        <w:r w:rsidR="008222BC" w:rsidRPr="00E50665">
          <w:rPr>
            <w:b/>
          </w:rPr>
          <w:t>30.6.1.3</w:t>
        </w:r>
      </w:ins>
    </w:p>
    <w:p w:rsidR="004D0C25" w:rsidRPr="006D6EB5" w:rsidRDefault="004D0C25" w:rsidP="00AC3256">
      <w:pPr>
        <w:autoSpaceDE w:val="0"/>
        <w:autoSpaceDN w:val="0"/>
        <w:adjustRightInd w:val="0"/>
        <w:jc w:val="left"/>
        <w:rPr>
          <w:rFonts w:eastAsia="ＭＳ 明朝"/>
          <w:b/>
          <w:lang w:val="en-US" w:eastAsia="ja-JP"/>
        </w:rPr>
      </w:pPr>
    </w:p>
    <w:p w:rsidR="00B5616B" w:rsidRPr="00DA5396" w:rsidRDefault="00B5616B" w:rsidP="00AC3256">
      <w:pPr>
        <w:autoSpaceDE w:val="0"/>
        <w:autoSpaceDN w:val="0"/>
        <w:adjustRightInd w:val="0"/>
        <w:jc w:val="left"/>
        <w:rPr>
          <w:rFonts w:eastAsia="ＭＳ 明朝"/>
          <w:b/>
          <w:lang w:val="en-SG" w:eastAsia="ja-JP"/>
        </w:rPr>
      </w:pPr>
    </w:p>
    <w:p w:rsidR="00515BE9" w:rsidRPr="005B453E" w:rsidRDefault="00515BE9" w:rsidP="00515BE9">
      <w:pPr>
        <w:pStyle w:val="IEEEStdsParagraph"/>
        <w:tabs>
          <w:tab w:val="left" w:pos="1260"/>
        </w:tabs>
        <w:jc w:val="left"/>
        <w:rPr>
          <w:b/>
          <w:sz w:val="22"/>
          <w:szCs w:val="22"/>
          <w:u w:val="single"/>
        </w:rPr>
      </w:pPr>
      <w:r w:rsidRPr="005B453E">
        <w:rPr>
          <w:b/>
          <w:sz w:val="22"/>
          <w:szCs w:val="22"/>
          <w:u w:val="single"/>
        </w:rPr>
        <w:t>Straw Poll:</w:t>
      </w:r>
    </w:p>
    <w:p w:rsidR="00515BE9" w:rsidRPr="005B453E" w:rsidRDefault="00515BE9" w:rsidP="006D6EB5">
      <w:pPr>
        <w:pStyle w:val="ad"/>
        <w:numPr>
          <w:ilvl w:val="0"/>
          <w:numId w:val="11"/>
        </w:numPr>
        <w:jc w:val="left"/>
        <w:rPr>
          <w:rFonts w:eastAsia="Times New Roman"/>
          <w:szCs w:val="22"/>
          <w:lang w:val="en-US" w:eastAsia="ja-JP"/>
        </w:rPr>
      </w:pPr>
      <w:r w:rsidRPr="005B453E">
        <w:rPr>
          <w:rFonts w:eastAsia="Times New Roman"/>
          <w:b/>
          <w:bCs/>
          <w:szCs w:val="22"/>
          <w:lang w:val="en-US" w:eastAsia="ja-JP"/>
        </w:rPr>
        <w:t>D</w:t>
      </w:r>
      <w:r w:rsidRPr="005B453E">
        <w:rPr>
          <w:b/>
          <w:bCs/>
          <w:szCs w:val="22"/>
        </w:rPr>
        <w:t xml:space="preserve">o you agree </w:t>
      </w:r>
      <w:r w:rsidRPr="005B453E">
        <w:rPr>
          <w:rFonts w:eastAsia="Times New Roman"/>
          <w:b/>
          <w:bCs/>
          <w:szCs w:val="22"/>
          <w:lang w:eastAsia="ja-JP"/>
        </w:rPr>
        <w:t xml:space="preserve">to accept </w:t>
      </w:r>
      <w:r w:rsidR="00922E81" w:rsidRPr="005B453E">
        <w:rPr>
          <w:rFonts w:eastAsia="ＭＳ 明朝" w:hint="eastAsia"/>
          <w:b/>
          <w:bCs/>
          <w:szCs w:val="22"/>
          <w:lang w:eastAsia="ja-JP"/>
        </w:rPr>
        <w:t xml:space="preserve">the </w:t>
      </w:r>
      <w:r w:rsidR="00E96A8D" w:rsidRPr="005B453E">
        <w:rPr>
          <w:rFonts w:eastAsia="ＭＳ 明朝"/>
          <w:b/>
          <w:szCs w:val="22"/>
          <w:lang w:eastAsia="ja-JP"/>
        </w:rPr>
        <w:t xml:space="preserve">comment resolution for CIDs </w:t>
      </w:r>
      <w:r w:rsidR="006D6EB5" w:rsidRPr="005B453E">
        <w:rPr>
          <w:rFonts w:eastAsia="ＭＳ 明朝"/>
          <w:b/>
          <w:szCs w:val="22"/>
          <w:lang w:eastAsia="ja-JP"/>
        </w:rPr>
        <w:t>1520, 1521</w:t>
      </w:r>
      <w:r w:rsidR="00C92643" w:rsidRPr="005B453E">
        <w:rPr>
          <w:rFonts w:eastAsia="ＭＳ 明朝"/>
          <w:b/>
          <w:szCs w:val="22"/>
          <w:lang w:eastAsia="ja-JP"/>
        </w:rPr>
        <w:t>,</w:t>
      </w:r>
      <w:r w:rsidR="006D6EB5" w:rsidRPr="005B453E">
        <w:rPr>
          <w:rFonts w:eastAsia="ＭＳ 明朝" w:hint="eastAsia"/>
          <w:b/>
          <w:szCs w:val="22"/>
          <w:lang w:eastAsia="ja-JP"/>
        </w:rPr>
        <w:t xml:space="preserve"> </w:t>
      </w:r>
      <w:r w:rsidR="006D6EB5" w:rsidRPr="005B453E">
        <w:rPr>
          <w:rFonts w:eastAsia="ＭＳ 明朝"/>
          <w:b/>
          <w:szCs w:val="22"/>
          <w:lang w:eastAsia="ja-JP"/>
        </w:rPr>
        <w:t>1539</w:t>
      </w:r>
      <w:r w:rsidR="00C92643" w:rsidRPr="005B453E">
        <w:rPr>
          <w:rFonts w:eastAsia="ＭＳ 明朝"/>
          <w:b/>
          <w:szCs w:val="22"/>
          <w:lang w:eastAsia="ja-JP"/>
        </w:rPr>
        <w:t>, 2092 and 2138</w:t>
      </w:r>
      <w:r w:rsidR="00E96A8D" w:rsidRPr="005B453E">
        <w:rPr>
          <w:rFonts w:eastAsia="ＭＳ 明朝"/>
          <w:b/>
          <w:szCs w:val="22"/>
          <w:lang w:eastAsia="ja-JP"/>
        </w:rPr>
        <w:t xml:space="preserve"> as proposed in 1</w:t>
      </w:r>
      <w:r w:rsidR="00B5616B" w:rsidRPr="005B453E">
        <w:rPr>
          <w:rFonts w:eastAsia="ＭＳ 明朝" w:hint="eastAsia"/>
          <w:b/>
          <w:szCs w:val="22"/>
          <w:lang w:eastAsia="ja-JP"/>
        </w:rPr>
        <w:t>8</w:t>
      </w:r>
      <w:r w:rsidR="00E96A8D" w:rsidRPr="005B453E">
        <w:rPr>
          <w:rFonts w:eastAsia="ＭＳ 明朝"/>
          <w:b/>
          <w:szCs w:val="22"/>
          <w:lang w:eastAsia="ja-JP"/>
        </w:rPr>
        <w:t>/</w:t>
      </w:r>
      <w:r w:rsidR="00BE29F0" w:rsidRPr="005B453E">
        <w:rPr>
          <w:rFonts w:eastAsia="ＭＳ 明朝" w:hint="eastAsia"/>
          <w:b/>
          <w:szCs w:val="22"/>
          <w:lang w:eastAsia="ja-JP"/>
        </w:rPr>
        <w:t>0275r0</w:t>
      </w:r>
      <w:r w:rsidRPr="005B453E">
        <w:rPr>
          <w:rFonts w:eastAsia="Times New Roman"/>
          <w:b/>
          <w:bCs/>
          <w:szCs w:val="22"/>
          <w:lang w:val="en-US" w:eastAsia="ja-JP"/>
        </w:rPr>
        <w:t>?</w:t>
      </w:r>
    </w:p>
    <w:p w:rsidR="00515BE9" w:rsidRPr="005B453E" w:rsidRDefault="00515BE9" w:rsidP="00AC3256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:rsidR="00D0429D" w:rsidRPr="005B453E" w:rsidRDefault="00D0429D" w:rsidP="00AC3256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:rsidR="00ED2F43" w:rsidRPr="005B453E" w:rsidRDefault="00ED2F43" w:rsidP="00AC3256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  <w:r w:rsidRPr="005B453E">
        <w:rPr>
          <w:rFonts w:eastAsia="ＭＳ 明朝" w:hint="eastAsia"/>
          <w:b/>
          <w:szCs w:val="22"/>
          <w:u w:val="single"/>
          <w:lang w:val="en-US" w:eastAsia="ja-JP"/>
        </w:rPr>
        <w:t>References</w:t>
      </w:r>
    </w:p>
    <w:p w:rsidR="001E788B" w:rsidRPr="005B453E" w:rsidRDefault="006D6EB5" w:rsidP="00AC3256">
      <w:pPr>
        <w:autoSpaceDE w:val="0"/>
        <w:autoSpaceDN w:val="0"/>
        <w:adjustRightInd w:val="0"/>
        <w:jc w:val="left"/>
        <w:rPr>
          <w:rFonts w:eastAsia="ＭＳ 明朝"/>
          <w:szCs w:val="22"/>
          <w:lang w:val="en-US" w:eastAsia="ja-JP"/>
        </w:rPr>
      </w:pPr>
      <w:r w:rsidRPr="005B453E">
        <w:rPr>
          <w:rFonts w:eastAsia="ＭＳ 明朝" w:hint="eastAsia"/>
          <w:szCs w:val="22"/>
          <w:lang w:val="en-US" w:eastAsia="ja-JP"/>
        </w:rPr>
        <w:t xml:space="preserve"> [1</w:t>
      </w:r>
      <w:r w:rsidR="001E788B" w:rsidRPr="005B453E">
        <w:rPr>
          <w:rFonts w:eastAsia="ＭＳ 明朝" w:hint="eastAsia"/>
          <w:szCs w:val="22"/>
          <w:lang w:val="en-US" w:eastAsia="ja-JP"/>
        </w:rPr>
        <w:t>] Draft P802.11ay D1.0</w:t>
      </w:r>
    </w:p>
    <w:p w:rsidR="000307B2" w:rsidRPr="005B453E" w:rsidRDefault="000307B2" w:rsidP="00AC3256">
      <w:pPr>
        <w:autoSpaceDE w:val="0"/>
        <w:autoSpaceDN w:val="0"/>
        <w:adjustRightInd w:val="0"/>
        <w:jc w:val="left"/>
        <w:rPr>
          <w:i/>
          <w:szCs w:val="22"/>
          <w:lang w:val="en-US"/>
        </w:rPr>
      </w:pPr>
    </w:p>
    <w:sectPr w:rsidR="000307B2" w:rsidRPr="005B453E" w:rsidSect="00F04FA0">
      <w:headerReference w:type="default" r:id="rId23"/>
      <w:footerReference w:type="default" r:id="rId24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3B2" w:rsidRDefault="003353B2">
      <w:r>
        <w:separator/>
      </w:r>
    </w:p>
  </w:endnote>
  <w:endnote w:type="continuationSeparator" w:id="0">
    <w:p w:rsidR="003353B2" w:rsidRDefault="0033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8A" w:rsidRDefault="00870C3D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654E8A">
        <w:t>Submission</w:t>
      </w:r>
    </w:fldSimple>
    <w:r w:rsidR="00654E8A">
      <w:tab/>
      <w:t xml:space="preserve">page </w:t>
    </w:r>
    <w:r w:rsidR="00654E8A">
      <w:fldChar w:fldCharType="begin"/>
    </w:r>
    <w:r w:rsidR="00654E8A">
      <w:instrText xml:space="preserve">page </w:instrText>
    </w:r>
    <w:r w:rsidR="00654E8A">
      <w:fldChar w:fldCharType="separate"/>
    </w:r>
    <w:r w:rsidR="00925915">
      <w:rPr>
        <w:noProof/>
      </w:rPr>
      <w:t>3</w:t>
    </w:r>
    <w:r w:rsidR="00654E8A">
      <w:rPr>
        <w:noProof/>
      </w:rPr>
      <w:fldChar w:fldCharType="end"/>
    </w:r>
    <w:r w:rsidR="00654E8A">
      <w:tab/>
    </w:r>
    <w:fldSimple w:instr=" COMMENTS  \* MERGEFORMAT ">
      <w:r w:rsidR="00654E8A">
        <w:rPr>
          <w:rFonts w:eastAsia="ＭＳ 明朝" w:hint="eastAsia"/>
          <w:lang w:eastAsia="ja-JP"/>
        </w:rPr>
        <w:t>Hiroyuki Motozuka</w:t>
      </w:r>
      <w:r w:rsidR="00654E8A">
        <w:t xml:space="preserve"> (</w:t>
      </w:r>
      <w:r w:rsidR="00654E8A">
        <w:rPr>
          <w:lang w:eastAsia="zh-CN"/>
        </w:rPr>
        <w:t>Panasonic</w:t>
      </w:r>
      <w:r w:rsidR="00654E8A">
        <w:t>)</w:t>
      </w:r>
    </w:fldSimple>
  </w:p>
  <w:p w:rsidR="00654E8A" w:rsidRPr="00F60BF6" w:rsidRDefault="00654E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3B2" w:rsidRDefault="003353B2">
      <w:r>
        <w:separator/>
      </w:r>
    </w:p>
  </w:footnote>
  <w:footnote w:type="continuationSeparator" w:id="0">
    <w:p w:rsidR="003353B2" w:rsidRDefault="00335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8A" w:rsidRPr="00547B1B" w:rsidRDefault="00477797">
    <w:pPr>
      <w:pStyle w:val="a5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rPr>
        <w:rFonts w:eastAsia="ＭＳ 明朝" w:hint="eastAsia"/>
        <w:lang w:eastAsia="ja-JP"/>
      </w:rPr>
      <w:t>Feburary</w:t>
    </w:r>
    <w:r w:rsidR="00654E8A">
      <w:rPr>
        <w:rFonts w:hint="eastAsia"/>
        <w:lang w:eastAsia="zh-CN"/>
      </w:rPr>
      <w:t xml:space="preserve"> 20</w:t>
    </w:r>
    <w:r w:rsidR="00654E8A">
      <w:rPr>
        <w:rFonts w:eastAsia="ＭＳ 明朝" w:hint="eastAsia"/>
        <w:lang w:eastAsia="ja-JP"/>
      </w:rPr>
      <w:t>18</w:t>
    </w:r>
    <w:r w:rsidR="00654E8A">
      <w:tab/>
    </w:r>
    <w:r w:rsidR="00654E8A">
      <w:tab/>
    </w:r>
    <w:fldSimple w:instr=" TITLE  \* MERGEFORMAT ">
      <w:r w:rsidR="00654E8A">
        <w:t>doc.: IEEE 802.11-1</w:t>
      </w:r>
      <w:r w:rsidR="00654E8A">
        <w:rPr>
          <w:rFonts w:eastAsia="ＭＳ 明朝" w:hint="eastAsia"/>
          <w:lang w:eastAsia="ja-JP"/>
        </w:rPr>
        <w:t>8</w:t>
      </w:r>
      <w:r w:rsidR="00654E8A">
        <w:t>/</w:t>
      </w:r>
      <w:r w:rsidR="00BE29F0">
        <w:rPr>
          <w:rFonts w:eastAsia="ＭＳ 明朝" w:hint="eastAsia"/>
          <w:lang w:eastAsia="ja-JP"/>
        </w:rPr>
        <w:t>0275</w:t>
      </w:r>
      <w:r w:rsidR="00654E8A">
        <w:rPr>
          <w:rFonts w:eastAsia="ＭＳ 明朝" w:hint="eastAsia"/>
          <w:lang w:eastAsia="ja-JP"/>
        </w:rPr>
        <w:t>r</w:t>
      </w:r>
    </w:fldSimple>
    <w:r w:rsidR="00BE29F0">
      <w:rPr>
        <w:rFonts w:eastAsia="ＭＳ 明朝" w:hint="eastAsia"/>
        <w:lang w:eastAsia="ja-JP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D7538F2"/>
    <w:multiLevelType w:val="multilevel"/>
    <w:tmpl w:val="99281F3A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23B7565E"/>
    <w:multiLevelType w:val="singleLevel"/>
    <w:tmpl w:val="24D214B8"/>
    <w:lvl w:ilvl="0">
      <w:start w:val="72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 w15:restartNumberingAfterBreak="0">
    <w:nsid w:val="315673DB"/>
    <w:multiLevelType w:val="hybridMultilevel"/>
    <w:tmpl w:val="4B62475E"/>
    <w:lvl w:ilvl="0" w:tplc="794A8EB6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F956C21"/>
    <w:multiLevelType w:val="multilevel"/>
    <w:tmpl w:val="B6381B9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3CE77C7"/>
    <w:multiLevelType w:val="multilevel"/>
    <w:tmpl w:val="A0FA194A"/>
    <w:lvl w:ilvl="0">
      <w:start w:val="30"/>
      <w:numFmt w:val="decimal"/>
      <w:lvlText w:val="%1"/>
      <w:lvlJc w:val="left"/>
      <w:pPr>
        <w:ind w:left="1035" w:hanging="1035"/>
      </w:pPr>
      <w:rPr>
        <w:rFonts w:eastAsia="ＭＳ 明朝"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eastAsia="ＭＳ 明朝" w:hint="default"/>
      </w:rPr>
    </w:lvl>
    <w:lvl w:ilvl="2">
      <w:start w:val="3"/>
      <w:numFmt w:val="decimal"/>
      <w:lvlText w:val="%1.%2.%3"/>
      <w:lvlJc w:val="left"/>
      <w:pPr>
        <w:ind w:left="1035" w:hanging="1035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eastAsia="ＭＳ 明朝"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1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Table 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4"/>
  </w:num>
  <w:num w:numId="5">
    <w:abstractNumId w:val="12"/>
  </w:num>
  <w:num w:numId="6">
    <w:abstractNumId w:val="1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8.3.5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27.5.2.6 "/>
        <w:legacy w:legacy="1" w:legacySpace="0" w:legacyIndent="0"/>
        <w:lvlJc w:val="left"/>
        <w:pPr>
          <w:ind w:left="170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27.5.2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8"/>
  </w:num>
  <w:num w:numId="11">
    <w:abstractNumId w:val="9"/>
  </w:num>
  <w:num w:numId="12">
    <w:abstractNumId w:val="2"/>
  </w:num>
  <w:num w:numId="13">
    <w:abstractNumId w:val="10"/>
  </w:num>
  <w:num w:numId="14">
    <w:abstractNumId w:val="5"/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7"/>
    <w:rsid w:val="0000086A"/>
    <w:rsid w:val="00002B6A"/>
    <w:rsid w:val="00005903"/>
    <w:rsid w:val="00006852"/>
    <w:rsid w:val="00006D1F"/>
    <w:rsid w:val="00007917"/>
    <w:rsid w:val="00010CA8"/>
    <w:rsid w:val="0001288C"/>
    <w:rsid w:val="000128B4"/>
    <w:rsid w:val="00013A38"/>
    <w:rsid w:val="000157E4"/>
    <w:rsid w:val="00016100"/>
    <w:rsid w:val="000172C9"/>
    <w:rsid w:val="000205DE"/>
    <w:rsid w:val="000225F0"/>
    <w:rsid w:val="0002471D"/>
    <w:rsid w:val="0002651F"/>
    <w:rsid w:val="00026850"/>
    <w:rsid w:val="0003054E"/>
    <w:rsid w:val="000307B2"/>
    <w:rsid w:val="000335ED"/>
    <w:rsid w:val="00034E96"/>
    <w:rsid w:val="000371D3"/>
    <w:rsid w:val="0003771E"/>
    <w:rsid w:val="000423B2"/>
    <w:rsid w:val="00042854"/>
    <w:rsid w:val="000441FA"/>
    <w:rsid w:val="0004629C"/>
    <w:rsid w:val="00050BB2"/>
    <w:rsid w:val="000514EB"/>
    <w:rsid w:val="00054023"/>
    <w:rsid w:val="00054966"/>
    <w:rsid w:val="00055A59"/>
    <w:rsid w:val="00055BFF"/>
    <w:rsid w:val="00055E6F"/>
    <w:rsid w:val="00055EB6"/>
    <w:rsid w:val="0005724D"/>
    <w:rsid w:val="00057CA6"/>
    <w:rsid w:val="000619B9"/>
    <w:rsid w:val="00061C3D"/>
    <w:rsid w:val="000627EF"/>
    <w:rsid w:val="0006290F"/>
    <w:rsid w:val="00063237"/>
    <w:rsid w:val="00065829"/>
    <w:rsid w:val="00066D8A"/>
    <w:rsid w:val="0006756F"/>
    <w:rsid w:val="00072045"/>
    <w:rsid w:val="000804D5"/>
    <w:rsid w:val="000818A3"/>
    <w:rsid w:val="00081BE3"/>
    <w:rsid w:val="000846C1"/>
    <w:rsid w:val="00084D76"/>
    <w:rsid w:val="00085B1F"/>
    <w:rsid w:val="00086BBE"/>
    <w:rsid w:val="00093ED9"/>
    <w:rsid w:val="000946B8"/>
    <w:rsid w:val="00094C78"/>
    <w:rsid w:val="00094F9F"/>
    <w:rsid w:val="000968EF"/>
    <w:rsid w:val="0009756B"/>
    <w:rsid w:val="000979D0"/>
    <w:rsid w:val="000A0DD2"/>
    <w:rsid w:val="000A3A66"/>
    <w:rsid w:val="000A4683"/>
    <w:rsid w:val="000A67A2"/>
    <w:rsid w:val="000A6B90"/>
    <w:rsid w:val="000A6CC0"/>
    <w:rsid w:val="000B784B"/>
    <w:rsid w:val="000B79CD"/>
    <w:rsid w:val="000C0AF2"/>
    <w:rsid w:val="000C0CC2"/>
    <w:rsid w:val="000C161A"/>
    <w:rsid w:val="000C1F61"/>
    <w:rsid w:val="000C2EF6"/>
    <w:rsid w:val="000C3981"/>
    <w:rsid w:val="000C3E83"/>
    <w:rsid w:val="000C5F3E"/>
    <w:rsid w:val="000C60C1"/>
    <w:rsid w:val="000D01A8"/>
    <w:rsid w:val="000D2869"/>
    <w:rsid w:val="000D3CFB"/>
    <w:rsid w:val="000D58AE"/>
    <w:rsid w:val="000D7494"/>
    <w:rsid w:val="000E0CE9"/>
    <w:rsid w:val="000E2CA6"/>
    <w:rsid w:val="000E3163"/>
    <w:rsid w:val="000E36C2"/>
    <w:rsid w:val="000E3701"/>
    <w:rsid w:val="000E4DD1"/>
    <w:rsid w:val="000E5450"/>
    <w:rsid w:val="000F09C1"/>
    <w:rsid w:val="000F5F2B"/>
    <w:rsid w:val="000F6CED"/>
    <w:rsid w:val="000F7838"/>
    <w:rsid w:val="000F7A21"/>
    <w:rsid w:val="000F7EC8"/>
    <w:rsid w:val="00101084"/>
    <w:rsid w:val="00101596"/>
    <w:rsid w:val="00101ED0"/>
    <w:rsid w:val="0010281E"/>
    <w:rsid w:val="0010363F"/>
    <w:rsid w:val="00104B1A"/>
    <w:rsid w:val="0010567A"/>
    <w:rsid w:val="0010693D"/>
    <w:rsid w:val="001072C2"/>
    <w:rsid w:val="00107D00"/>
    <w:rsid w:val="00110B78"/>
    <w:rsid w:val="00111F98"/>
    <w:rsid w:val="001171AF"/>
    <w:rsid w:val="00117386"/>
    <w:rsid w:val="001178D2"/>
    <w:rsid w:val="00117BF7"/>
    <w:rsid w:val="00121628"/>
    <w:rsid w:val="00122858"/>
    <w:rsid w:val="001278AD"/>
    <w:rsid w:val="00132348"/>
    <w:rsid w:val="001323E9"/>
    <w:rsid w:val="00135ABF"/>
    <w:rsid w:val="00141692"/>
    <w:rsid w:val="001417F3"/>
    <w:rsid w:val="001419B6"/>
    <w:rsid w:val="00141CA4"/>
    <w:rsid w:val="00141E86"/>
    <w:rsid w:val="0014280C"/>
    <w:rsid w:val="00142F85"/>
    <w:rsid w:val="00143077"/>
    <w:rsid w:val="00143B8C"/>
    <w:rsid w:val="00146B6F"/>
    <w:rsid w:val="001501CE"/>
    <w:rsid w:val="0015128C"/>
    <w:rsid w:val="001524EB"/>
    <w:rsid w:val="00154623"/>
    <w:rsid w:val="00155F03"/>
    <w:rsid w:val="00157906"/>
    <w:rsid w:val="00157AE7"/>
    <w:rsid w:val="0016046C"/>
    <w:rsid w:val="00160E79"/>
    <w:rsid w:val="001610A7"/>
    <w:rsid w:val="00161BE7"/>
    <w:rsid w:val="00162976"/>
    <w:rsid w:val="0016377C"/>
    <w:rsid w:val="00163BB2"/>
    <w:rsid w:val="001640E9"/>
    <w:rsid w:val="00166634"/>
    <w:rsid w:val="00167953"/>
    <w:rsid w:val="00167C6D"/>
    <w:rsid w:val="00170A3C"/>
    <w:rsid w:val="00172F06"/>
    <w:rsid w:val="00173271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A34"/>
    <w:rsid w:val="00191F9E"/>
    <w:rsid w:val="00192A58"/>
    <w:rsid w:val="00192A5B"/>
    <w:rsid w:val="00192BD2"/>
    <w:rsid w:val="00195EBE"/>
    <w:rsid w:val="001967FC"/>
    <w:rsid w:val="00197592"/>
    <w:rsid w:val="001A0156"/>
    <w:rsid w:val="001A0F38"/>
    <w:rsid w:val="001A2591"/>
    <w:rsid w:val="001A5286"/>
    <w:rsid w:val="001A597C"/>
    <w:rsid w:val="001B2538"/>
    <w:rsid w:val="001B2CC4"/>
    <w:rsid w:val="001B31A6"/>
    <w:rsid w:val="001B4FC3"/>
    <w:rsid w:val="001B693F"/>
    <w:rsid w:val="001C160D"/>
    <w:rsid w:val="001C1ADC"/>
    <w:rsid w:val="001C34F7"/>
    <w:rsid w:val="001C52AD"/>
    <w:rsid w:val="001C5AFD"/>
    <w:rsid w:val="001C6548"/>
    <w:rsid w:val="001C7EAD"/>
    <w:rsid w:val="001D0C1E"/>
    <w:rsid w:val="001D11EB"/>
    <w:rsid w:val="001D5075"/>
    <w:rsid w:val="001D51F1"/>
    <w:rsid w:val="001D5371"/>
    <w:rsid w:val="001D6097"/>
    <w:rsid w:val="001D624C"/>
    <w:rsid w:val="001D6DD2"/>
    <w:rsid w:val="001D723B"/>
    <w:rsid w:val="001D7BA8"/>
    <w:rsid w:val="001E048B"/>
    <w:rsid w:val="001E0942"/>
    <w:rsid w:val="001E1245"/>
    <w:rsid w:val="001E528C"/>
    <w:rsid w:val="001E5896"/>
    <w:rsid w:val="001E6213"/>
    <w:rsid w:val="001E768F"/>
    <w:rsid w:val="001E788B"/>
    <w:rsid w:val="001F07B2"/>
    <w:rsid w:val="001F0DC7"/>
    <w:rsid w:val="001F1C30"/>
    <w:rsid w:val="001F546A"/>
    <w:rsid w:val="001F6580"/>
    <w:rsid w:val="001F796D"/>
    <w:rsid w:val="002060CE"/>
    <w:rsid w:val="0020642D"/>
    <w:rsid w:val="002071F4"/>
    <w:rsid w:val="00207CEB"/>
    <w:rsid w:val="00210200"/>
    <w:rsid w:val="00210485"/>
    <w:rsid w:val="00210E83"/>
    <w:rsid w:val="0021113C"/>
    <w:rsid w:val="00212A9C"/>
    <w:rsid w:val="00217BB3"/>
    <w:rsid w:val="002220B7"/>
    <w:rsid w:val="00222EFA"/>
    <w:rsid w:val="00223C46"/>
    <w:rsid w:val="00223E1F"/>
    <w:rsid w:val="002246AB"/>
    <w:rsid w:val="0022705C"/>
    <w:rsid w:val="00230372"/>
    <w:rsid w:val="002322A5"/>
    <w:rsid w:val="0023446B"/>
    <w:rsid w:val="00234A74"/>
    <w:rsid w:val="00234DB9"/>
    <w:rsid w:val="00235DA4"/>
    <w:rsid w:val="002364BF"/>
    <w:rsid w:val="002408B0"/>
    <w:rsid w:val="002410DA"/>
    <w:rsid w:val="0024174B"/>
    <w:rsid w:val="00241783"/>
    <w:rsid w:val="00242180"/>
    <w:rsid w:val="00243052"/>
    <w:rsid w:val="0024360B"/>
    <w:rsid w:val="00243D49"/>
    <w:rsid w:val="00244006"/>
    <w:rsid w:val="002443F4"/>
    <w:rsid w:val="0024525A"/>
    <w:rsid w:val="002465FB"/>
    <w:rsid w:val="00250605"/>
    <w:rsid w:val="00250A92"/>
    <w:rsid w:val="00250CF0"/>
    <w:rsid w:val="002534BA"/>
    <w:rsid w:val="002545BF"/>
    <w:rsid w:val="0025518D"/>
    <w:rsid w:val="00261124"/>
    <w:rsid w:val="002633B1"/>
    <w:rsid w:val="00264EFE"/>
    <w:rsid w:val="00267354"/>
    <w:rsid w:val="002676E9"/>
    <w:rsid w:val="002677DF"/>
    <w:rsid w:val="00270B40"/>
    <w:rsid w:val="002727FA"/>
    <w:rsid w:val="00272C85"/>
    <w:rsid w:val="00273983"/>
    <w:rsid w:val="00276202"/>
    <w:rsid w:val="002777BE"/>
    <w:rsid w:val="00280D2E"/>
    <w:rsid w:val="0028292F"/>
    <w:rsid w:val="0028573D"/>
    <w:rsid w:val="0029020B"/>
    <w:rsid w:val="00290C6D"/>
    <w:rsid w:val="00291DF9"/>
    <w:rsid w:val="002929AC"/>
    <w:rsid w:val="00293F73"/>
    <w:rsid w:val="0029575F"/>
    <w:rsid w:val="002A0C93"/>
    <w:rsid w:val="002A22AE"/>
    <w:rsid w:val="002A3512"/>
    <w:rsid w:val="002A3868"/>
    <w:rsid w:val="002A390D"/>
    <w:rsid w:val="002A4A5B"/>
    <w:rsid w:val="002A54E1"/>
    <w:rsid w:val="002A7D97"/>
    <w:rsid w:val="002B2EB4"/>
    <w:rsid w:val="002B3890"/>
    <w:rsid w:val="002B436C"/>
    <w:rsid w:val="002B6510"/>
    <w:rsid w:val="002C2E65"/>
    <w:rsid w:val="002C4259"/>
    <w:rsid w:val="002D02D7"/>
    <w:rsid w:val="002D2EA5"/>
    <w:rsid w:val="002D4185"/>
    <w:rsid w:val="002D44BE"/>
    <w:rsid w:val="002D6B31"/>
    <w:rsid w:val="002E13B4"/>
    <w:rsid w:val="002E17AD"/>
    <w:rsid w:val="002E1D58"/>
    <w:rsid w:val="002E36EB"/>
    <w:rsid w:val="002E3800"/>
    <w:rsid w:val="002E5056"/>
    <w:rsid w:val="002E51D6"/>
    <w:rsid w:val="002E5753"/>
    <w:rsid w:val="002E5F69"/>
    <w:rsid w:val="002E6EBF"/>
    <w:rsid w:val="002F0431"/>
    <w:rsid w:val="002F098B"/>
    <w:rsid w:val="002F0E81"/>
    <w:rsid w:val="002F1040"/>
    <w:rsid w:val="002F17F0"/>
    <w:rsid w:val="002F1CF9"/>
    <w:rsid w:val="002F1EAA"/>
    <w:rsid w:val="002F2390"/>
    <w:rsid w:val="002F33DE"/>
    <w:rsid w:val="002F42D9"/>
    <w:rsid w:val="002F493B"/>
    <w:rsid w:val="002F5AB0"/>
    <w:rsid w:val="002F6992"/>
    <w:rsid w:val="002F70D6"/>
    <w:rsid w:val="003009D6"/>
    <w:rsid w:val="00303AA2"/>
    <w:rsid w:val="0030498F"/>
    <w:rsid w:val="00305F50"/>
    <w:rsid w:val="003063FB"/>
    <w:rsid w:val="003105D0"/>
    <w:rsid w:val="003111D3"/>
    <w:rsid w:val="003111DF"/>
    <w:rsid w:val="00311632"/>
    <w:rsid w:val="00314DE7"/>
    <w:rsid w:val="003165E2"/>
    <w:rsid w:val="0031742F"/>
    <w:rsid w:val="00317F72"/>
    <w:rsid w:val="00320E15"/>
    <w:rsid w:val="003241C9"/>
    <w:rsid w:val="00325031"/>
    <w:rsid w:val="00325D11"/>
    <w:rsid w:val="00326606"/>
    <w:rsid w:val="00331E45"/>
    <w:rsid w:val="0033263A"/>
    <w:rsid w:val="003333DD"/>
    <w:rsid w:val="00333DDF"/>
    <w:rsid w:val="00334998"/>
    <w:rsid w:val="003353B2"/>
    <w:rsid w:val="003368A8"/>
    <w:rsid w:val="003369B1"/>
    <w:rsid w:val="00341410"/>
    <w:rsid w:val="00341C5E"/>
    <w:rsid w:val="00343E99"/>
    <w:rsid w:val="00344903"/>
    <w:rsid w:val="00346FF3"/>
    <w:rsid w:val="003471BA"/>
    <w:rsid w:val="00347A17"/>
    <w:rsid w:val="0035042C"/>
    <w:rsid w:val="0035109A"/>
    <w:rsid w:val="0035227C"/>
    <w:rsid w:val="00353808"/>
    <w:rsid w:val="003541FA"/>
    <w:rsid w:val="00356FE9"/>
    <w:rsid w:val="0035701E"/>
    <w:rsid w:val="0035725E"/>
    <w:rsid w:val="00357260"/>
    <w:rsid w:val="00357B12"/>
    <w:rsid w:val="00360AD1"/>
    <w:rsid w:val="003632E2"/>
    <w:rsid w:val="003639EB"/>
    <w:rsid w:val="003642E1"/>
    <w:rsid w:val="00365676"/>
    <w:rsid w:val="0036569A"/>
    <w:rsid w:val="00365E37"/>
    <w:rsid w:val="003701D6"/>
    <w:rsid w:val="00370D54"/>
    <w:rsid w:val="003717D1"/>
    <w:rsid w:val="0037198F"/>
    <w:rsid w:val="00375449"/>
    <w:rsid w:val="003754AA"/>
    <w:rsid w:val="00375D98"/>
    <w:rsid w:val="003837F2"/>
    <w:rsid w:val="00383CE6"/>
    <w:rsid w:val="00384647"/>
    <w:rsid w:val="0038741C"/>
    <w:rsid w:val="00390150"/>
    <w:rsid w:val="003929FD"/>
    <w:rsid w:val="00395A91"/>
    <w:rsid w:val="00397A0B"/>
    <w:rsid w:val="003A0A25"/>
    <w:rsid w:val="003A1172"/>
    <w:rsid w:val="003A13D9"/>
    <w:rsid w:val="003A19F9"/>
    <w:rsid w:val="003A206A"/>
    <w:rsid w:val="003A3948"/>
    <w:rsid w:val="003A3F11"/>
    <w:rsid w:val="003A60F7"/>
    <w:rsid w:val="003A642D"/>
    <w:rsid w:val="003B051C"/>
    <w:rsid w:val="003B2E39"/>
    <w:rsid w:val="003C0B0B"/>
    <w:rsid w:val="003C0F5C"/>
    <w:rsid w:val="003C3629"/>
    <w:rsid w:val="003C6D4E"/>
    <w:rsid w:val="003D0139"/>
    <w:rsid w:val="003D1229"/>
    <w:rsid w:val="003D48A7"/>
    <w:rsid w:val="003D5CB0"/>
    <w:rsid w:val="003D78AF"/>
    <w:rsid w:val="003E013D"/>
    <w:rsid w:val="003E1243"/>
    <w:rsid w:val="003E2459"/>
    <w:rsid w:val="003E2E63"/>
    <w:rsid w:val="003E4321"/>
    <w:rsid w:val="003E6F16"/>
    <w:rsid w:val="003F074F"/>
    <w:rsid w:val="003F11D9"/>
    <w:rsid w:val="003F38D6"/>
    <w:rsid w:val="003F3CC2"/>
    <w:rsid w:val="003F4755"/>
    <w:rsid w:val="003F495E"/>
    <w:rsid w:val="003F4B3C"/>
    <w:rsid w:val="003F6A2D"/>
    <w:rsid w:val="003F78AB"/>
    <w:rsid w:val="003F79E9"/>
    <w:rsid w:val="00400927"/>
    <w:rsid w:val="0040358F"/>
    <w:rsid w:val="00405322"/>
    <w:rsid w:val="0041125A"/>
    <w:rsid w:val="0041233C"/>
    <w:rsid w:val="00412C5C"/>
    <w:rsid w:val="00413167"/>
    <w:rsid w:val="00414100"/>
    <w:rsid w:val="004153A5"/>
    <w:rsid w:val="00416503"/>
    <w:rsid w:val="00416C5E"/>
    <w:rsid w:val="00422303"/>
    <w:rsid w:val="00425B89"/>
    <w:rsid w:val="00432950"/>
    <w:rsid w:val="00433406"/>
    <w:rsid w:val="00433BF2"/>
    <w:rsid w:val="00435B8B"/>
    <w:rsid w:val="004406EA"/>
    <w:rsid w:val="004409CE"/>
    <w:rsid w:val="00440C98"/>
    <w:rsid w:val="004410E8"/>
    <w:rsid w:val="00442037"/>
    <w:rsid w:val="00443B20"/>
    <w:rsid w:val="00444301"/>
    <w:rsid w:val="0044570A"/>
    <w:rsid w:val="00446FEE"/>
    <w:rsid w:val="00447493"/>
    <w:rsid w:val="00447C9A"/>
    <w:rsid w:val="00451CDF"/>
    <w:rsid w:val="00453BB3"/>
    <w:rsid w:val="00454BC3"/>
    <w:rsid w:val="00455F9B"/>
    <w:rsid w:val="004574B5"/>
    <w:rsid w:val="00457AB0"/>
    <w:rsid w:val="004622B1"/>
    <w:rsid w:val="00463D62"/>
    <w:rsid w:val="00464BD4"/>
    <w:rsid w:val="00465459"/>
    <w:rsid w:val="004655C4"/>
    <w:rsid w:val="00465DBF"/>
    <w:rsid w:val="00466A08"/>
    <w:rsid w:val="004701F8"/>
    <w:rsid w:val="004706E1"/>
    <w:rsid w:val="004754AC"/>
    <w:rsid w:val="00475AD7"/>
    <w:rsid w:val="00477797"/>
    <w:rsid w:val="004818C8"/>
    <w:rsid w:val="004853E9"/>
    <w:rsid w:val="00486C54"/>
    <w:rsid w:val="00487C22"/>
    <w:rsid w:val="0049281B"/>
    <w:rsid w:val="0049405F"/>
    <w:rsid w:val="00496822"/>
    <w:rsid w:val="00496A67"/>
    <w:rsid w:val="004A046D"/>
    <w:rsid w:val="004A5446"/>
    <w:rsid w:val="004A762E"/>
    <w:rsid w:val="004A7932"/>
    <w:rsid w:val="004B064B"/>
    <w:rsid w:val="004B16A2"/>
    <w:rsid w:val="004B2A3C"/>
    <w:rsid w:val="004B2B71"/>
    <w:rsid w:val="004B36B2"/>
    <w:rsid w:val="004B3781"/>
    <w:rsid w:val="004B546D"/>
    <w:rsid w:val="004B5698"/>
    <w:rsid w:val="004B7327"/>
    <w:rsid w:val="004B77BB"/>
    <w:rsid w:val="004C1C53"/>
    <w:rsid w:val="004C2573"/>
    <w:rsid w:val="004C51D1"/>
    <w:rsid w:val="004C670C"/>
    <w:rsid w:val="004D0106"/>
    <w:rsid w:val="004D0485"/>
    <w:rsid w:val="004D0C25"/>
    <w:rsid w:val="004D3B3F"/>
    <w:rsid w:val="004D5EBB"/>
    <w:rsid w:val="004D6336"/>
    <w:rsid w:val="004D6850"/>
    <w:rsid w:val="004E0917"/>
    <w:rsid w:val="004E13CF"/>
    <w:rsid w:val="004E228E"/>
    <w:rsid w:val="004E31BE"/>
    <w:rsid w:val="004E31E8"/>
    <w:rsid w:val="004E3695"/>
    <w:rsid w:val="004E4DB1"/>
    <w:rsid w:val="004E5276"/>
    <w:rsid w:val="004F04A8"/>
    <w:rsid w:val="004F10C4"/>
    <w:rsid w:val="004F10D5"/>
    <w:rsid w:val="004F23A2"/>
    <w:rsid w:val="004F542F"/>
    <w:rsid w:val="004F6745"/>
    <w:rsid w:val="004F6D90"/>
    <w:rsid w:val="00503EE9"/>
    <w:rsid w:val="005055AF"/>
    <w:rsid w:val="00512AA7"/>
    <w:rsid w:val="0051498D"/>
    <w:rsid w:val="00515BE9"/>
    <w:rsid w:val="00515CE3"/>
    <w:rsid w:val="00515F3E"/>
    <w:rsid w:val="005162BF"/>
    <w:rsid w:val="00516605"/>
    <w:rsid w:val="00516697"/>
    <w:rsid w:val="00517607"/>
    <w:rsid w:val="00517ECA"/>
    <w:rsid w:val="00520762"/>
    <w:rsid w:val="00520DE2"/>
    <w:rsid w:val="00523CD4"/>
    <w:rsid w:val="00523D51"/>
    <w:rsid w:val="0052713E"/>
    <w:rsid w:val="0052741F"/>
    <w:rsid w:val="0053207D"/>
    <w:rsid w:val="005352E1"/>
    <w:rsid w:val="00536062"/>
    <w:rsid w:val="005364A1"/>
    <w:rsid w:val="0053793F"/>
    <w:rsid w:val="005413DE"/>
    <w:rsid w:val="005419DF"/>
    <w:rsid w:val="00545AAE"/>
    <w:rsid w:val="00547544"/>
    <w:rsid w:val="00547A2F"/>
    <w:rsid w:val="00547B1B"/>
    <w:rsid w:val="00550228"/>
    <w:rsid w:val="00550C84"/>
    <w:rsid w:val="00551162"/>
    <w:rsid w:val="0055128B"/>
    <w:rsid w:val="0055267F"/>
    <w:rsid w:val="00552975"/>
    <w:rsid w:val="00557461"/>
    <w:rsid w:val="00563DA8"/>
    <w:rsid w:val="0056504A"/>
    <w:rsid w:val="005653C8"/>
    <w:rsid w:val="00571969"/>
    <w:rsid w:val="00571DE6"/>
    <w:rsid w:val="00572580"/>
    <w:rsid w:val="00572627"/>
    <w:rsid w:val="00572898"/>
    <w:rsid w:val="00572948"/>
    <w:rsid w:val="00572C38"/>
    <w:rsid w:val="00573E44"/>
    <w:rsid w:val="00574A28"/>
    <w:rsid w:val="00575138"/>
    <w:rsid w:val="00576254"/>
    <w:rsid w:val="00576508"/>
    <w:rsid w:val="00576EEC"/>
    <w:rsid w:val="00577FD0"/>
    <w:rsid w:val="00581754"/>
    <w:rsid w:val="00583665"/>
    <w:rsid w:val="00583917"/>
    <w:rsid w:val="00584126"/>
    <w:rsid w:val="005865F3"/>
    <w:rsid w:val="0059174B"/>
    <w:rsid w:val="0059472C"/>
    <w:rsid w:val="00597B4D"/>
    <w:rsid w:val="005A086E"/>
    <w:rsid w:val="005A0FCC"/>
    <w:rsid w:val="005A214C"/>
    <w:rsid w:val="005A36B9"/>
    <w:rsid w:val="005A3752"/>
    <w:rsid w:val="005A3CE6"/>
    <w:rsid w:val="005A4D61"/>
    <w:rsid w:val="005A744A"/>
    <w:rsid w:val="005B08E0"/>
    <w:rsid w:val="005B33DA"/>
    <w:rsid w:val="005B341A"/>
    <w:rsid w:val="005B3884"/>
    <w:rsid w:val="005B453E"/>
    <w:rsid w:val="005B578D"/>
    <w:rsid w:val="005C1317"/>
    <w:rsid w:val="005C1485"/>
    <w:rsid w:val="005C202F"/>
    <w:rsid w:val="005C3139"/>
    <w:rsid w:val="005C5A0B"/>
    <w:rsid w:val="005C6813"/>
    <w:rsid w:val="005D0034"/>
    <w:rsid w:val="005D055E"/>
    <w:rsid w:val="005D428F"/>
    <w:rsid w:val="005D4B51"/>
    <w:rsid w:val="005D4DF2"/>
    <w:rsid w:val="005D5886"/>
    <w:rsid w:val="005E77EC"/>
    <w:rsid w:val="005F08F3"/>
    <w:rsid w:val="005F3BED"/>
    <w:rsid w:val="005F68B6"/>
    <w:rsid w:val="00601010"/>
    <w:rsid w:val="0060168A"/>
    <w:rsid w:val="006026B8"/>
    <w:rsid w:val="00602DB5"/>
    <w:rsid w:val="00602EBF"/>
    <w:rsid w:val="00605CEB"/>
    <w:rsid w:val="00607051"/>
    <w:rsid w:val="00611E65"/>
    <w:rsid w:val="00613220"/>
    <w:rsid w:val="00613E61"/>
    <w:rsid w:val="0061435E"/>
    <w:rsid w:val="00614B04"/>
    <w:rsid w:val="00617076"/>
    <w:rsid w:val="006171E7"/>
    <w:rsid w:val="00617B93"/>
    <w:rsid w:val="00623EC7"/>
    <w:rsid w:val="0062440B"/>
    <w:rsid w:val="00624795"/>
    <w:rsid w:val="006258DC"/>
    <w:rsid w:val="00626733"/>
    <w:rsid w:val="0062675E"/>
    <w:rsid w:val="00630051"/>
    <w:rsid w:val="00630817"/>
    <w:rsid w:val="006330B8"/>
    <w:rsid w:val="00633209"/>
    <w:rsid w:val="006336DB"/>
    <w:rsid w:val="00635BC9"/>
    <w:rsid w:val="006429CB"/>
    <w:rsid w:val="00645B64"/>
    <w:rsid w:val="00650157"/>
    <w:rsid w:val="00654E8A"/>
    <w:rsid w:val="00655B2D"/>
    <w:rsid w:val="00660E4B"/>
    <w:rsid w:val="00661C19"/>
    <w:rsid w:val="00661C48"/>
    <w:rsid w:val="0066471B"/>
    <w:rsid w:val="00665646"/>
    <w:rsid w:val="00665D03"/>
    <w:rsid w:val="00670646"/>
    <w:rsid w:val="00672AE1"/>
    <w:rsid w:val="0067358E"/>
    <w:rsid w:val="00673CB4"/>
    <w:rsid w:val="00674FE5"/>
    <w:rsid w:val="006750D2"/>
    <w:rsid w:val="00675C9C"/>
    <w:rsid w:val="0068000F"/>
    <w:rsid w:val="0068013A"/>
    <w:rsid w:val="0068017B"/>
    <w:rsid w:val="00680E7D"/>
    <w:rsid w:val="00681C5C"/>
    <w:rsid w:val="006842FC"/>
    <w:rsid w:val="00684D32"/>
    <w:rsid w:val="0069281D"/>
    <w:rsid w:val="00695205"/>
    <w:rsid w:val="006963B9"/>
    <w:rsid w:val="0069771C"/>
    <w:rsid w:val="006A04D3"/>
    <w:rsid w:val="006A19CD"/>
    <w:rsid w:val="006A2103"/>
    <w:rsid w:val="006A701A"/>
    <w:rsid w:val="006A7B78"/>
    <w:rsid w:val="006B01D7"/>
    <w:rsid w:val="006B02BC"/>
    <w:rsid w:val="006B3970"/>
    <w:rsid w:val="006B3A90"/>
    <w:rsid w:val="006B64EF"/>
    <w:rsid w:val="006B7694"/>
    <w:rsid w:val="006B7A1B"/>
    <w:rsid w:val="006B7CA1"/>
    <w:rsid w:val="006C05CC"/>
    <w:rsid w:val="006C0727"/>
    <w:rsid w:val="006C0BA7"/>
    <w:rsid w:val="006C0D2E"/>
    <w:rsid w:val="006C0DEB"/>
    <w:rsid w:val="006C166A"/>
    <w:rsid w:val="006C1B47"/>
    <w:rsid w:val="006C2119"/>
    <w:rsid w:val="006C4C3A"/>
    <w:rsid w:val="006C5602"/>
    <w:rsid w:val="006C6A2E"/>
    <w:rsid w:val="006C720C"/>
    <w:rsid w:val="006D6EB5"/>
    <w:rsid w:val="006E145F"/>
    <w:rsid w:val="006E3014"/>
    <w:rsid w:val="006E4DDB"/>
    <w:rsid w:val="006F41B1"/>
    <w:rsid w:val="006F523F"/>
    <w:rsid w:val="006F56A2"/>
    <w:rsid w:val="006F7924"/>
    <w:rsid w:val="00700303"/>
    <w:rsid w:val="00701775"/>
    <w:rsid w:val="0070423B"/>
    <w:rsid w:val="00706603"/>
    <w:rsid w:val="007113CD"/>
    <w:rsid w:val="007123FC"/>
    <w:rsid w:val="007125C4"/>
    <w:rsid w:val="00713891"/>
    <w:rsid w:val="00715DA2"/>
    <w:rsid w:val="0071740E"/>
    <w:rsid w:val="00723C48"/>
    <w:rsid w:val="00725509"/>
    <w:rsid w:val="007277F8"/>
    <w:rsid w:val="00732253"/>
    <w:rsid w:val="00732A57"/>
    <w:rsid w:val="0073367B"/>
    <w:rsid w:val="00734ECF"/>
    <w:rsid w:val="00735672"/>
    <w:rsid w:val="007357D5"/>
    <w:rsid w:val="00735976"/>
    <w:rsid w:val="00736060"/>
    <w:rsid w:val="0073669F"/>
    <w:rsid w:val="00736FFD"/>
    <w:rsid w:val="00740BF0"/>
    <w:rsid w:val="00744990"/>
    <w:rsid w:val="0074755A"/>
    <w:rsid w:val="00750393"/>
    <w:rsid w:val="00750C7F"/>
    <w:rsid w:val="00752005"/>
    <w:rsid w:val="00753D2E"/>
    <w:rsid w:val="00754351"/>
    <w:rsid w:val="0075470F"/>
    <w:rsid w:val="00755E5A"/>
    <w:rsid w:val="007569D4"/>
    <w:rsid w:val="00757E85"/>
    <w:rsid w:val="00761ADC"/>
    <w:rsid w:val="00762838"/>
    <w:rsid w:val="007643A2"/>
    <w:rsid w:val="007646DE"/>
    <w:rsid w:val="00766BE1"/>
    <w:rsid w:val="007676F9"/>
    <w:rsid w:val="00767C0C"/>
    <w:rsid w:val="00767D32"/>
    <w:rsid w:val="00770572"/>
    <w:rsid w:val="00774B9A"/>
    <w:rsid w:val="0077520A"/>
    <w:rsid w:val="00775643"/>
    <w:rsid w:val="00776263"/>
    <w:rsid w:val="00777E6B"/>
    <w:rsid w:val="007854DA"/>
    <w:rsid w:val="0078550D"/>
    <w:rsid w:val="0078553D"/>
    <w:rsid w:val="00786324"/>
    <w:rsid w:val="0079029E"/>
    <w:rsid w:val="00791E38"/>
    <w:rsid w:val="007931DB"/>
    <w:rsid w:val="00794D12"/>
    <w:rsid w:val="00797443"/>
    <w:rsid w:val="007A054F"/>
    <w:rsid w:val="007A164A"/>
    <w:rsid w:val="007A1C50"/>
    <w:rsid w:val="007A2737"/>
    <w:rsid w:val="007A31F3"/>
    <w:rsid w:val="007A369A"/>
    <w:rsid w:val="007A3B91"/>
    <w:rsid w:val="007A3F63"/>
    <w:rsid w:val="007A665B"/>
    <w:rsid w:val="007A6CEE"/>
    <w:rsid w:val="007A7AA2"/>
    <w:rsid w:val="007A7E91"/>
    <w:rsid w:val="007B13D6"/>
    <w:rsid w:val="007B630A"/>
    <w:rsid w:val="007C0CF5"/>
    <w:rsid w:val="007C2C14"/>
    <w:rsid w:val="007C2D50"/>
    <w:rsid w:val="007C31A6"/>
    <w:rsid w:val="007C3403"/>
    <w:rsid w:val="007C3614"/>
    <w:rsid w:val="007C5A1F"/>
    <w:rsid w:val="007C6872"/>
    <w:rsid w:val="007D0235"/>
    <w:rsid w:val="007D0610"/>
    <w:rsid w:val="007D1689"/>
    <w:rsid w:val="007D2959"/>
    <w:rsid w:val="007D3A6F"/>
    <w:rsid w:val="007D5244"/>
    <w:rsid w:val="007D5E92"/>
    <w:rsid w:val="007D654F"/>
    <w:rsid w:val="007D784F"/>
    <w:rsid w:val="007E0666"/>
    <w:rsid w:val="007E19F4"/>
    <w:rsid w:val="007E52CB"/>
    <w:rsid w:val="007E5EC9"/>
    <w:rsid w:val="007E71CA"/>
    <w:rsid w:val="007E7F60"/>
    <w:rsid w:val="007F155B"/>
    <w:rsid w:val="007F38A1"/>
    <w:rsid w:val="007F3D4D"/>
    <w:rsid w:val="007F51F7"/>
    <w:rsid w:val="007F5A40"/>
    <w:rsid w:val="007F63D3"/>
    <w:rsid w:val="007F66C2"/>
    <w:rsid w:val="007F6DF2"/>
    <w:rsid w:val="007F7304"/>
    <w:rsid w:val="0080013D"/>
    <w:rsid w:val="008002E6"/>
    <w:rsid w:val="00800678"/>
    <w:rsid w:val="0080178C"/>
    <w:rsid w:val="008049D7"/>
    <w:rsid w:val="00805475"/>
    <w:rsid w:val="00805894"/>
    <w:rsid w:val="00810069"/>
    <w:rsid w:val="00811660"/>
    <w:rsid w:val="00812109"/>
    <w:rsid w:val="008143C4"/>
    <w:rsid w:val="00814BE2"/>
    <w:rsid w:val="00815854"/>
    <w:rsid w:val="008178D6"/>
    <w:rsid w:val="008202C1"/>
    <w:rsid w:val="008205D7"/>
    <w:rsid w:val="008222BC"/>
    <w:rsid w:val="0082569E"/>
    <w:rsid w:val="0083034E"/>
    <w:rsid w:val="00831E04"/>
    <w:rsid w:val="008330EF"/>
    <w:rsid w:val="00835728"/>
    <w:rsid w:val="00836169"/>
    <w:rsid w:val="00836D3B"/>
    <w:rsid w:val="00841049"/>
    <w:rsid w:val="0084240A"/>
    <w:rsid w:val="00842C84"/>
    <w:rsid w:val="0084346D"/>
    <w:rsid w:val="0084628F"/>
    <w:rsid w:val="008463DC"/>
    <w:rsid w:val="008478D0"/>
    <w:rsid w:val="00851917"/>
    <w:rsid w:val="00852179"/>
    <w:rsid w:val="00853DFA"/>
    <w:rsid w:val="00860B16"/>
    <w:rsid w:val="00866C54"/>
    <w:rsid w:val="008676A5"/>
    <w:rsid w:val="00870C3D"/>
    <w:rsid w:val="00870CA4"/>
    <w:rsid w:val="00870FD9"/>
    <w:rsid w:val="00872093"/>
    <w:rsid w:val="008723E4"/>
    <w:rsid w:val="008728C0"/>
    <w:rsid w:val="00872AB2"/>
    <w:rsid w:val="00872CB5"/>
    <w:rsid w:val="0087346F"/>
    <w:rsid w:val="00875B30"/>
    <w:rsid w:val="00877451"/>
    <w:rsid w:val="00877E0A"/>
    <w:rsid w:val="00877E77"/>
    <w:rsid w:val="00881494"/>
    <w:rsid w:val="0088556F"/>
    <w:rsid w:val="0089041F"/>
    <w:rsid w:val="00891193"/>
    <w:rsid w:val="008913E3"/>
    <w:rsid w:val="00891E52"/>
    <w:rsid w:val="00892294"/>
    <w:rsid w:val="00892C49"/>
    <w:rsid w:val="00893A01"/>
    <w:rsid w:val="008966CB"/>
    <w:rsid w:val="0089696C"/>
    <w:rsid w:val="008A003F"/>
    <w:rsid w:val="008A12D2"/>
    <w:rsid w:val="008A1939"/>
    <w:rsid w:val="008A34A9"/>
    <w:rsid w:val="008A706A"/>
    <w:rsid w:val="008A717F"/>
    <w:rsid w:val="008B3C1E"/>
    <w:rsid w:val="008B3F73"/>
    <w:rsid w:val="008C00F5"/>
    <w:rsid w:val="008C1136"/>
    <w:rsid w:val="008C4246"/>
    <w:rsid w:val="008D0042"/>
    <w:rsid w:val="008D029C"/>
    <w:rsid w:val="008D2869"/>
    <w:rsid w:val="008D716F"/>
    <w:rsid w:val="008D7590"/>
    <w:rsid w:val="008E1AA4"/>
    <w:rsid w:val="008E22EC"/>
    <w:rsid w:val="008E3855"/>
    <w:rsid w:val="008E3863"/>
    <w:rsid w:val="008E5784"/>
    <w:rsid w:val="008E6CB5"/>
    <w:rsid w:val="008E704B"/>
    <w:rsid w:val="008E7B8B"/>
    <w:rsid w:val="008E7EEE"/>
    <w:rsid w:val="008F0FF6"/>
    <w:rsid w:val="008F18DE"/>
    <w:rsid w:val="008F248D"/>
    <w:rsid w:val="008F254D"/>
    <w:rsid w:val="008F2B43"/>
    <w:rsid w:val="008F3AF0"/>
    <w:rsid w:val="008F49E7"/>
    <w:rsid w:val="008F4B97"/>
    <w:rsid w:val="008F6BB4"/>
    <w:rsid w:val="009007DC"/>
    <w:rsid w:val="00900C06"/>
    <w:rsid w:val="0090454C"/>
    <w:rsid w:val="00904A32"/>
    <w:rsid w:val="00905668"/>
    <w:rsid w:val="00905951"/>
    <w:rsid w:val="009069C1"/>
    <w:rsid w:val="00906FE5"/>
    <w:rsid w:val="00910A30"/>
    <w:rsid w:val="00912B81"/>
    <w:rsid w:val="00913028"/>
    <w:rsid w:val="00915310"/>
    <w:rsid w:val="00915F1B"/>
    <w:rsid w:val="00916022"/>
    <w:rsid w:val="009225BC"/>
    <w:rsid w:val="00922D4C"/>
    <w:rsid w:val="00922E81"/>
    <w:rsid w:val="009243BB"/>
    <w:rsid w:val="00924C9C"/>
    <w:rsid w:val="00925915"/>
    <w:rsid w:val="00926D2D"/>
    <w:rsid w:val="00927569"/>
    <w:rsid w:val="00930D15"/>
    <w:rsid w:val="00931D19"/>
    <w:rsid w:val="00933B73"/>
    <w:rsid w:val="00933C84"/>
    <w:rsid w:val="00934606"/>
    <w:rsid w:val="0093524C"/>
    <w:rsid w:val="009352C6"/>
    <w:rsid w:val="00936A8A"/>
    <w:rsid w:val="009376B5"/>
    <w:rsid w:val="00942A4D"/>
    <w:rsid w:val="00942BC0"/>
    <w:rsid w:val="0094301D"/>
    <w:rsid w:val="00943A55"/>
    <w:rsid w:val="00943E25"/>
    <w:rsid w:val="00944424"/>
    <w:rsid w:val="00952684"/>
    <w:rsid w:val="0095278A"/>
    <w:rsid w:val="00952C94"/>
    <w:rsid w:val="00954987"/>
    <w:rsid w:val="00960BFD"/>
    <w:rsid w:val="00962264"/>
    <w:rsid w:val="009625AA"/>
    <w:rsid w:val="00963A2C"/>
    <w:rsid w:val="0096400C"/>
    <w:rsid w:val="00964E0D"/>
    <w:rsid w:val="00965B4F"/>
    <w:rsid w:val="00967441"/>
    <w:rsid w:val="009679B0"/>
    <w:rsid w:val="00967C93"/>
    <w:rsid w:val="00971189"/>
    <w:rsid w:val="00972E37"/>
    <w:rsid w:val="0097503F"/>
    <w:rsid w:val="00975242"/>
    <w:rsid w:val="00977777"/>
    <w:rsid w:val="009801D5"/>
    <w:rsid w:val="009804D4"/>
    <w:rsid w:val="00982161"/>
    <w:rsid w:val="00984669"/>
    <w:rsid w:val="00984B9F"/>
    <w:rsid w:val="00986895"/>
    <w:rsid w:val="00991374"/>
    <w:rsid w:val="00992113"/>
    <w:rsid w:val="009931FC"/>
    <w:rsid w:val="009941C0"/>
    <w:rsid w:val="00996581"/>
    <w:rsid w:val="00997D2E"/>
    <w:rsid w:val="009A03D6"/>
    <w:rsid w:val="009A0679"/>
    <w:rsid w:val="009A0918"/>
    <w:rsid w:val="009A0E12"/>
    <w:rsid w:val="009A0FD6"/>
    <w:rsid w:val="009A6B9C"/>
    <w:rsid w:val="009A7716"/>
    <w:rsid w:val="009A776E"/>
    <w:rsid w:val="009B5B5F"/>
    <w:rsid w:val="009C15C2"/>
    <w:rsid w:val="009C197A"/>
    <w:rsid w:val="009C2FFF"/>
    <w:rsid w:val="009D0604"/>
    <w:rsid w:val="009D372A"/>
    <w:rsid w:val="009D5209"/>
    <w:rsid w:val="009D6187"/>
    <w:rsid w:val="009D6746"/>
    <w:rsid w:val="009E0773"/>
    <w:rsid w:val="009E530E"/>
    <w:rsid w:val="009E5525"/>
    <w:rsid w:val="009E56E1"/>
    <w:rsid w:val="009F0AC1"/>
    <w:rsid w:val="009F2FBC"/>
    <w:rsid w:val="009F37EE"/>
    <w:rsid w:val="009F4C4A"/>
    <w:rsid w:val="009F5F77"/>
    <w:rsid w:val="00A0008B"/>
    <w:rsid w:val="00A027CE"/>
    <w:rsid w:val="00A02CB7"/>
    <w:rsid w:val="00A02EBF"/>
    <w:rsid w:val="00A06FC1"/>
    <w:rsid w:val="00A103CD"/>
    <w:rsid w:val="00A13372"/>
    <w:rsid w:val="00A14BB5"/>
    <w:rsid w:val="00A17E70"/>
    <w:rsid w:val="00A203B4"/>
    <w:rsid w:val="00A2185F"/>
    <w:rsid w:val="00A23219"/>
    <w:rsid w:val="00A24DFC"/>
    <w:rsid w:val="00A26D93"/>
    <w:rsid w:val="00A27594"/>
    <w:rsid w:val="00A33399"/>
    <w:rsid w:val="00A34A39"/>
    <w:rsid w:val="00A34EB2"/>
    <w:rsid w:val="00A353A1"/>
    <w:rsid w:val="00A35784"/>
    <w:rsid w:val="00A35A05"/>
    <w:rsid w:val="00A4144A"/>
    <w:rsid w:val="00A41510"/>
    <w:rsid w:val="00A42818"/>
    <w:rsid w:val="00A43398"/>
    <w:rsid w:val="00A4536B"/>
    <w:rsid w:val="00A47FAA"/>
    <w:rsid w:val="00A5019E"/>
    <w:rsid w:val="00A51E06"/>
    <w:rsid w:val="00A54157"/>
    <w:rsid w:val="00A57A7F"/>
    <w:rsid w:val="00A57EA7"/>
    <w:rsid w:val="00A636F8"/>
    <w:rsid w:val="00A64008"/>
    <w:rsid w:val="00A65C3B"/>
    <w:rsid w:val="00A668DB"/>
    <w:rsid w:val="00A703F7"/>
    <w:rsid w:val="00A70E98"/>
    <w:rsid w:val="00A71DF7"/>
    <w:rsid w:val="00A720B0"/>
    <w:rsid w:val="00A81481"/>
    <w:rsid w:val="00A847BE"/>
    <w:rsid w:val="00A85D27"/>
    <w:rsid w:val="00A9130D"/>
    <w:rsid w:val="00A92B13"/>
    <w:rsid w:val="00A933DD"/>
    <w:rsid w:val="00A959B2"/>
    <w:rsid w:val="00A95B70"/>
    <w:rsid w:val="00A961D3"/>
    <w:rsid w:val="00A96FB0"/>
    <w:rsid w:val="00A979A7"/>
    <w:rsid w:val="00AA18C3"/>
    <w:rsid w:val="00AA21BA"/>
    <w:rsid w:val="00AA427C"/>
    <w:rsid w:val="00AA56F8"/>
    <w:rsid w:val="00AB02FA"/>
    <w:rsid w:val="00AB0ECB"/>
    <w:rsid w:val="00AB31F0"/>
    <w:rsid w:val="00AB44BA"/>
    <w:rsid w:val="00AB7C2E"/>
    <w:rsid w:val="00AC14EC"/>
    <w:rsid w:val="00AC235A"/>
    <w:rsid w:val="00AC3256"/>
    <w:rsid w:val="00AC328B"/>
    <w:rsid w:val="00AC3431"/>
    <w:rsid w:val="00AC4A9A"/>
    <w:rsid w:val="00AC55C4"/>
    <w:rsid w:val="00AC6BBA"/>
    <w:rsid w:val="00AD04D9"/>
    <w:rsid w:val="00AD3256"/>
    <w:rsid w:val="00AD4162"/>
    <w:rsid w:val="00AD461D"/>
    <w:rsid w:val="00AD47E9"/>
    <w:rsid w:val="00AD76AA"/>
    <w:rsid w:val="00AE0E63"/>
    <w:rsid w:val="00AE1228"/>
    <w:rsid w:val="00AE15C8"/>
    <w:rsid w:val="00AE1ABA"/>
    <w:rsid w:val="00AE2671"/>
    <w:rsid w:val="00AE315F"/>
    <w:rsid w:val="00AE3F55"/>
    <w:rsid w:val="00AE68AB"/>
    <w:rsid w:val="00AE6FCA"/>
    <w:rsid w:val="00AE7452"/>
    <w:rsid w:val="00AF0BB6"/>
    <w:rsid w:val="00AF0FA4"/>
    <w:rsid w:val="00AF1256"/>
    <w:rsid w:val="00AF2FE0"/>
    <w:rsid w:val="00AF3011"/>
    <w:rsid w:val="00AF3E97"/>
    <w:rsid w:val="00AF461E"/>
    <w:rsid w:val="00AF70AD"/>
    <w:rsid w:val="00AF7645"/>
    <w:rsid w:val="00B01931"/>
    <w:rsid w:val="00B019C9"/>
    <w:rsid w:val="00B031CC"/>
    <w:rsid w:val="00B05E8D"/>
    <w:rsid w:val="00B12933"/>
    <w:rsid w:val="00B178EF"/>
    <w:rsid w:val="00B17EB0"/>
    <w:rsid w:val="00B20DB6"/>
    <w:rsid w:val="00B23316"/>
    <w:rsid w:val="00B24B60"/>
    <w:rsid w:val="00B25C5F"/>
    <w:rsid w:val="00B30E2C"/>
    <w:rsid w:val="00B3261E"/>
    <w:rsid w:val="00B32CAF"/>
    <w:rsid w:val="00B32DE6"/>
    <w:rsid w:val="00B33917"/>
    <w:rsid w:val="00B33C80"/>
    <w:rsid w:val="00B33D2B"/>
    <w:rsid w:val="00B35D90"/>
    <w:rsid w:val="00B35DBC"/>
    <w:rsid w:val="00B36216"/>
    <w:rsid w:val="00B37B67"/>
    <w:rsid w:val="00B40CF3"/>
    <w:rsid w:val="00B41458"/>
    <w:rsid w:val="00B41FF3"/>
    <w:rsid w:val="00B42CDC"/>
    <w:rsid w:val="00B51D1A"/>
    <w:rsid w:val="00B523AA"/>
    <w:rsid w:val="00B52AF6"/>
    <w:rsid w:val="00B5525C"/>
    <w:rsid w:val="00B5616B"/>
    <w:rsid w:val="00B565FF"/>
    <w:rsid w:val="00B57629"/>
    <w:rsid w:val="00B57879"/>
    <w:rsid w:val="00B60DEC"/>
    <w:rsid w:val="00B61309"/>
    <w:rsid w:val="00B63F27"/>
    <w:rsid w:val="00B63F6D"/>
    <w:rsid w:val="00B6527E"/>
    <w:rsid w:val="00B65C3E"/>
    <w:rsid w:val="00B67DF3"/>
    <w:rsid w:val="00B708E9"/>
    <w:rsid w:val="00B70EBF"/>
    <w:rsid w:val="00B7109C"/>
    <w:rsid w:val="00B7165C"/>
    <w:rsid w:val="00B721B3"/>
    <w:rsid w:val="00B7231A"/>
    <w:rsid w:val="00B72971"/>
    <w:rsid w:val="00B729CF"/>
    <w:rsid w:val="00B72C5C"/>
    <w:rsid w:val="00B73C7C"/>
    <w:rsid w:val="00B74430"/>
    <w:rsid w:val="00B779DA"/>
    <w:rsid w:val="00B77FE4"/>
    <w:rsid w:val="00B80B79"/>
    <w:rsid w:val="00B846DE"/>
    <w:rsid w:val="00B85151"/>
    <w:rsid w:val="00B85A42"/>
    <w:rsid w:val="00B87610"/>
    <w:rsid w:val="00B87C7D"/>
    <w:rsid w:val="00B917AB"/>
    <w:rsid w:val="00B91F88"/>
    <w:rsid w:val="00B95EE8"/>
    <w:rsid w:val="00B96C1B"/>
    <w:rsid w:val="00BA6084"/>
    <w:rsid w:val="00BA737D"/>
    <w:rsid w:val="00BA78A5"/>
    <w:rsid w:val="00BA7A09"/>
    <w:rsid w:val="00BA7DB4"/>
    <w:rsid w:val="00BB0981"/>
    <w:rsid w:val="00BB1AC6"/>
    <w:rsid w:val="00BB5FEA"/>
    <w:rsid w:val="00BB62E4"/>
    <w:rsid w:val="00BB7243"/>
    <w:rsid w:val="00BC0EC5"/>
    <w:rsid w:val="00BC1B4B"/>
    <w:rsid w:val="00BC6CED"/>
    <w:rsid w:val="00BC73F5"/>
    <w:rsid w:val="00BC7917"/>
    <w:rsid w:val="00BD15F5"/>
    <w:rsid w:val="00BD1C42"/>
    <w:rsid w:val="00BD223A"/>
    <w:rsid w:val="00BD3F44"/>
    <w:rsid w:val="00BD4666"/>
    <w:rsid w:val="00BD4BBB"/>
    <w:rsid w:val="00BD4D72"/>
    <w:rsid w:val="00BD5501"/>
    <w:rsid w:val="00BD582C"/>
    <w:rsid w:val="00BD583C"/>
    <w:rsid w:val="00BD6C7C"/>
    <w:rsid w:val="00BE137F"/>
    <w:rsid w:val="00BE194E"/>
    <w:rsid w:val="00BE1E3C"/>
    <w:rsid w:val="00BE28DB"/>
    <w:rsid w:val="00BE29F0"/>
    <w:rsid w:val="00BE3F01"/>
    <w:rsid w:val="00BE68C2"/>
    <w:rsid w:val="00BF152A"/>
    <w:rsid w:val="00BF2A2B"/>
    <w:rsid w:val="00BF520E"/>
    <w:rsid w:val="00BF6FFD"/>
    <w:rsid w:val="00C00F81"/>
    <w:rsid w:val="00C01A9F"/>
    <w:rsid w:val="00C01F7E"/>
    <w:rsid w:val="00C10107"/>
    <w:rsid w:val="00C10B72"/>
    <w:rsid w:val="00C126CD"/>
    <w:rsid w:val="00C135B6"/>
    <w:rsid w:val="00C14144"/>
    <w:rsid w:val="00C142AD"/>
    <w:rsid w:val="00C143E1"/>
    <w:rsid w:val="00C16999"/>
    <w:rsid w:val="00C20F62"/>
    <w:rsid w:val="00C23050"/>
    <w:rsid w:val="00C2383C"/>
    <w:rsid w:val="00C24F87"/>
    <w:rsid w:val="00C2621A"/>
    <w:rsid w:val="00C30506"/>
    <w:rsid w:val="00C31DD1"/>
    <w:rsid w:val="00C32E38"/>
    <w:rsid w:val="00C332D2"/>
    <w:rsid w:val="00C36874"/>
    <w:rsid w:val="00C37B5E"/>
    <w:rsid w:val="00C40399"/>
    <w:rsid w:val="00C41DF7"/>
    <w:rsid w:val="00C42C9D"/>
    <w:rsid w:val="00C4388F"/>
    <w:rsid w:val="00C44346"/>
    <w:rsid w:val="00C4553D"/>
    <w:rsid w:val="00C45EDA"/>
    <w:rsid w:val="00C467A1"/>
    <w:rsid w:val="00C4729E"/>
    <w:rsid w:val="00C50750"/>
    <w:rsid w:val="00C556BC"/>
    <w:rsid w:val="00C55AB8"/>
    <w:rsid w:val="00C55F00"/>
    <w:rsid w:val="00C604D2"/>
    <w:rsid w:val="00C61759"/>
    <w:rsid w:val="00C63928"/>
    <w:rsid w:val="00C63B1E"/>
    <w:rsid w:val="00C651A7"/>
    <w:rsid w:val="00C65D74"/>
    <w:rsid w:val="00C675FF"/>
    <w:rsid w:val="00C677D7"/>
    <w:rsid w:val="00C7045F"/>
    <w:rsid w:val="00C7138D"/>
    <w:rsid w:val="00C71E6B"/>
    <w:rsid w:val="00C726B2"/>
    <w:rsid w:val="00C73D4C"/>
    <w:rsid w:val="00C75BFE"/>
    <w:rsid w:val="00C801EB"/>
    <w:rsid w:val="00C80A3A"/>
    <w:rsid w:val="00C80B1C"/>
    <w:rsid w:val="00C81B86"/>
    <w:rsid w:val="00C83496"/>
    <w:rsid w:val="00C83FEA"/>
    <w:rsid w:val="00C86DAD"/>
    <w:rsid w:val="00C87EEB"/>
    <w:rsid w:val="00C912E8"/>
    <w:rsid w:val="00C91B69"/>
    <w:rsid w:val="00C92643"/>
    <w:rsid w:val="00C92D89"/>
    <w:rsid w:val="00C93286"/>
    <w:rsid w:val="00C94454"/>
    <w:rsid w:val="00C9557D"/>
    <w:rsid w:val="00C96AF0"/>
    <w:rsid w:val="00CA028E"/>
    <w:rsid w:val="00CA09B2"/>
    <w:rsid w:val="00CA0A57"/>
    <w:rsid w:val="00CA7A4F"/>
    <w:rsid w:val="00CA7DB5"/>
    <w:rsid w:val="00CB0A42"/>
    <w:rsid w:val="00CB3C62"/>
    <w:rsid w:val="00CB6986"/>
    <w:rsid w:val="00CC1CA8"/>
    <w:rsid w:val="00CC33FB"/>
    <w:rsid w:val="00CC343F"/>
    <w:rsid w:val="00CC652F"/>
    <w:rsid w:val="00CC6C51"/>
    <w:rsid w:val="00CC72A5"/>
    <w:rsid w:val="00CD34A2"/>
    <w:rsid w:val="00CD440E"/>
    <w:rsid w:val="00CD568A"/>
    <w:rsid w:val="00CD6382"/>
    <w:rsid w:val="00CD64CE"/>
    <w:rsid w:val="00CD658E"/>
    <w:rsid w:val="00CE1444"/>
    <w:rsid w:val="00CE1E30"/>
    <w:rsid w:val="00CE3098"/>
    <w:rsid w:val="00CE5032"/>
    <w:rsid w:val="00CE77C6"/>
    <w:rsid w:val="00CF1147"/>
    <w:rsid w:val="00CF1270"/>
    <w:rsid w:val="00CF3E65"/>
    <w:rsid w:val="00CF5CF8"/>
    <w:rsid w:val="00CF6B28"/>
    <w:rsid w:val="00CF7472"/>
    <w:rsid w:val="00D02630"/>
    <w:rsid w:val="00D0429D"/>
    <w:rsid w:val="00D06A2B"/>
    <w:rsid w:val="00D06DB5"/>
    <w:rsid w:val="00D1060A"/>
    <w:rsid w:val="00D1078F"/>
    <w:rsid w:val="00D1138B"/>
    <w:rsid w:val="00D12945"/>
    <w:rsid w:val="00D210E6"/>
    <w:rsid w:val="00D218DD"/>
    <w:rsid w:val="00D245CB"/>
    <w:rsid w:val="00D24FA6"/>
    <w:rsid w:val="00D26857"/>
    <w:rsid w:val="00D26D96"/>
    <w:rsid w:val="00D3188F"/>
    <w:rsid w:val="00D34C02"/>
    <w:rsid w:val="00D3789C"/>
    <w:rsid w:val="00D37C42"/>
    <w:rsid w:val="00D428DD"/>
    <w:rsid w:val="00D432E8"/>
    <w:rsid w:val="00D478EC"/>
    <w:rsid w:val="00D51315"/>
    <w:rsid w:val="00D5157F"/>
    <w:rsid w:val="00D54B9A"/>
    <w:rsid w:val="00D57696"/>
    <w:rsid w:val="00D57B6C"/>
    <w:rsid w:val="00D6056D"/>
    <w:rsid w:val="00D60DE2"/>
    <w:rsid w:val="00D61533"/>
    <w:rsid w:val="00D61EE3"/>
    <w:rsid w:val="00D6366F"/>
    <w:rsid w:val="00D63C8C"/>
    <w:rsid w:val="00D65174"/>
    <w:rsid w:val="00D66A60"/>
    <w:rsid w:val="00D6751B"/>
    <w:rsid w:val="00D67D45"/>
    <w:rsid w:val="00D746B4"/>
    <w:rsid w:val="00D76262"/>
    <w:rsid w:val="00D7754C"/>
    <w:rsid w:val="00D81227"/>
    <w:rsid w:val="00D82855"/>
    <w:rsid w:val="00D82969"/>
    <w:rsid w:val="00D833A0"/>
    <w:rsid w:val="00D931AA"/>
    <w:rsid w:val="00D945FD"/>
    <w:rsid w:val="00D94E00"/>
    <w:rsid w:val="00D9717C"/>
    <w:rsid w:val="00DA0560"/>
    <w:rsid w:val="00DA05B0"/>
    <w:rsid w:val="00DA1A86"/>
    <w:rsid w:val="00DA218B"/>
    <w:rsid w:val="00DA3800"/>
    <w:rsid w:val="00DA5396"/>
    <w:rsid w:val="00DA5FF1"/>
    <w:rsid w:val="00DA6E4D"/>
    <w:rsid w:val="00DB14C3"/>
    <w:rsid w:val="00DB18D2"/>
    <w:rsid w:val="00DB32AD"/>
    <w:rsid w:val="00DB463B"/>
    <w:rsid w:val="00DB5DF0"/>
    <w:rsid w:val="00DB5FA2"/>
    <w:rsid w:val="00DB6ECF"/>
    <w:rsid w:val="00DB7CF9"/>
    <w:rsid w:val="00DC20AC"/>
    <w:rsid w:val="00DC2259"/>
    <w:rsid w:val="00DC38D4"/>
    <w:rsid w:val="00DC5A7B"/>
    <w:rsid w:val="00DC6554"/>
    <w:rsid w:val="00DC7A1E"/>
    <w:rsid w:val="00DD155B"/>
    <w:rsid w:val="00DD16EC"/>
    <w:rsid w:val="00DD4462"/>
    <w:rsid w:val="00DD570D"/>
    <w:rsid w:val="00DE014E"/>
    <w:rsid w:val="00DE0CCE"/>
    <w:rsid w:val="00DE1317"/>
    <w:rsid w:val="00DE4F78"/>
    <w:rsid w:val="00DE5EC2"/>
    <w:rsid w:val="00DF15DA"/>
    <w:rsid w:val="00DF7D74"/>
    <w:rsid w:val="00E00505"/>
    <w:rsid w:val="00E037D2"/>
    <w:rsid w:val="00E04941"/>
    <w:rsid w:val="00E067B0"/>
    <w:rsid w:val="00E06D40"/>
    <w:rsid w:val="00E10414"/>
    <w:rsid w:val="00E10CD9"/>
    <w:rsid w:val="00E121A4"/>
    <w:rsid w:val="00E13A7D"/>
    <w:rsid w:val="00E13EC7"/>
    <w:rsid w:val="00E1440D"/>
    <w:rsid w:val="00E14743"/>
    <w:rsid w:val="00E20157"/>
    <w:rsid w:val="00E23AE9"/>
    <w:rsid w:val="00E25F1F"/>
    <w:rsid w:val="00E260BF"/>
    <w:rsid w:val="00E31087"/>
    <w:rsid w:val="00E3115F"/>
    <w:rsid w:val="00E3371D"/>
    <w:rsid w:val="00E35367"/>
    <w:rsid w:val="00E368EB"/>
    <w:rsid w:val="00E423DE"/>
    <w:rsid w:val="00E427B6"/>
    <w:rsid w:val="00E4308D"/>
    <w:rsid w:val="00E431C1"/>
    <w:rsid w:val="00E45139"/>
    <w:rsid w:val="00E4594A"/>
    <w:rsid w:val="00E45F4E"/>
    <w:rsid w:val="00E46EC1"/>
    <w:rsid w:val="00E5003B"/>
    <w:rsid w:val="00E50665"/>
    <w:rsid w:val="00E52DD6"/>
    <w:rsid w:val="00E542EB"/>
    <w:rsid w:val="00E543CC"/>
    <w:rsid w:val="00E55F51"/>
    <w:rsid w:val="00E56331"/>
    <w:rsid w:val="00E60ED9"/>
    <w:rsid w:val="00E61434"/>
    <w:rsid w:val="00E63507"/>
    <w:rsid w:val="00E66632"/>
    <w:rsid w:val="00E70342"/>
    <w:rsid w:val="00E7149A"/>
    <w:rsid w:val="00E72A24"/>
    <w:rsid w:val="00E757E2"/>
    <w:rsid w:val="00E76289"/>
    <w:rsid w:val="00E77301"/>
    <w:rsid w:val="00E773D3"/>
    <w:rsid w:val="00E816F6"/>
    <w:rsid w:val="00E85DF8"/>
    <w:rsid w:val="00E85E19"/>
    <w:rsid w:val="00E866B3"/>
    <w:rsid w:val="00E92D8B"/>
    <w:rsid w:val="00E92DB7"/>
    <w:rsid w:val="00E95E72"/>
    <w:rsid w:val="00E96A8D"/>
    <w:rsid w:val="00E96D09"/>
    <w:rsid w:val="00E975E5"/>
    <w:rsid w:val="00EA07D3"/>
    <w:rsid w:val="00EA1836"/>
    <w:rsid w:val="00EA251D"/>
    <w:rsid w:val="00EA35AD"/>
    <w:rsid w:val="00EA38B2"/>
    <w:rsid w:val="00EA3E71"/>
    <w:rsid w:val="00EA49DB"/>
    <w:rsid w:val="00EA515B"/>
    <w:rsid w:val="00EA55C4"/>
    <w:rsid w:val="00EB4B84"/>
    <w:rsid w:val="00EC0E4E"/>
    <w:rsid w:val="00EC2700"/>
    <w:rsid w:val="00EC3BA9"/>
    <w:rsid w:val="00EC57E2"/>
    <w:rsid w:val="00EC67D1"/>
    <w:rsid w:val="00ED08D2"/>
    <w:rsid w:val="00ED1EFD"/>
    <w:rsid w:val="00ED2CB3"/>
    <w:rsid w:val="00ED2F43"/>
    <w:rsid w:val="00ED384B"/>
    <w:rsid w:val="00ED4441"/>
    <w:rsid w:val="00ED471D"/>
    <w:rsid w:val="00ED6D8E"/>
    <w:rsid w:val="00ED79C2"/>
    <w:rsid w:val="00EE2F0A"/>
    <w:rsid w:val="00EE2FC8"/>
    <w:rsid w:val="00EF0C81"/>
    <w:rsid w:val="00EF0D55"/>
    <w:rsid w:val="00EF1602"/>
    <w:rsid w:val="00EF16C2"/>
    <w:rsid w:val="00EF208A"/>
    <w:rsid w:val="00EF2A57"/>
    <w:rsid w:val="00EF4421"/>
    <w:rsid w:val="00EF4F00"/>
    <w:rsid w:val="00EF7A85"/>
    <w:rsid w:val="00F00699"/>
    <w:rsid w:val="00F01475"/>
    <w:rsid w:val="00F02E6D"/>
    <w:rsid w:val="00F04F48"/>
    <w:rsid w:val="00F04F58"/>
    <w:rsid w:val="00F04FA0"/>
    <w:rsid w:val="00F0657E"/>
    <w:rsid w:val="00F105AC"/>
    <w:rsid w:val="00F10D50"/>
    <w:rsid w:val="00F11602"/>
    <w:rsid w:val="00F118F6"/>
    <w:rsid w:val="00F12826"/>
    <w:rsid w:val="00F143C9"/>
    <w:rsid w:val="00F14EF0"/>
    <w:rsid w:val="00F153A4"/>
    <w:rsid w:val="00F15498"/>
    <w:rsid w:val="00F1608A"/>
    <w:rsid w:val="00F1621D"/>
    <w:rsid w:val="00F174C8"/>
    <w:rsid w:val="00F275D5"/>
    <w:rsid w:val="00F27CF2"/>
    <w:rsid w:val="00F32B02"/>
    <w:rsid w:val="00F32C15"/>
    <w:rsid w:val="00F34C32"/>
    <w:rsid w:val="00F35B11"/>
    <w:rsid w:val="00F40440"/>
    <w:rsid w:val="00F4118F"/>
    <w:rsid w:val="00F41EA0"/>
    <w:rsid w:val="00F43E08"/>
    <w:rsid w:val="00F44F02"/>
    <w:rsid w:val="00F45376"/>
    <w:rsid w:val="00F45EC6"/>
    <w:rsid w:val="00F516F9"/>
    <w:rsid w:val="00F52DAA"/>
    <w:rsid w:val="00F54059"/>
    <w:rsid w:val="00F54FFC"/>
    <w:rsid w:val="00F56DA7"/>
    <w:rsid w:val="00F575A6"/>
    <w:rsid w:val="00F576CE"/>
    <w:rsid w:val="00F57A63"/>
    <w:rsid w:val="00F60BF6"/>
    <w:rsid w:val="00F60E4B"/>
    <w:rsid w:val="00F617F8"/>
    <w:rsid w:val="00F6368B"/>
    <w:rsid w:val="00F63D61"/>
    <w:rsid w:val="00F64120"/>
    <w:rsid w:val="00F64BE0"/>
    <w:rsid w:val="00F65419"/>
    <w:rsid w:val="00F701A3"/>
    <w:rsid w:val="00F73006"/>
    <w:rsid w:val="00F730E2"/>
    <w:rsid w:val="00F768AA"/>
    <w:rsid w:val="00F77458"/>
    <w:rsid w:val="00F8120E"/>
    <w:rsid w:val="00F81DE4"/>
    <w:rsid w:val="00F81EED"/>
    <w:rsid w:val="00F82D14"/>
    <w:rsid w:val="00F83E84"/>
    <w:rsid w:val="00F84DE3"/>
    <w:rsid w:val="00F85556"/>
    <w:rsid w:val="00F863C9"/>
    <w:rsid w:val="00F875A3"/>
    <w:rsid w:val="00F9085B"/>
    <w:rsid w:val="00F91672"/>
    <w:rsid w:val="00F9183F"/>
    <w:rsid w:val="00F91DE3"/>
    <w:rsid w:val="00F92E29"/>
    <w:rsid w:val="00F93C16"/>
    <w:rsid w:val="00F9748C"/>
    <w:rsid w:val="00FA0359"/>
    <w:rsid w:val="00FA0891"/>
    <w:rsid w:val="00FA11D2"/>
    <w:rsid w:val="00FA1981"/>
    <w:rsid w:val="00FA23C8"/>
    <w:rsid w:val="00FA3DF7"/>
    <w:rsid w:val="00FA65E5"/>
    <w:rsid w:val="00FA67E2"/>
    <w:rsid w:val="00FA7007"/>
    <w:rsid w:val="00FB131D"/>
    <w:rsid w:val="00FB1663"/>
    <w:rsid w:val="00FB2B21"/>
    <w:rsid w:val="00FB2C86"/>
    <w:rsid w:val="00FB6463"/>
    <w:rsid w:val="00FB7AED"/>
    <w:rsid w:val="00FC1593"/>
    <w:rsid w:val="00FC2CCF"/>
    <w:rsid w:val="00FC36E9"/>
    <w:rsid w:val="00FC707A"/>
    <w:rsid w:val="00FC7658"/>
    <w:rsid w:val="00FD072A"/>
    <w:rsid w:val="00FD16C8"/>
    <w:rsid w:val="00FD217F"/>
    <w:rsid w:val="00FD2B81"/>
    <w:rsid w:val="00FD5E74"/>
    <w:rsid w:val="00FD63D0"/>
    <w:rsid w:val="00FE239C"/>
    <w:rsid w:val="00FE2C65"/>
    <w:rsid w:val="00FE3BDB"/>
    <w:rsid w:val="00FE4B61"/>
    <w:rsid w:val="00FE5733"/>
    <w:rsid w:val="00FF0336"/>
    <w:rsid w:val="00FF0AD9"/>
    <w:rsid w:val="00FF1128"/>
    <w:rsid w:val="00FF20EB"/>
    <w:rsid w:val="00FF3C77"/>
    <w:rsid w:val="00FF4135"/>
    <w:rsid w:val="00FF54DA"/>
    <w:rsid w:val="00FF55D7"/>
    <w:rsid w:val="00FF5885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66B4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val="en-US"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1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5616B"/>
    <w:pPr>
      <w:keepNext/>
      <w:keepLines/>
      <w:numPr>
        <w:numId w:val="18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ＭＳ 明朝" w:hAnsi="Arial"/>
      <w:b/>
    </w:rPr>
  </w:style>
  <w:style w:type="paragraph" w:customStyle="1" w:styleId="IEEEStdsTableColumnHead">
    <w:name w:val="IEEEStds Table Column Head"/>
    <w:basedOn w:val="IEEEStdsParagraph"/>
    <w:rsid w:val="00B5616B"/>
    <w:pPr>
      <w:keepNext/>
      <w:keepLines/>
      <w:spacing w:after="0"/>
      <w:jc w:val="center"/>
    </w:pPr>
    <w:rPr>
      <w:rFonts w:eastAsia="ＭＳ 明朝"/>
      <w:b/>
      <w:sz w:val="18"/>
    </w:rPr>
  </w:style>
  <w:style w:type="paragraph" w:customStyle="1" w:styleId="IEEEStdsSingleNote">
    <w:name w:val="IEEEStds Single Note"/>
    <w:basedOn w:val="IEEEStdsParagraph"/>
    <w:next w:val="IEEEStdsParagraph"/>
    <w:rsid w:val="00DA5396"/>
    <w:pPr>
      <w:keepLines/>
      <w:spacing w:before="120" w:after="120"/>
    </w:pPr>
    <w:rPr>
      <w:rFonts w:eastAsia="ＭＳ 明朝"/>
      <w:sz w:val="18"/>
    </w:rPr>
  </w:style>
  <w:style w:type="paragraph" w:customStyle="1" w:styleId="IEEEStdsEquationVariableList">
    <w:name w:val="IEEEStds Equation Variable List"/>
    <w:basedOn w:val="IEEEStdsParagraph"/>
    <w:rsid w:val="004D0C25"/>
    <w:pPr>
      <w:keepLines/>
      <w:tabs>
        <w:tab w:val="left" w:pos="760"/>
      </w:tabs>
      <w:suppressAutoHyphens/>
      <w:spacing w:after="0"/>
      <w:ind w:left="764" w:hanging="562"/>
    </w:pPr>
    <w:rPr>
      <w:rFonts w:eastAsia="ＭＳ 明朝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5CF03786-31EC-47F1-8414-F2DFD74D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1155</Words>
  <Characters>6586</Characters>
  <Application>Microsoft Office Word</Application>
  <DocSecurity>0</DocSecurity>
  <Lines>54</Lines>
  <Paragraphs>15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17/1834r2</vt:lpstr>
      <vt:lpstr/>
      <vt:lpstr/>
    </vt:vector>
  </TitlesOfParts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17/1834r2</dc:title>
  <dc:creator/>
  <cp:lastModifiedBy/>
  <cp:revision>1</cp:revision>
  <dcterms:created xsi:type="dcterms:W3CDTF">2018-02-27T04:03:00Z</dcterms:created>
  <dcterms:modified xsi:type="dcterms:W3CDTF">2018-02-27T04:17:00Z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