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22B27DCA" w:rsidR="00CA09B2" w:rsidRDefault="001F2CC1">
            <w:pPr>
              <w:pStyle w:val="T2"/>
            </w:pPr>
            <w:r>
              <w:t>Allows Different</w:t>
            </w:r>
            <w:r w:rsidR="00FC5025">
              <w:t xml:space="preserve"> Ch</w:t>
            </w:r>
            <w:r>
              <w:t>annel Width Capabilities Advertised in</w:t>
            </w:r>
            <w:r w:rsidR="00FC5025">
              <w:t xml:space="preserve"> VHT and HE PHY Mode</w:t>
            </w:r>
            <w:r>
              <w:t>s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6B26D565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FC5025">
              <w:rPr>
                <w:b w:val="0"/>
                <w:sz w:val="20"/>
              </w:rPr>
              <w:t xml:space="preserve">  2018-01-1</w:t>
            </w:r>
            <w:r w:rsidR="009D7FEA">
              <w:rPr>
                <w:b w:val="0"/>
                <w:sz w:val="20"/>
              </w:rPr>
              <w:t>8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tr w:rsidR="00F839AD" w14:paraId="654E0457" w14:textId="77777777" w:rsidTr="00835F6B">
        <w:trPr>
          <w:jc w:val="center"/>
        </w:trPr>
        <w:tc>
          <w:tcPr>
            <w:tcW w:w="1336" w:type="dxa"/>
            <w:vAlign w:val="center"/>
          </w:tcPr>
          <w:p w14:paraId="2ACDF1FD" w14:textId="04EDEF7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Sigurd Schelstra</w:t>
            </w:r>
            <w:r>
              <w:rPr>
                <w:b w:val="0"/>
                <w:sz w:val="18"/>
                <w:szCs w:val="18"/>
              </w:rPr>
              <w:t>ete</w:t>
            </w:r>
          </w:p>
        </w:tc>
        <w:tc>
          <w:tcPr>
            <w:tcW w:w="2064" w:type="dxa"/>
            <w:vAlign w:val="center"/>
          </w:tcPr>
          <w:p w14:paraId="39C93148" w14:textId="37088FDB" w:rsidR="00F839AD" w:rsidRPr="00A00A00" w:rsidRDefault="00410FCB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76745DBC" w14:textId="77777777" w:rsidR="00F839AD" w:rsidRPr="00835F6B" w:rsidRDefault="00F839AD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693CF98B" w14:textId="77777777" w:rsidR="00F839AD" w:rsidRPr="00A00A00" w:rsidRDefault="00F839AD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33E3A43" w14:textId="137DAE8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sschelstraete@quantenna.com</w:t>
            </w:r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4D5A8118" w:rsidR="0029020B" w:rsidRDefault="00275C0A">
                            <w:pPr>
                              <w:jc w:val="both"/>
                            </w:pPr>
                            <w:r>
                              <w:t>This submission recommend</w:t>
                            </w:r>
                            <w:r w:rsidR="004D1DA9">
                              <w:t>s</w:t>
                            </w:r>
                            <w:r>
                              <w:t xml:space="preserve"> to TGax</w:t>
                            </w:r>
                            <w:r w:rsidR="00BE7120">
                              <w:t xml:space="preserve"> group to allow different </w:t>
                            </w:r>
                            <w:r>
                              <w:t xml:space="preserve"> channel width capabilities advertised in VHT and HE Capabilities elements in </w:t>
                            </w:r>
                            <w:r w:rsidR="00A9085B">
                              <w:t>11ax Draft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" o:allowincell="f" stroked="f">
                <v:textbox>
                  <w:txbxContent>
                    <w:p w14:paraId="619FC977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4D5A8118" w:rsidR="0029020B" w:rsidRDefault="00275C0A">
                      <w:pPr>
                        <w:jc w:val="both"/>
                      </w:pPr>
                      <w:r>
                        <w:t>This submission recommend</w:t>
                      </w:r>
                      <w:r w:rsidR="004D1DA9">
                        <w:t>s</w:t>
                      </w:r>
                      <w:r>
                        <w:t xml:space="preserve"> to TGax</w:t>
                      </w:r>
                      <w:r w:rsidR="00BE7120">
                        <w:t xml:space="preserve"> group to allow different </w:t>
                      </w:r>
                      <w:r>
                        <w:t xml:space="preserve"> channel width capabilities advertised in VHT and HE Capabilities elements in </w:t>
                      </w:r>
                      <w:r w:rsidR="00A9085B">
                        <w:t>11ax Draft 2.0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7240A8AF" w14:textId="3D02F614" w:rsidR="00F77C25" w:rsidRPr="00F77C25" w:rsidRDefault="004D1DA9" w:rsidP="00F77C25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  <w:r>
        <w:rPr>
          <w:bCs/>
          <w:color w:val="000000"/>
          <w:szCs w:val="22"/>
          <w:lang w:val="en-US"/>
        </w:rPr>
        <w:t xml:space="preserve">Currently </w:t>
      </w:r>
      <w:r w:rsidR="00A03853">
        <w:rPr>
          <w:bCs/>
          <w:color w:val="000000"/>
          <w:szCs w:val="22"/>
          <w:lang w:val="en-US"/>
        </w:rPr>
        <w:t xml:space="preserve">in D2.0 document, </w:t>
      </w:r>
      <w:r w:rsidR="00F77C25">
        <w:rPr>
          <w:bCs/>
          <w:color w:val="000000"/>
          <w:szCs w:val="22"/>
          <w:lang w:val="en-US"/>
        </w:rPr>
        <w:t xml:space="preserve">it requires VHT mode advertising the same channel width capabilities of HE mode in clause </w:t>
      </w:r>
      <w:r w:rsidR="00F77C25" w:rsidRPr="00F77C25">
        <w:rPr>
          <w:rFonts w:ascii="Calibri" w:hAnsi="Calibri"/>
          <w:b/>
          <w:bCs/>
          <w:color w:val="000000"/>
          <w:szCs w:val="22"/>
          <w:lang w:val="en-US" w:eastAsia="zh-CN"/>
        </w:rPr>
        <w:t>27.16.1 Basic HE BSS functionality</w:t>
      </w:r>
      <w:r w:rsidR="00F77C25">
        <w:rPr>
          <w:rFonts w:ascii="Calibri" w:hAnsi="Calibri"/>
          <w:b/>
          <w:bCs/>
          <w:color w:val="000000"/>
          <w:szCs w:val="22"/>
          <w:lang w:val="en-US" w:eastAsia="zh-CN"/>
        </w:rPr>
        <w:t>:</w:t>
      </w:r>
    </w:p>
    <w:p w14:paraId="35944766" w14:textId="2D59577E" w:rsidR="00F77C25" w:rsidRPr="00F77C25" w:rsidRDefault="00BA1F61" w:rsidP="00F77C25">
      <w:pPr>
        <w:rPr>
          <w:rFonts w:ascii="Calibri" w:hAnsi="Calibri"/>
          <w:i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i/>
          <w:color w:val="000000"/>
          <w:szCs w:val="22"/>
          <w:lang w:val="en-US" w:eastAsia="zh-CN"/>
        </w:rPr>
        <w:t>“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="00F77C25" w:rsidRPr="00F77C25">
        <w:rPr>
          <w:rFonts w:ascii="Calibri" w:hAnsi="Calibri"/>
          <w:b/>
          <w:bCs/>
          <w:i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  <w:r>
        <w:rPr>
          <w:rFonts w:ascii="Calibri" w:hAnsi="Calibri"/>
          <w:i/>
          <w:color w:val="000000"/>
          <w:szCs w:val="22"/>
          <w:lang w:val="en-US" w:eastAsia="zh-CN"/>
        </w:rPr>
        <w:t>”</w:t>
      </w:r>
    </w:p>
    <w:p w14:paraId="1BEF6E3F" w14:textId="77777777" w:rsidR="00F77C25" w:rsidRDefault="00F77C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</w:p>
    <w:p w14:paraId="12657897" w14:textId="6CBE5FD6" w:rsidR="00282F97" w:rsidRDefault="001F2CC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But there are cases</w:t>
      </w:r>
      <w:r w:rsidR="00BA1F61">
        <w:rPr>
          <w:rFonts w:ascii="Times" w:hAnsi="Times" w:cs="Times"/>
          <w:color w:val="000000"/>
          <w:sz w:val="24"/>
          <w:szCs w:val="24"/>
          <w:lang w:val="en-US"/>
        </w:rPr>
        <w:t xml:space="preserve"> that</w:t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network operators may want to set different bandwidth capabilities advertised in</w:t>
      </w:r>
      <w:r w:rsidR="00BA1F61">
        <w:rPr>
          <w:rFonts w:ascii="Times" w:hAnsi="Times" w:cs="Times"/>
          <w:color w:val="000000"/>
          <w:sz w:val="24"/>
          <w:szCs w:val="24"/>
          <w:lang w:val="en-US"/>
        </w:rPr>
        <w:t xml:space="preserve"> VHT </w:t>
      </w:r>
      <w:r>
        <w:rPr>
          <w:rFonts w:ascii="Times" w:hAnsi="Times" w:cs="Times"/>
          <w:color w:val="000000"/>
          <w:sz w:val="24"/>
          <w:szCs w:val="24"/>
          <w:lang w:val="en-US"/>
        </w:rPr>
        <w:t>and HE modes</w:t>
      </w:r>
      <w:r w:rsidR="00173C1A">
        <w:rPr>
          <w:rFonts w:ascii="Times" w:hAnsi="Times" w:cs="Times"/>
          <w:color w:val="000000"/>
          <w:sz w:val="24"/>
          <w:szCs w:val="24"/>
          <w:lang w:val="en-US"/>
        </w:rPr>
        <w:t xml:space="preserve">. So, we recommend to allow such flexibility in 11ax spec text, while still recommend to set the same bandwidth capability advertised in VHT and HE modes. </w:t>
      </w:r>
    </w:p>
    <w:p w14:paraId="10962230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206D9320" w14:textId="0C2EC719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>
        <w:rPr>
          <w:rFonts w:ascii="Times" w:hAnsi="Times" w:cs="Times"/>
          <w:b/>
          <w:color w:val="000000"/>
          <w:sz w:val="24"/>
          <w:szCs w:val="24"/>
          <w:lang w:val="en-US"/>
        </w:rPr>
        <w:t>Resolution:</w:t>
      </w:r>
    </w:p>
    <w:p w14:paraId="26B1E727" w14:textId="77777777" w:rsidR="00B904C8" w:rsidRPr="00775CF1" w:rsidRDefault="00B904C8" w:rsidP="00B904C8">
      <w:pPr>
        <w:rPr>
          <w:b/>
          <w:i/>
          <w:sz w:val="24"/>
        </w:rPr>
      </w:pPr>
      <w:r w:rsidRPr="00775CF1">
        <w:rPr>
          <w:b/>
          <w:i/>
          <w:sz w:val="24"/>
          <w:highlight w:val="yellow"/>
        </w:rPr>
        <w:t xml:space="preserve">11ax Editor: Modify </w:t>
      </w:r>
      <w:r w:rsidRPr="00F77C25">
        <w:rPr>
          <w:rFonts w:ascii="Calibri" w:hAnsi="Calibri"/>
          <w:b/>
          <w:bCs/>
          <w:i/>
          <w:color w:val="000000"/>
          <w:szCs w:val="22"/>
          <w:highlight w:val="yellow"/>
          <w:lang w:val="en-US" w:eastAsia="zh-CN"/>
        </w:rPr>
        <w:t>27.16.1 Basic HE BSS functionality</w:t>
      </w:r>
      <w:r>
        <w:rPr>
          <w:b/>
          <w:i/>
          <w:sz w:val="24"/>
          <w:highlight w:val="yellow"/>
        </w:rPr>
        <w:t xml:space="preserve"> as below</w:t>
      </w:r>
      <w:r w:rsidRPr="00775CF1">
        <w:rPr>
          <w:b/>
          <w:i/>
          <w:sz w:val="24"/>
          <w:highlight w:val="yellow"/>
        </w:rPr>
        <w:t>:</w:t>
      </w:r>
    </w:p>
    <w:p w14:paraId="11FD834F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</w:rPr>
      </w:pPr>
    </w:p>
    <w:p w14:paraId="45A333C2" w14:textId="3D60C3CC" w:rsidR="00B904C8" w:rsidRPr="001F2CC1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Pr="008278A5">
        <w:rPr>
          <w:rFonts w:ascii="Calibri" w:hAnsi="Calibri"/>
          <w:color w:val="000000"/>
          <w:szCs w:val="22"/>
          <w:shd w:val="clear" w:color="auto" w:fill="FFFF00"/>
          <w:lang w:val="en-US" w:eastAsia="zh-CN"/>
        </w:rPr>
        <w:t>STA</w:t>
      </w:r>
      <w:r w:rsidRPr="001F2CC1">
        <w:rPr>
          <w:rFonts w:ascii="Calibri" w:hAnsi="Calibri"/>
          <w:color w:val="000000"/>
          <w:szCs w:val="22"/>
          <w:shd w:val="clear" w:color="auto" w:fill="FFFF00"/>
          <w:lang w:val="en-US" w:eastAsia="zh-CN"/>
        </w:rPr>
        <w:t xml:space="preserve"> transmitting a VHT Capabilities element a</w:t>
      </w:r>
      <w:r w:rsidR="001F2CC1">
        <w:rPr>
          <w:rFonts w:ascii="Calibri" w:hAnsi="Calibri"/>
          <w:color w:val="000000"/>
          <w:szCs w:val="22"/>
          <w:shd w:val="clear" w:color="auto" w:fill="FFFF00"/>
          <w:lang w:val="en-US" w:eastAsia="zh-CN"/>
        </w:rPr>
        <w:t xml:space="preserve">nd HE Capabilities element </w:t>
      </w:r>
      <w:r w:rsidR="001F2CC1" w:rsidRPr="001F2CC1">
        <w:rPr>
          <w:rFonts w:ascii="Calibri" w:hAnsi="Calibri"/>
          <w:b/>
          <w:color w:val="000000"/>
          <w:szCs w:val="22"/>
          <w:shd w:val="clear" w:color="auto" w:fill="FFFF00"/>
          <w:lang w:val="en-US" w:eastAsia="zh-CN"/>
        </w:rPr>
        <w:t>may</w:t>
      </w:r>
      <w:r w:rsidRPr="001F2CC1">
        <w:rPr>
          <w:rFonts w:ascii="Calibri" w:hAnsi="Calibri"/>
          <w:color w:val="000000"/>
          <w:szCs w:val="22"/>
          <w:shd w:val="clear" w:color="auto" w:fill="FFFF00"/>
          <w:lang w:val="en-US" w:eastAsia="zh-CN"/>
        </w:rPr>
        <w:t xml:space="preserve"> set the Supported Channel Width Set subfield of the VHT Capabilities element </w:t>
      </w:r>
      <w:r w:rsidRPr="001F2CC1">
        <w:rPr>
          <w:rFonts w:ascii="Calibri" w:hAnsi="Calibri"/>
          <w:b/>
          <w:bCs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Pr="001F2CC1">
        <w:rPr>
          <w:rFonts w:ascii="Calibri" w:hAnsi="Calibri"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Pr="001F2CC1">
        <w:rPr>
          <w:rFonts w:ascii="Calibri" w:hAnsi="Calibri"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</w:p>
    <w:p w14:paraId="336D499E" w14:textId="1DC10E56" w:rsidR="008278A5" w:rsidRPr="001F2CC1" w:rsidRDefault="008278A5" w:rsidP="008278A5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>
        <w:rPr>
          <w:rFonts w:ascii="Calibri" w:hAnsi="Calibri"/>
          <w:color w:val="000000"/>
          <w:szCs w:val="22"/>
          <w:lang w:val="en-US" w:eastAsia="zh-CN"/>
        </w:rPr>
        <w:t xml:space="preserve">STA transmitting a VHT Capabilities element and HE Capabilities element </w:t>
      </w:r>
      <w:r w:rsidRPr="008278A5">
        <w:rPr>
          <w:rFonts w:ascii="Calibri" w:hAnsi="Calibri"/>
          <w:strike/>
          <w:color w:val="00B0F0"/>
          <w:szCs w:val="22"/>
          <w:highlight w:val="yellow"/>
          <w:lang w:val="en-US" w:eastAsia="zh-CN"/>
        </w:rPr>
        <w:t>shall</w:t>
      </w:r>
      <w:r w:rsidRPr="008278A5">
        <w:rPr>
          <w:rFonts w:ascii="Calibri" w:hAnsi="Calibri"/>
          <w:color w:val="00B0F0"/>
          <w:szCs w:val="22"/>
          <w:highlight w:val="yellow"/>
          <w:lang w:val="en-US" w:eastAsia="zh-CN"/>
        </w:rPr>
        <w:t xml:space="preserve"> may</w:t>
      </w:r>
      <w:r w:rsidRPr="008278A5">
        <w:rPr>
          <w:rFonts w:ascii="Calibri" w:hAnsi="Calibri"/>
          <w:color w:val="00B0F0"/>
          <w:szCs w:val="22"/>
          <w:lang w:val="en-US" w:eastAsia="zh-CN"/>
        </w:rPr>
        <w:t xml:space="preserve"> </w:t>
      </w:r>
      <w:r>
        <w:rPr>
          <w:rFonts w:ascii="Calibri" w:hAnsi="Calibri"/>
          <w:color w:val="000000"/>
          <w:szCs w:val="22"/>
          <w:lang w:val="en-US" w:eastAsia="zh-CN"/>
        </w:rPr>
        <w:t>set the Supported Channel Width Set subfield of the VHT Capabilities element to a value that indicates the same channel width capabilitu as the channel width capability indicated in the HE Capabilities element,</w:t>
      </w:r>
      <w:r w:rsidRPr="001F2CC1">
        <w:rPr>
          <w:rFonts w:ascii="Calibri" w:hAnsi="Calibri"/>
          <w:color w:val="000000"/>
          <w:szCs w:val="22"/>
          <w:lang w:val="en-US" w:eastAsia="zh-CN"/>
        </w:rPr>
        <w:t xml:space="preserve"> except when the STA is a 20 MHz-only non-AP HE STA in which case the Supported Channel Width Set subfield of the VHT Capabilities element is reserved.</w:t>
      </w:r>
    </w:p>
    <w:p w14:paraId="674E8919" w14:textId="6E789A8D" w:rsidR="00DC7A8F" w:rsidRDefault="00DC7A8F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</w:p>
    <w:p w14:paraId="23CE10F5" w14:textId="77777777" w:rsidR="008278A5" w:rsidRDefault="008278A5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</w:p>
    <w:p w14:paraId="2F4B7EAB" w14:textId="7F02D126" w:rsidR="00952A42" w:rsidRPr="00952A42" w:rsidRDefault="00952A42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t xml:space="preserve">An HE STA shall not transmit </w:t>
      </w:r>
      <w:r w:rsidRPr="001F2CC1">
        <w:rPr>
          <w:rFonts w:ascii="Calibri" w:hAnsi="Calibri"/>
          <w:color w:val="00B0F0"/>
          <w:szCs w:val="22"/>
          <w:highlight w:val="yellow"/>
          <w:u w:val="single"/>
          <w:lang w:val="en-US" w:eastAsia="zh-CN"/>
        </w:rPr>
        <w:t>HE PPDU</w:t>
      </w:r>
      <w:r w:rsidRPr="00952A42">
        <w:rPr>
          <w:rFonts w:ascii="Calibri" w:hAnsi="Calibri"/>
          <w:color w:val="00B0F0"/>
          <w:szCs w:val="22"/>
          <w:lang w:val="en-US" w:eastAsia="zh-CN"/>
        </w:rPr>
        <w:t xml:space="preserve"> </w:t>
      </w:r>
      <w:r>
        <w:rPr>
          <w:rFonts w:ascii="Calibri" w:hAnsi="Calibri"/>
          <w:color w:val="000000"/>
          <w:szCs w:val="22"/>
          <w:lang w:val="en-US" w:eastAsia="zh-CN"/>
        </w:rPr>
        <w:t>to a second HE STA using a bandwidth that is not indicated as supported in the Channel Width Set subfield in the HE Capabilities element received from that HE STA</w:t>
      </w:r>
    </w:p>
    <w:p w14:paraId="3E658876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</w:p>
    <w:p w14:paraId="5830FC18" w14:textId="77777777" w:rsidR="00B904C8" w:rsidRP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" w:hAnsi="Times"/>
          <w:b/>
          <w:color w:val="000000"/>
          <w:sz w:val="24"/>
          <w:szCs w:val="24"/>
          <w:lang w:val="en-US" w:eastAsia="zh-CN"/>
        </w:rPr>
      </w:pPr>
      <w:r w:rsidRPr="00B904C8">
        <w:rPr>
          <w:rFonts w:ascii="Times" w:hAnsi="Times"/>
          <w:b/>
          <w:color w:val="000000"/>
          <w:sz w:val="24"/>
          <w:szCs w:val="24"/>
          <w:lang w:val="en-US" w:eastAsia="zh-CN"/>
        </w:rPr>
        <w:t>Straw Poll</w:t>
      </w:r>
    </w:p>
    <w:p w14:paraId="6A440DC4" w14:textId="6D4297CC" w:rsidR="00B904C8" w:rsidRDefault="006B1B95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t xml:space="preserve">Do you agree to allow different </w:t>
      </w:r>
      <w:r w:rsidR="00B904C8">
        <w:rPr>
          <w:rFonts w:ascii="Calibri" w:hAnsi="Calibri"/>
          <w:color w:val="000000"/>
          <w:szCs w:val="22"/>
          <w:lang w:val="en-US" w:eastAsia="zh-CN"/>
        </w:rPr>
        <w:t>channel width capabilities advertisements in VHT and HE Capabilities elements, and the resultion text presented in this contribution?</w:t>
      </w:r>
    </w:p>
    <w:p w14:paraId="4FD10B5E" w14:textId="77777777" w:rsidR="00B904C8" w:rsidRPr="004146CD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/>
          <w:color w:val="000000"/>
          <w:szCs w:val="22"/>
          <w:lang w:val="en-US" w:eastAsia="zh-CN"/>
        </w:rPr>
        <w:t>Y/N/A</w:t>
      </w:r>
    </w:p>
    <w:p w14:paraId="6AAA39D1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67A2A228" w14:textId="6533D2E3" w:rsidR="006D6949" w:rsidRDefault="006D694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 w:rsidRPr="00574DD1">
        <w:rPr>
          <w:rFonts w:ascii="Times" w:hAnsi="Times" w:cs="Times"/>
          <w:b/>
          <w:color w:val="000000"/>
          <w:sz w:val="24"/>
          <w:szCs w:val="24"/>
          <w:lang w:val="en-US"/>
        </w:rPr>
        <w:t>Background Information:</w:t>
      </w:r>
    </w:p>
    <w:p w14:paraId="167C6E58" w14:textId="618A42C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already have two separate mechanisms of signaling channel width + NSS capacities:</w:t>
      </w:r>
    </w:p>
    <w:p w14:paraId="3EA1D58C" w14:textId="227247B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channel width + NSS capacit</w:t>
      </w:r>
      <w:r w:rsidR="007A55AB">
        <w:rPr>
          <w:rFonts w:ascii="Times" w:hAnsi="Times" w:cs="Times"/>
          <w:color w:val="000000"/>
          <w:sz w:val="24"/>
          <w:szCs w:val="24"/>
          <w:lang w:val="en-US"/>
        </w:rPr>
        <w:t>y encoding is depicted in:</w:t>
      </w:r>
    </w:p>
    <w:p w14:paraId="19BDD3C7" w14:textId="3C1AE0AC" w:rsidR="007A55AB" w:rsidRDefault="00D10422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10422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E29EC8A" wp14:editId="794EB1F9">
            <wp:extent cx="5943600" cy="439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048" w14:textId="05139876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lastRenderedPageBreak/>
        <w:t>HE channel width + NSS c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apacity encoding is depicted in</w:t>
      </w:r>
      <w:r w:rsidR="00E7405B">
        <w:rPr>
          <w:rFonts w:ascii="Times" w:hAnsi="Times" w:cs="Times"/>
          <w:color w:val="000000"/>
          <w:sz w:val="24"/>
          <w:szCs w:val="24"/>
          <w:lang w:val="en-US"/>
        </w:rPr>
        <w:t xml:space="preserve"> HE-MCS And NSS Set field in HE Capabilities element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5BCC91A6" w14:textId="262C5987" w:rsidR="00E7405B" w:rsidRDefault="001F38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1F38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E734A0A" wp14:editId="38622262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DFFF" w14:textId="0F55FB79" w:rsidR="001F384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496F6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709D0C39" wp14:editId="7891E89F">
            <wp:extent cx="5943600" cy="1403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379" w14:textId="423E4CD8" w:rsidR="00D10422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also have their own mecha</w:t>
      </w:r>
      <w:r w:rsidR="002F1321">
        <w:rPr>
          <w:rFonts w:ascii="Times" w:hAnsi="Times" w:cs="Times"/>
          <w:color w:val="000000"/>
          <w:sz w:val="24"/>
          <w:szCs w:val="24"/>
          <w:lang w:val="en-US"/>
        </w:rPr>
        <w:t>nisms of signaling channel bandwidth</w:t>
      </w:r>
      <w:r w:rsidR="00FA74AB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6F2D91C6" w14:textId="28B326A0" w:rsidR="00FA74AB" w:rsidRDefault="00FA74AB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uses Operation Mode Notification element to signaling runtime channel width, Rx NSS:</w:t>
      </w:r>
    </w:p>
    <w:p w14:paraId="33503FFA" w14:textId="5E6CF8E9" w:rsidR="00FA74AB" w:rsidRDefault="000C0DB4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0DB4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595E87A" wp14:editId="1D69CEF9">
            <wp:extent cx="5943600" cy="1692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F4E7" w14:textId="5B8467BC" w:rsidR="000C0DB4" w:rsidRDefault="009C613E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9C613E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18C7FE7" wp14:editId="7EE08B1A">
            <wp:extent cx="5943600" cy="3903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09A" w14:textId="70A1AD8A" w:rsidR="009C613E" w:rsidRDefault="000C6FD8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6FD8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58B77C1" wp14:editId="110EB95D">
            <wp:extent cx="5943600" cy="4540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273" w14:textId="397362A4" w:rsidR="000C6FD8" w:rsidRDefault="00D2361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23616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1A9BFEA7" wp14:editId="440FFBE2">
            <wp:extent cx="5943600" cy="293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D303" w14:textId="4084BB2D" w:rsidR="00D23616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703F86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3F0D75BB" wp14:editId="01600EEB">
            <wp:extent cx="5943600" cy="4380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EF89" w14:textId="753D7284" w:rsidR="00703F86" w:rsidRDefault="0088257F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HE uses OM Control</w:t>
      </w:r>
      <w:r w:rsidR="00703F86">
        <w:rPr>
          <w:rFonts w:ascii="Times" w:hAnsi="Times" w:cs="Times"/>
          <w:color w:val="000000"/>
          <w:sz w:val="24"/>
          <w:szCs w:val="24"/>
          <w:lang w:val="en-US"/>
        </w:rPr>
        <w:t xml:space="preserve"> field to signal runtime channel width + Tx/Rx NSS changes:</w:t>
      </w:r>
    </w:p>
    <w:p w14:paraId="1E03EAFA" w14:textId="7229F0A5" w:rsidR="00703F86" w:rsidRDefault="00615E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615E4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4E01DA2F" wp14:editId="66FEC8B6">
            <wp:extent cx="5943600" cy="951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62" w14:textId="77777777" w:rsidR="00703F86" w:rsidRPr="00574DD1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55E4A6E" w14:textId="090E4D5A" w:rsidR="009A2425" w:rsidRDefault="009A24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924024F" w14:textId="04BA32C4" w:rsidR="00D62503" w:rsidRDefault="00D62503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80C054A" w14:textId="763A3E19" w:rsidR="00345777" w:rsidRDefault="00345777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B75E65D" w14:textId="77777777" w:rsidR="00FD6329" w:rsidRDefault="00FD632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A1955F" w14:textId="336D4E6D" w:rsidR="00400956" w:rsidRPr="00282F97" w:rsidRDefault="00400956" w:rsidP="0040095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sectPr w:rsidR="00400956" w:rsidRPr="00282F9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D8678" w14:textId="77777777" w:rsidR="006166AD" w:rsidRDefault="006166AD">
      <w:r>
        <w:separator/>
      </w:r>
    </w:p>
  </w:endnote>
  <w:endnote w:type="continuationSeparator" w:id="0">
    <w:p w14:paraId="359A79D0" w14:textId="77777777" w:rsidR="006166AD" w:rsidRDefault="0061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45D64" w14:textId="77777777" w:rsidR="00B5169A" w:rsidRDefault="00B51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D0B3" w14:textId="05985806" w:rsidR="0029020B" w:rsidRDefault="00816E3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22C69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D7FEA">
      <w:rPr>
        <w:noProof/>
      </w:rPr>
      <w:t>1</w:t>
    </w:r>
    <w:r w:rsidR="0029020B">
      <w:fldChar w:fldCharType="end"/>
    </w:r>
    <w:r w:rsidR="0029020B">
      <w:tab/>
    </w:r>
    <w:r w:rsidR="00E0536E">
      <w:t>Huizhao Wang, Quantenna</w:t>
    </w:r>
  </w:p>
  <w:p w14:paraId="767F1886" w14:textId="77777777" w:rsidR="0029020B" w:rsidRDefault="0029020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4CC77" w14:textId="77777777" w:rsidR="00B5169A" w:rsidRDefault="00B51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E5C23" w14:textId="77777777" w:rsidR="006166AD" w:rsidRDefault="006166AD">
      <w:r>
        <w:separator/>
      </w:r>
    </w:p>
  </w:footnote>
  <w:footnote w:type="continuationSeparator" w:id="0">
    <w:p w14:paraId="2D26B63D" w14:textId="77777777" w:rsidR="006166AD" w:rsidRDefault="0061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4F5F1" w14:textId="77777777" w:rsidR="00B5169A" w:rsidRDefault="00B51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4761" w14:textId="7477E2D2" w:rsidR="0029020B" w:rsidRDefault="00FC5025">
    <w:pPr>
      <w:pStyle w:val="Header"/>
      <w:tabs>
        <w:tab w:val="clear" w:pos="6480"/>
        <w:tab w:val="center" w:pos="4680"/>
        <w:tab w:val="right" w:pos="9360"/>
      </w:tabs>
    </w:pPr>
    <w:r>
      <w:t>January 2018</w:t>
    </w:r>
    <w:r w:rsidR="0029020B">
      <w:tab/>
    </w:r>
    <w:r w:rsidR="0029020B">
      <w:tab/>
    </w:r>
    <w:fldSimple w:instr=" TITLE  \* MERGEFORMAT ">
      <w:r w:rsidR="00663E74">
        <w:t>doc.: IEEE 802.11-18</w:t>
      </w:r>
      <w:r w:rsidR="00EC3615">
        <w:t>/0200</w:t>
      </w:r>
      <w:r w:rsidR="0045625D">
        <w:t>r</w:t>
      </w:r>
      <w:r w:rsidR="00B5169A">
        <w:t>5</w:t>
      </w:r>
      <w:bookmarkStart w:id="0" w:name="_GoBack"/>
      <w:bookmarkEnd w:id="0"/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49159" w14:textId="77777777" w:rsidR="00B5169A" w:rsidRDefault="00B51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mirrorMargin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69"/>
    <w:rsid w:val="00021591"/>
    <w:rsid w:val="0005573B"/>
    <w:rsid w:val="0006655E"/>
    <w:rsid w:val="0007176A"/>
    <w:rsid w:val="000C0C8F"/>
    <w:rsid w:val="000C0DB4"/>
    <w:rsid w:val="000C6FD8"/>
    <w:rsid w:val="000D3C45"/>
    <w:rsid w:val="000F362B"/>
    <w:rsid w:val="00173C1A"/>
    <w:rsid w:val="0019763C"/>
    <w:rsid w:val="001A032C"/>
    <w:rsid w:val="001D723B"/>
    <w:rsid w:val="001D7BD6"/>
    <w:rsid w:val="001F2CC1"/>
    <w:rsid w:val="001F384A"/>
    <w:rsid w:val="00222C69"/>
    <w:rsid w:val="0023039B"/>
    <w:rsid w:val="00230AD5"/>
    <w:rsid w:val="00232DB0"/>
    <w:rsid w:val="00242AAF"/>
    <w:rsid w:val="0026603D"/>
    <w:rsid w:val="00275C0A"/>
    <w:rsid w:val="00282F97"/>
    <w:rsid w:val="00283F35"/>
    <w:rsid w:val="0029020B"/>
    <w:rsid w:val="00290587"/>
    <w:rsid w:val="00297787"/>
    <w:rsid w:val="002A33E4"/>
    <w:rsid w:val="002D1CF6"/>
    <w:rsid w:val="002D44BE"/>
    <w:rsid w:val="002E4F0B"/>
    <w:rsid w:val="002E5868"/>
    <w:rsid w:val="002F1321"/>
    <w:rsid w:val="003301F4"/>
    <w:rsid w:val="00345777"/>
    <w:rsid w:val="003520A6"/>
    <w:rsid w:val="00355A66"/>
    <w:rsid w:val="00375B6D"/>
    <w:rsid w:val="0038510B"/>
    <w:rsid w:val="00396D0C"/>
    <w:rsid w:val="003A2642"/>
    <w:rsid w:val="003D481A"/>
    <w:rsid w:val="003D7284"/>
    <w:rsid w:val="003E6C9F"/>
    <w:rsid w:val="00400956"/>
    <w:rsid w:val="004020BC"/>
    <w:rsid w:val="00410FCB"/>
    <w:rsid w:val="004146CD"/>
    <w:rsid w:val="00423590"/>
    <w:rsid w:val="00435E9E"/>
    <w:rsid w:val="00442037"/>
    <w:rsid w:val="0045625D"/>
    <w:rsid w:val="00467EE7"/>
    <w:rsid w:val="00496F6A"/>
    <w:rsid w:val="004A2606"/>
    <w:rsid w:val="004A2BEE"/>
    <w:rsid w:val="004A6F52"/>
    <w:rsid w:val="004B064B"/>
    <w:rsid w:val="004B706C"/>
    <w:rsid w:val="004D1DA9"/>
    <w:rsid w:val="004E67A9"/>
    <w:rsid w:val="00501A36"/>
    <w:rsid w:val="00505971"/>
    <w:rsid w:val="00510AE9"/>
    <w:rsid w:val="005274EA"/>
    <w:rsid w:val="005558FE"/>
    <w:rsid w:val="00567F39"/>
    <w:rsid w:val="0057289D"/>
    <w:rsid w:val="00574DD1"/>
    <w:rsid w:val="005B0459"/>
    <w:rsid w:val="005C1CA6"/>
    <w:rsid w:val="005D6090"/>
    <w:rsid w:val="005E512C"/>
    <w:rsid w:val="0060241D"/>
    <w:rsid w:val="00611479"/>
    <w:rsid w:val="00615E4A"/>
    <w:rsid w:val="006166AD"/>
    <w:rsid w:val="0062440B"/>
    <w:rsid w:val="006454A0"/>
    <w:rsid w:val="00663E74"/>
    <w:rsid w:val="0067108D"/>
    <w:rsid w:val="0069463D"/>
    <w:rsid w:val="006A1B77"/>
    <w:rsid w:val="006A5803"/>
    <w:rsid w:val="006B1B95"/>
    <w:rsid w:val="006C0727"/>
    <w:rsid w:val="006D6949"/>
    <w:rsid w:val="006E145F"/>
    <w:rsid w:val="00703F86"/>
    <w:rsid w:val="00765FC5"/>
    <w:rsid w:val="00770572"/>
    <w:rsid w:val="0077385B"/>
    <w:rsid w:val="00774147"/>
    <w:rsid w:val="007830FD"/>
    <w:rsid w:val="007A55AB"/>
    <w:rsid w:val="007E2F30"/>
    <w:rsid w:val="00814FBD"/>
    <w:rsid w:val="00816E3E"/>
    <w:rsid w:val="008278A5"/>
    <w:rsid w:val="00835F6B"/>
    <w:rsid w:val="00843C0F"/>
    <w:rsid w:val="0084454D"/>
    <w:rsid w:val="00847A42"/>
    <w:rsid w:val="00857F94"/>
    <w:rsid w:val="0086498A"/>
    <w:rsid w:val="00872B31"/>
    <w:rsid w:val="00873FF0"/>
    <w:rsid w:val="0088257F"/>
    <w:rsid w:val="008E5C7A"/>
    <w:rsid w:val="008F2498"/>
    <w:rsid w:val="009017B0"/>
    <w:rsid w:val="00952A42"/>
    <w:rsid w:val="0097297A"/>
    <w:rsid w:val="00983C83"/>
    <w:rsid w:val="009A2425"/>
    <w:rsid w:val="009A5F07"/>
    <w:rsid w:val="009C613E"/>
    <w:rsid w:val="009C7265"/>
    <w:rsid w:val="009D7FEA"/>
    <w:rsid w:val="009F2FBC"/>
    <w:rsid w:val="00A00A00"/>
    <w:rsid w:val="00A03853"/>
    <w:rsid w:val="00A04279"/>
    <w:rsid w:val="00A14B6F"/>
    <w:rsid w:val="00A20A9D"/>
    <w:rsid w:val="00A37B9E"/>
    <w:rsid w:val="00A4524A"/>
    <w:rsid w:val="00A84151"/>
    <w:rsid w:val="00A9085B"/>
    <w:rsid w:val="00AA1BB7"/>
    <w:rsid w:val="00AA427C"/>
    <w:rsid w:val="00AC5041"/>
    <w:rsid w:val="00AE2BD7"/>
    <w:rsid w:val="00AF60E3"/>
    <w:rsid w:val="00B33D5E"/>
    <w:rsid w:val="00B4580B"/>
    <w:rsid w:val="00B50C84"/>
    <w:rsid w:val="00B5169A"/>
    <w:rsid w:val="00B54F87"/>
    <w:rsid w:val="00B6235D"/>
    <w:rsid w:val="00B904C8"/>
    <w:rsid w:val="00BA1F61"/>
    <w:rsid w:val="00BC7C51"/>
    <w:rsid w:val="00BD2B45"/>
    <w:rsid w:val="00BD2B59"/>
    <w:rsid w:val="00BD5F34"/>
    <w:rsid w:val="00BE68C2"/>
    <w:rsid w:val="00BE7120"/>
    <w:rsid w:val="00BF4AD3"/>
    <w:rsid w:val="00C247CB"/>
    <w:rsid w:val="00C51EFC"/>
    <w:rsid w:val="00C6446E"/>
    <w:rsid w:val="00C67571"/>
    <w:rsid w:val="00C93057"/>
    <w:rsid w:val="00CA09B2"/>
    <w:rsid w:val="00CA43BF"/>
    <w:rsid w:val="00CC59BA"/>
    <w:rsid w:val="00CD235B"/>
    <w:rsid w:val="00CD5ABE"/>
    <w:rsid w:val="00D10422"/>
    <w:rsid w:val="00D23616"/>
    <w:rsid w:val="00D3264E"/>
    <w:rsid w:val="00D45541"/>
    <w:rsid w:val="00D62503"/>
    <w:rsid w:val="00D70EEE"/>
    <w:rsid w:val="00DB0758"/>
    <w:rsid w:val="00DC2004"/>
    <w:rsid w:val="00DC5A7B"/>
    <w:rsid w:val="00DC7A8F"/>
    <w:rsid w:val="00DF58BE"/>
    <w:rsid w:val="00E0066B"/>
    <w:rsid w:val="00E00736"/>
    <w:rsid w:val="00E0536E"/>
    <w:rsid w:val="00E2010F"/>
    <w:rsid w:val="00E36650"/>
    <w:rsid w:val="00E4705E"/>
    <w:rsid w:val="00E7405B"/>
    <w:rsid w:val="00E84B56"/>
    <w:rsid w:val="00E9351D"/>
    <w:rsid w:val="00EC3615"/>
    <w:rsid w:val="00F4423F"/>
    <w:rsid w:val="00F46DE1"/>
    <w:rsid w:val="00F77C25"/>
    <w:rsid w:val="00F839AD"/>
    <w:rsid w:val="00F86D56"/>
    <w:rsid w:val="00F86FED"/>
    <w:rsid w:val="00FA74AB"/>
    <w:rsid w:val="00FB6FFB"/>
    <w:rsid w:val="00FC44EE"/>
    <w:rsid w:val="00FC5025"/>
    <w:rsid w:val="00FD6329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27</TotalTime>
  <Pages>7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Some Company</Company>
  <LinksUpToDate>false</LinksUpToDate>
  <CharactersWithSpaces>4359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Harkins, Daniel</dc:creator>
  <cp:keywords>Month Year</cp:keywords>
  <dc:description>John Doe, Some Company</dc:description>
  <cp:lastModifiedBy>Huizhao Wang</cp:lastModifiedBy>
  <cp:revision>8</cp:revision>
  <cp:lastPrinted>1900-01-01T07:59:39Z</cp:lastPrinted>
  <dcterms:created xsi:type="dcterms:W3CDTF">2018-05-04T09:39:00Z</dcterms:created>
  <dcterms:modified xsi:type="dcterms:W3CDTF">2018-05-04T10:08:00Z</dcterms:modified>
  <cp:category/>
</cp:coreProperties>
</file>