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rsidTr="00835F6B">
        <w:trPr>
          <w:trHeight w:val="485"/>
          <w:jc w:val="center"/>
        </w:trPr>
        <w:tc>
          <w:tcPr>
            <w:tcW w:w="9576" w:type="dxa"/>
            <w:gridSpan w:val="5"/>
            <w:vAlign w:val="center"/>
          </w:tcPr>
          <w:p w14:paraId="3EAD62B5" w14:textId="430D9699" w:rsidR="00CA09B2" w:rsidRDefault="00FC5025">
            <w:pPr>
              <w:pStyle w:val="T2"/>
            </w:pPr>
            <w:r>
              <w:t>Decouple Channel Width Capabilities between VHT and HE PHY Mode</w:t>
            </w:r>
          </w:p>
        </w:tc>
      </w:tr>
      <w:tr w:rsidR="00CA09B2" w14:paraId="756FF1B6" w14:textId="77777777" w:rsidTr="00835F6B">
        <w:trPr>
          <w:trHeight w:val="359"/>
          <w:jc w:val="center"/>
        </w:trPr>
        <w:tc>
          <w:tcPr>
            <w:tcW w:w="9576" w:type="dxa"/>
            <w:gridSpan w:val="5"/>
            <w:vAlign w:val="center"/>
          </w:tcPr>
          <w:p w14:paraId="3C070C4E" w14:textId="5463F805" w:rsidR="00CA09B2" w:rsidRDefault="00CA09B2">
            <w:pPr>
              <w:pStyle w:val="T2"/>
              <w:ind w:left="0"/>
              <w:rPr>
                <w:sz w:val="20"/>
              </w:rPr>
            </w:pPr>
            <w:r>
              <w:rPr>
                <w:sz w:val="20"/>
              </w:rPr>
              <w:t>Date:</w:t>
            </w:r>
            <w:r w:rsidR="00FC5025">
              <w:rPr>
                <w:b w:val="0"/>
                <w:sz w:val="20"/>
              </w:rPr>
              <w:t xml:space="preserve">  2018-01-15</w:t>
            </w:r>
          </w:p>
        </w:tc>
      </w:tr>
      <w:tr w:rsidR="00CA09B2" w14:paraId="1A8E325F" w14:textId="77777777" w:rsidTr="00835F6B">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rsidTr="00835F6B">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rsidTr="00835F6B">
        <w:trPr>
          <w:jc w:val="center"/>
        </w:trPr>
        <w:tc>
          <w:tcPr>
            <w:tcW w:w="1336" w:type="dxa"/>
            <w:vAlign w:val="center"/>
          </w:tcPr>
          <w:p w14:paraId="135471F1" w14:textId="26DB38D5" w:rsidR="00CA09B2" w:rsidRPr="00A00A00" w:rsidRDefault="006A1B77">
            <w:pPr>
              <w:pStyle w:val="T2"/>
              <w:spacing w:after="0"/>
              <w:ind w:left="0" w:right="0"/>
              <w:rPr>
                <w:b w:val="0"/>
                <w:sz w:val="18"/>
                <w:szCs w:val="18"/>
              </w:rPr>
            </w:pPr>
            <w:r w:rsidRPr="00A00A00">
              <w:rPr>
                <w:b w:val="0"/>
                <w:sz w:val="18"/>
                <w:szCs w:val="18"/>
              </w:rPr>
              <w:t>Huizhao Wang</w:t>
            </w:r>
          </w:p>
        </w:tc>
        <w:tc>
          <w:tcPr>
            <w:tcW w:w="2064" w:type="dxa"/>
            <w:vAlign w:val="center"/>
          </w:tcPr>
          <w:p w14:paraId="29A3D51D" w14:textId="79F90F3D" w:rsidR="00CA09B2" w:rsidRPr="00A00A00" w:rsidRDefault="006A1B77" w:rsidP="006A1B77">
            <w:pPr>
              <w:pStyle w:val="T2"/>
              <w:spacing w:after="0"/>
              <w:ind w:left="0" w:right="0"/>
              <w:jc w:val="left"/>
              <w:rPr>
                <w:b w:val="0"/>
                <w:sz w:val="18"/>
                <w:szCs w:val="18"/>
              </w:rPr>
            </w:pPr>
            <w:r w:rsidRPr="00A00A00">
              <w:rPr>
                <w:b w:val="0"/>
                <w:sz w:val="18"/>
                <w:szCs w:val="18"/>
              </w:rPr>
              <w:t>Quantenna Communications</w:t>
            </w:r>
          </w:p>
        </w:tc>
        <w:tc>
          <w:tcPr>
            <w:tcW w:w="2814" w:type="dxa"/>
            <w:vAlign w:val="center"/>
          </w:tcPr>
          <w:p w14:paraId="55988CC6" w14:textId="77777777" w:rsidR="00835F6B" w:rsidRPr="00835F6B" w:rsidRDefault="00835F6B" w:rsidP="00835F6B">
            <w:pPr>
              <w:rPr>
                <w:sz w:val="18"/>
                <w:szCs w:val="18"/>
                <w:lang w:val="en-US" w:eastAsia="zh-CN"/>
              </w:rPr>
            </w:pPr>
            <w:r w:rsidRPr="00835F6B">
              <w:rPr>
                <w:sz w:val="18"/>
                <w:szCs w:val="18"/>
                <w:shd w:val="clear" w:color="auto" w:fill="FFFFFF"/>
                <w:lang w:val="en-US" w:eastAsia="zh-CN"/>
              </w:rPr>
              <w:t>Quantenna Communications, Inc.</w:t>
            </w:r>
            <w:r w:rsidRPr="00835F6B">
              <w:rPr>
                <w:sz w:val="18"/>
                <w:szCs w:val="18"/>
                <w:lang w:val="en-US" w:eastAsia="zh-CN"/>
              </w:rPr>
              <w:br/>
            </w:r>
            <w:r w:rsidRPr="00835F6B">
              <w:rPr>
                <w:sz w:val="18"/>
                <w:szCs w:val="18"/>
                <w:shd w:val="clear" w:color="auto" w:fill="FFFFFF"/>
                <w:lang w:val="en-US" w:eastAsia="zh-CN"/>
              </w:rPr>
              <w:t>1704 Automation Parkway,</w:t>
            </w:r>
            <w:r w:rsidRPr="00835F6B">
              <w:rPr>
                <w:sz w:val="18"/>
                <w:szCs w:val="18"/>
                <w:lang w:val="en-US" w:eastAsia="zh-CN"/>
              </w:rPr>
              <w:br/>
            </w:r>
            <w:r w:rsidRPr="00835F6B">
              <w:rPr>
                <w:sz w:val="18"/>
                <w:szCs w:val="18"/>
                <w:shd w:val="clear" w:color="auto" w:fill="FFFFFF"/>
                <w:lang w:val="en-US" w:eastAsia="zh-CN"/>
              </w:rPr>
              <w:t>San Jose, CA 95131, USA</w:t>
            </w:r>
          </w:p>
          <w:p w14:paraId="0D33739C" w14:textId="5421D0D6" w:rsidR="00355A66" w:rsidRPr="00A00A00" w:rsidRDefault="00355A66" w:rsidP="006A1B77">
            <w:pPr>
              <w:pStyle w:val="T2"/>
              <w:spacing w:after="0"/>
              <w:ind w:left="0" w:right="0"/>
              <w:rPr>
                <w:b w:val="0"/>
                <w:sz w:val="18"/>
                <w:szCs w:val="18"/>
                <w:lang w:val="en-US"/>
              </w:rPr>
            </w:pPr>
          </w:p>
        </w:tc>
        <w:tc>
          <w:tcPr>
            <w:tcW w:w="1715" w:type="dxa"/>
            <w:vAlign w:val="center"/>
          </w:tcPr>
          <w:p w14:paraId="09E6D262" w14:textId="77777777" w:rsidR="00CA09B2" w:rsidRPr="00A00A00" w:rsidRDefault="00CA09B2">
            <w:pPr>
              <w:pStyle w:val="T2"/>
              <w:spacing w:after="0"/>
              <w:ind w:left="0" w:right="0"/>
              <w:rPr>
                <w:b w:val="0"/>
                <w:sz w:val="18"/>
                <w:szCs w:val="18"/>
              </w:rPr>
            </w:pPr>
          </w:p>
        </w:tc>
        <w:tc>
          <w:tcPr>
            <w:tcW w:w="1647" w:type="dxa"/>
            <w:vAlign w:val="center"/>
          </w:tcPr>
          <w:p w14:paraId="7721C19B" w14:textId="585D58C7" w:rsidR="00CA09B2" w:rsidRPr="00A00A00" w:rsidRDefault="00835F6B">
            <w:pPr>
              <w:pStyle w:val="T2"/>
              <w:spacing w:after="0"/>
              <w:ind w:left="0" w:right="0"/>
              <w:rPr>
                <w:b w:val="0"/>
                <w:sz w:val="18"/>
                <w:szCs w:val="18"/>
              </w:rPr>
            </w:pPr>
            <w:r w:rsidRPr="00A00A00">
              <w:rPr>
                <w:b w:val="0"/>
                <w:sz w:val="18"/>
                <w:szCs w:val="18"/>
              </w:rPr>
              <w:t>hwang@quantenna.com</w:t>
            </w:r>
          </w:p>
        </w:tc>
      </w:tr>
      <w:tr w:rsidR="00F839AD" w14:paraId="654E0457" w14:textId="77777777" w:rsidTr="00835F6B">
        <w:trPr>
          <w:jc w:val="center"/>
        </w:trPr>
        <w:tc>
          <w:tcPr>
            <w:tcW w:w="1336" w:type="dxa"/>
            <w:vAlign w:val="center"/>
          </w:tcPr>
          <w:p w14:paraId="2ACDF1FD" w14:textId="04EDEF78" w:rsidR="00F839AD" w:rsidRPr="00A00A00" w:rsidRDefault="00410FCB">
            <w:pPr>
              <w:pStyle w:val="T2"/>
              <w:spacing w:after="0"/>
              <w:ind w:left="0" w:right="0"/>
              <w:rPr>
                <w:b w:val="0"/>
                <w:sz w:val="18"/>
                <w:szCs w:val="18"/>
              </w:rPr>
            </w:pPr>
            <w:proofErr w:type="spellStart"/>
            <w:r w:rsidRPr="00410FCB">
              <w:rPr>
                <w:b w:val="0"/>
                <w:sz w:val="18"/>
                <w:szCs w:val="18"/>
              </w:rPr>
              <w:t>Sigurd</w:t>
            </w:r>
            <w:proofErr w:type="spellEnd"/>
            <w:r w:rsidRPr="00410FCB">
              <w:rPr>
                <w:b w:val="0"/>
                <w:sz w:val="18"/>
                <w:szCs w:val="18"/>
              </w:rPr>
              <w:t xml:space="preserve"> </w:t>
            </w:r>
            <w:proofErr w:type="spellStart"/>
            <w:r w:rsidRPr="00410FCB">
              <w:rPr>
                <w:b w:val="0"/>
                <w:sz w:val="18"/>
                <w:szCs w:val="18"/>
              </w:rPr>
              <w:t>Schelstra</w:t>
            </w:r>
            <w:r>
              <w:rPr>
                <w:b w:val="0"/>
                <w:sz w:val="18"/>
                <w:szCs w:val="18"/>
              </w:rPr>
              <w:t>ete</w:t>
            </w:r>
            <w:proofErr w:type="spellEnd"/>
          </w:p>
        </w:tc>
        <w:tc>
          <w:tcPr>
            <w:tcW w:w="2064" w:type="dxa"/>
            <w:vAlign w:val="center"/>
          </w:tcPr>
          <w:p w14:paraId="39C93148" w14:textId="37088FDB" w:rsidR="00F839AD" w:rsidRPr="00A00A00" w:rsidRDefault="00410FCB" w:rsidP="006A1B77">
            <w:pPr>
              <w:pStyle w:val="T2"/>
              <w:spacing w:after="0"/>
              <w:ind w:left="0" w:right="0"/>
              <w:jc w:val="left"/>
              <w:rPr>
                <w:b w:val="0"/>
                <w:sz w:val="18"/>
                <w:szCs w:val="18"/>
              </w:rPr>
            </w:pPr>
            <w:r>
              <w:rPr>
                <w:b w:val="0"/>
                <w:sz w:val="18"/>
                <w:szCs w:val="18"/>
              </w:rPr>
              <w:t>Quantenna Communications</w:t>
            </w:r>
          </w:p>
        </w:tc>
        <w:tc>
          <w:tcPr>
            <w:tcW w:w="2814" w:type="dxa"/>
            <w:vAlign w:val="center"/>
          </w:tcPr>
          <w:p w14:paraId="76745DBC" w14:textId="77777777" w:rsidR="00F839AD" w:rsidRPr="00835F6B" w:rsidRDefault="00F839AD" w:rsidP="00835F6B">
            <w:pPr>
              <w:rPr>
                <w:sz w:val="18"/>
                <w:szCs w:val="18"/>
                <w:shd w:val="clear" w:color="auto" w:fill="FFFFFF"/>
                <w:lang w:val="en-US" w:eastAsia="zh-CN"/>
              </w:rPr>
            </w:pPr>
          </w:p>
        </w:tc>
        <w:tc>
          <w:tcPr>
            <w:tcW w:w="1715" w:type="dxa"/>
            <w:vAlign w:val="center"/>
          </w:tcPr>
          <w:p w14:paraId="693CF98B" w14:textId="77777777" w:rsidR="00F839AD" w:rsidRPr="00A00A00" w:rsidRDefault="00F839AD">
            <w:pPr>
              <w:pStyle w:val="T2"/>
              <w:spacing w:after="0"/>
              <w:ind w:left="0" w:right="0"/>
              <w:rPr>
                <w:b w:val="0"/>
                <w:sz w:val="18"/>
                <w:szCs w:val="18"/>
              </w:rPr>
            </w:pPr>
          </w:p>
        </w:tc>
        <w:tc>
          <w:tcPr>
            <w:tcW w:w="1647" w:type="dxa"/>
            <w:vAlign w:val="center"/>
          </w:tcPr>
          <w:p w14:paraId="633E3A43" w14:textId="137DAE88" w:rsidR="00F839AD" w:rsidRPr="00A00A00" w:rsidRDefault="00410FCB">
            <w:pPr>
              <w:pStyle w:val="T2"/>
              <w:spacing w:after="0"/>
              <w:ind w:left="0" w:right="0"/>
              <w:rPr>
                <w:b w:val="0"/>
                <w:sz w:val="18"/>
                <w:szCs w:val="18"/>
              </w:rPr>
            </w:pPr>
            <w:r w:rsidRPr="00410FCB">
              <w:rPr>
                <w:b w:val="0"/>
                <w:sz w:val="18"/>
                <w:szCs w:val="18"/>
              </w:rPr>
              <w:t>sschelstraete@quantenna.com</w:t>
            </w:r>
          </w:p>
        </w:tc>
      </w:tr>
    </w:tbl>
    <w:p w14:paraId="6FA3729B" w14:textId="64421CDF" w:rsidR="00CA09B2" w:rsidRDefault="00222C6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29020B" w:rsidRDefault="0029020B">
                            <w:pPr>
                              <w:pStyle w:val="T1"/>
                              <w:spacing w:after="120"/>
                            </w:pPr>
                            <w:r>
                              <w:t>Abstract</w:t>
                            </w:r>
                          </w:p>
                          <w:p w14:paraId="4A00B5DE" w14:textId="19BDCB61" w:rsidR="0029020B" w:rsidRDefault="00275C0A">
                            <w:pPr>
                              <w:jc w:val="both"/>
                            </w:pPr>
                            <w:r>
                              <w:t>This submission recommend</w:t>
                            </w:r>
                            <w:r w:rsidR="004D1DA9">
                              <w:t>s</w:t>
                            </w:r>
                            <w:r>
                              <w:t xml:space="preserve"> to </w:t>
                            </w:r>
                            <w:proofErr w:type="spellStart"/>
                            <w:r>
                              <w:t>TGax</w:t>
                            </w:r>
                            <w:proofErr w:type="spellEnd"/>
                            <w:r>
                              <w:t xml:space="preserve"> group to decouple the channel width capabilities advertised in VHT and HE Capabilities elements in </w:t>
                            </w:r>
                            <w:r w:rsidR="00A9085B">
                              <w:t>11ax Draft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19FC977" w14:textId="77777777" w:rsidR="0029020B" w:rsidRDefault="0029020B">
                      <w:pPr>
                        <w:pStyle w:val="T1"/>
                        <w:spacing w:after="120"/>
                      </w:pPr>
                      <w:r>
                        <w:t>Abstract</w:t>
                      </w:r>
                    </w:p>
                    <w:p w14:paraId="4A00B5DE" w14:textId="19BDCB61" w:rsidR="0029020B" w:rsidRDefault="00275C0A">
                      <w:pPr>
                        <w:jc w:val="both"/>
                      </w:pPr>
                      <w:r>
                        <w:t>This submission recommend</w:t>
                      </w:r>
                      <w:r w:rsidR="004D1DA9">
                        <w:t>s</w:t>
                      </w:r>
                      <w:r>
                        <w:t xml:space="preserve"> to </w:t>
                      </w:r>
                      <w:proofErr w:type="spellStart"/>
                      <w:r>
                        <w:t>TGax</w:t>
                      </w:r>
                      <w:proofErr w:type="spellEnd"/>
                      <w:r>
                        <w:t xml:space="preserve"> group to decouple the channel width capabilities advertised in VHT and HE Capabilities elements in </w:t>
                      </w:r>
                      <w:r w:rsidR="00A9085B">
                        <w:t>11ax Draft 2.0</w:t>
                      </w:r>
                    </w:p>
                  </w:txbxContent>
                </v:textbox>
              </v:shape>
            </w:pict>
          </mc:Fallback>
        </mc:AlternateContent>
      </w:r>
    </w:p>
    <w:p w14:paraId="7786901D" w14:textId="39AAAD45" w:rsidR="005C1CA6" w:rsidRDefault="00CA09B2">
      <w:pPr>
        <w:rPr>
          <w:b/>
          <w:u w:val="single"/>
        </w:rPr>
      </w:pPr>
      <w:r>
        <w:br w:type="page"/>
      </w:r>
      <w:r w:rsidR="005C1CA6" w:rsidRPr="005C1CA6">
        <w:rPr>
          <w:b/>
          <w:u w:val="single"/>
        </w:rPr>
        <w:lastRenderedPageBreak/>
        <w:t>Discussion</w:t>
      </w:r>
    </w:p>
    <w:p w14:paraId="7240A8AF" w14:textId="3D02F614" w:rsidR="00F77C25" w:rsidRPr="00F77C25" w:rsidRDefault="004D1DA9" w:rsidP="00F77C25">
      <w:pPr>
        <w:widowControl w:val="0"/>
        <w:autoSpaceDE w:val="0"/>
        <w:autoSpaceDN w:val="0"/>
        <w:adjustRightInd w:val="0"/>
        <w:spacing w:after="240" w:line="300" w:lineRule="atLeast"/>
        <w:rPr>
          <w:bCs/>
          <w:color w:val="000000"/>
          <w:szCs w:val="22"/>
          <w:lang w:val="en-US"/>
        </w:rPr>
      </w:pPr>
      <w:r>
        <w:rPr>
          <w:bCs/>
          <w:color w:val="000000"/>
          <w:szCs w:val="22"/>
          <w:lang w:val="en-US"/>
        </w:rPr>
        <w:t xml:space="preserve">Currently </w:t>
      </w:r>
      <w:r w:rsidR="00A03853">
        <w:rPr>
          <w:bCs/>
          <w:color w:val="000000"/>
          <w:szCs w:val="22"/>
          <w:lang w:val="en-US"/>
        </w:rPr>
        <w:t xml:space="preserve">in D2.0 document, </w:t>
      </w:r>
      <w:r w:rsidR="00F77C25">
        <w:rPr>
          <w:bCs/>
          <w:color w:val="000000"/>
          <w:szCs w:val="22"/>
          <w:lang w:val="en-US"/>
        </w:rPr>
        <w:t xml:space="preserve">it requires VHT mode advertising the same channel width capabilities of HE mode in clause </w:t>
      </w:r>
      <w:r w:rsidR="00F77C25" w:rsidRPr="00F77C25">
        <w:rPr>
          <w:rFonts w:ascii="Calibri" w:hAnsi="Calibri"/>
          <w:b/>
          <w:bCs/>
          <w:color w:val="000000"/>
          <w:szCs w:val="22"/>
          <w:lang w:val="en-US" w:eastAsia="zh-CN"/>
        </w:rPr>
        <w:t>27.16.1 Basic HE BSS functionality</w:t>
      </w:r>
      <w:r w:rsidR="00F77C25">
        <w:rPr>
          <w:rFonts w:ascii="Calibri" w:hAnsi="Calibri"/>
          <w:b/>
          <w:bCs/>
          <w:color w:val="000000"/>
          <w:szCs w:val="22"/>
          <w:lang w:val="en-US" w:eastAsia="zh-CN"/>
        </w:rPr>
        <w:t>:</w:t>
      </w:r>
    </w:p>
    <w:p w14:paraId="35944766" w14:textId="2D59577E" w:rsidR="00F77C25" w:rsidRPr="00F77C25" w:rsidRDefault="00BA1F61" w:rsidP="00F77C25">
      <w:pPr>
        <w:rPr>
          <w:rFonts w:ascii="Calibri" w:hAnsi="Calibri"/>
          <w:i/>
          <w:color w:val="000000"/>
          <w:sz w:val="24"/>
          <w:szCs w:val="24"/>
          <w:lang w:val="en-US" w:eastAsia="zh-CN"/>
        </w:rPr>
      </w:pPr>
      <w:r>
        <w:rPr>
          <w:rFonts w:ascii="Calibri" w:hAnsi="Calibri"/>
          <w:i/>
          <w:color w:val="000000"/>
          <w:szCs w:val="22"/>
          <w:lang w:val="en-US" w:eastAsia="zh-CN"/>
        </w:rPr>
        <w:t>“</w:t>
      </w:r>
      <w:r w:rsidR="00F77C25" w:rsidRPr="00F77C25">
        <w:rPr>
          <w:rFonts w:ascii="Calibri" w:hAnsi="Calibri"/>
          <w:i/>
          <w:color w:val="000000"/>
          <w:szCs w:val="22"/>
          <w:lang w:val="en-US" w:eastAsia="zh-CN"/>
        </w:rPr>
        <w:t>A STA transmitting an HT Capabilities element and HE Capabilities element shall set the Supported Channel Width Set subfield of the HT Capabilities element to 1 when either B0 or B1 of the Channel Width Set subfield of the HE Capabilities element is 1, except when the STA is a 20 MHz-only non-AP HE STA in which case the Supported Channel Width Set subfield of the HT Capabilities element is 0. </w:t>
      </w:r>
      <w:r w:rsidR="00F77C25" w:rsidRPr="00F77C25">
        <w:rPr>
          <w:rFonts w:ascii="Calibri" w:hAnsi="Calibri"/>
          <w:i/>
          <w:color w:val="000000"/>
          <w:szCs w:val="22"/>
          <w:shd w:val="clear" w:color="auto" w:fill="FFFF00"/>
          <w:lang w:val="en-US" w:eastAsia="zh-CN"/>
        </w:rPr>
        <w:t>STA transmitting a VHT Capabilities element and HE Capabilities element shall set the Supported Channel Width Set subfield of the VHT Capabilities element </w:t>
      </w:r>
      <w:r w:rsidR="00F77C25" w:rsidRPr="00F77C25">
        <w:rPr>
          <w:rFonts w:ascii="Calibri" w:hAnsi="Calibri"/>
          <w:b/>
          <w:bCs/>
          <w:i/>
          <w:color w:val="000000"/>
          <w:szCs w:val="22"/>
          <w:shd w:val="clear" w:color="auto" w:fill="FFFF00"/>
          <w:lang w:val="en-US" w:eastAsia="zh-CN"/>
        </w:rPr>
        <w:t>to a value that indicates the same channel width capability </w:t>
      </w:r>
      <w:r w:rsidR="00F77C25" w:rsidRPr="00F77C25">
        <w:rPr>
          <w:rFonts w:ascii="Calibri" w:hAnsi="Calibri"/>
          <w:i/>
          <w:color w:val="000000"/>
          <w:szCs w:val="22"/>
          <w:shd w:val="clear" w:color="auto" w:fill="FFFF00"/>
          <w:lang w:val="en-US" w:eastAsia="zh-CN"/>
        </w:rPr>
        <w:t>as the channel width capability indicated in the HE Capabilities element</w:t>
      </w:r>
      <w:r w:rsidR="00F77C25" w:rsidRPr="00F77C25">
        <w:rPr>
          <w:rFonts w:ascii="Calibri" w:hAnsi="Calibri"/>
          <w:i/>
          <w:color w:val="000000"/>
          <w:szCs w:val="22"/>
          <w:lang w:val="en-US" w:eastAsia="zh-CN"/>
        </w:rPr>
        <w:t>, except when the STA is a 20 MHz-only non-AP HE STA in which case the Supported Channel Width Set subfield of the VHT Capabilities element is reserved.</w:t>
      </w:r>
      <w:r>
        <w:rPr>
          <w:rFonts w:ascii="Calibri" w:hAnsi="Calibri"/>
          <w:i/>
          <w:color w:val="000000"/>
          <w:szCs w:val="22"/>
          <w:lang w:val="en-US" w:eastAsia="zh-CN"/>
        </w:rPr>
        <w:t>”</w:t>
      </w:r>
    </w:p>
    <w:p w14:paraId="1BEF6E3F" w14:textId="77777777" w:rsidR="00F77C25" w:rsidRDefault="00F77C25" w:rsidP="00282F97">
      <w:pPr>
        <w:widowControl w:val="0"/>
        <w:autoSpaceDE w:val="0"/>
        <w:autoSpaceDN w:val="0"/>
        <w:adjustRightInd w:val="0"/>
        <w:spacing w:after="240" w:line="300" w:lineRule="atLeast"/>
        <w:rPr>
          <w:bCs/>
          <w:color w:val="000000"/>
          <w:szCs w:val="22"/>
          <w:lang w:val="en-US"/>
        </w:rPr>
      </w:pPr>
    </w:p>
    <w:p w14:paraId="12657897" w14:textId="13089088" w:rsidR="00282F97" w:rsidRDefault="00BA1F61" w:rsidP="00282F97">
      <w:pPr>
        <w:widowControl w:val="0"/>
        <w:autoSpaceDE w:val="0"/>
        <w:autoSpaceDN w:val="0"/>
        <w:adjustRightInd w:val="0"/>
        <w:spacing w:after="240" w:line="300" w:lineRule="atLeast"/>
        <w:rPr>
          <w:rFonts w:ascii="Times" w:hAnsi="Times" w:cs="Times"/>
          <w:color w:val="000000"/>
          <w:sz w:val="24"/>
          <w:szCs w:val="24"/>
          <w:lang w:val="en-US"/>
        </w:rPr>
      </w:pPr>
      <w:r>
        <w:rPr>
          <w:rFonts w:ascii="Times" w:hAnsi="Times" w:cs="Times"/>
          <w:color w:val="000000"/>
          <w:sz w:val="24"/>
          <w:szCs w:val="24"/>
          <w:lang w:val="en-US"/>
        </w:rPr>
        <w:t>But there are many valid reasons that VHT and HE modes may need to operate with different channel bandwidth, for example: product development cycle comes in stages: in one stage, VHT 160MHz support is already in production as well as HE 80MHz support, but HE 160MHz mode is still under development. In this particular case, there is no reason to restrict VHT mode running only at 80MHz mode</w:t>
      </w:r>
      <w:r w:rsidR="00A14B6F">
        <w:rPr>
          <w:rFonts w:ascii="Times" w:hAnsi="Times" w:cs="Times"/>
          <w:color w:val="000000"/>
          <w:sz w:val="24"/>
          <w:szCs w:val="24"/>
          <w:lang w:val="en-US"/>
        </w:rPr>
        <w:t xml:space="preserve"> simply</w:t>
      </w:r>
      <w:r>
        <w:rPr>
          <w:rFonts w:ascii="Times" w:hAnsi="Times" w:cs="Times"/>
          <w:color w:val="000000"/>
          <w:sz w:val="24"/>
          <w:szCs w:val="24"/>
          <w:lang w:val="en-US"/>
        </w:rPr>
        <w:t xml:space="preserve"> </w:t>
      </w:r>
      <w:proofErr w:type="gramStart"/>
      <w:r>
        <w:rPr>
          <w:rFonts w:ascii="Times" w:hAnsi="Times" w:cs="Times"/>
          <w:color w:val="000000"/>
          <w:sz w:val="24"/>
          <w:szCs w:val="24"/>
          <w:lang w:val="en-US"/>
        </w:rPr>
        <w:t>due to</w:t>
      </w:r>
      <w:proofErr w:type="gramEnd"/>
      <w:r>
        <w:rPr>
          <w:rFonts w:ascii="Times" w:hAnsi="Times" w:cs="Times"/>
          <w:color w:val="000000"/>
          <w:sz w:val="24"/>
          <w:szCs w:val="24"/>
          <w:lang w:val="en-US"/>
        </w:rPr>
        <w:t xml:space="preserve"> HE mode is only support 80MHz at this point.</w:t>
      </w:r>
      <w:r w:rsidR="00A14B6F">
        <w:rPr>
          <w:rFonts w:ascii="Times" w:hAnsi="Times" w:cs="Times"/>
          <w:color w:val="000000"/>
          <w:sz w:val="24"/>
          <w:szCs w:val="24"/>
          <w:lang w:val="en-US"/>
        </w:rPr>
        <w:t xml:space="preserve"> </w:t>
      </w:r>
    </w:p>
    <w:p w14:paraId="440F6344" w14:textId="593800D3" w:rsidR="00857F94" w:rsidRDefault="00A14B6F" w:rsidP="00282F97">
      <w:pPr>
        <w:widowControl w:val="0"/>
        <w:autoSpaceDE w:val="0"/>
        <w:autoSpaceDN w:val="0"/>
        <w:adjustRightInd w:val="0"/>
        <w:spacing w:after="240" w:line="300" w:lineRule="atLeast"/>
        <w:rPr>
          <w:rFonts w:ascii="Times" w:hAnsi="Times" w:cs="Times"/>
          <w:b/>
          <w:color w:val="000000"/>
          <w:sz w:val="24"/>
          <w:szCs w:val="24"/>
          <w:lang w:val="en-US"/>
        </w:rPr>
      </w:pPr>
      <w:r>
        <w:rPr>
          <w:rFonts w:ascii="Times" w:hAnsi="Times" w:cs="Times"/>
          <w:b/>
          <w:color w:val="000000"/>
          <w:sz w:val="24"/>
          <w:szCs w:val="24"/>
          <w:lang w:val="en-US"/>
        </w:rPr>
        <w:t>Resolution:</w:t>
      </w:r>
    </w:p>
    <w:p w14:paraId="1A629848" w14:textId="04E4116B" w:rsidR="0023039B" w:rsidRPr="00775CF1" w:rsidRDefault="0023039B" w:rsidP="0023039B">
      <w:pPr>
        <w:rPr>
          <w:b/>
          <w:i/>
          <w:sz w:val="24"/>
        </w:rPr>
      </w:pPr>
      <w:r w:rsidRPr="00775CF1">
        <w:rPr>
          <w:b/>
          <w:i/>
          <w:sz w:val="24"/>
          <w:highlight w:val="yellow"/>
        </w:rPr>
        <w:t xml:space="preserve">11ax Editor: Modify </w:t>
      </w:r>
      <w:r w:rsidRPr="00F77C25">
        <w:rPr>
          <w:rFonts w:ascii="Calibri" w:hAnsi="Calibri"/>
          <w:b/>
          <w:bCs/>
          <w:i/>
          <w:color w:val="000000"/>
          <w:szCs w:val="22"/>
          <w:highlight w:val="yellow"/>
          <w:lang w:val="en-US" w:eastAsia="zh-CN"/>
        </w:rPr>
        <w:t>27.16.1 Basic HE BSS functionality</w:t>
      </w:r>
      <w:r>
        <w:rPr>
          <w:b/>
          <w:i/>
          <w:sz w:val="24"/>
          <w:highlight w:val="yellow"/>
        </w:rPr>
        <w:t xml:space="preserve"> as below</w:t>
      </w:r>
      <w:r w:rsidRPr="00775CF1">
        <w:rPr>
          <w:b/>
          <w:i/>
          <w:sz w:val="24"/>
          <w:highlight w:val="yellow"/>
        </w:rPr>
        <w:t>:</w:t>
      </w:r>
    </w:p>
    <w:p w14:paraId="004B0629" w14:textId="77777777" w:rsidR="00A14B6F" w:rsidRDefault="00A14B6F" w:rsidP="00282F97">
      <w:pPr>
        <w:widowControl w:val="0"/>
        <w:autoSpaceDE w:val="0"/>
        <w:autoSpaceDN w:val="0"/>
        <w:adjustRightInd w:val="0"/>
        <w:spacing w:after="240" w:line="300" w:lineRule="atLeast"/>
        <w:rPr>
          <w:rFonts w:ascii="Times" w:hAnsi="Times" w:cs="Times"/>
          <w:b/>
          <w:color w:val="000000"/>
          <w:sz w:val="24"/>
          <w:szCs w:val="24"/>
        </w:rPr>
      </w:pPr>
    </w:p>
    <w:p w14:paraId="7A22D828" w14:textId="25CB7ADB" w:rsidR="0023039B" w:rsidRDefault="0023039B" w:rsidP="00282F97">
      <w:pPr>
        <w:widowControl w:val="0"/>
        <w:autoSpaceDE w:val="0"/>
        <w:autoSpaceDN w:val="0"/>
        <w:adjustRightInd w:val="0"/>
        <w:spacing w:after="240" w:line="300" w:lineRule="atLeast"/>
        <w:rPr>
          <w:rFonts w:ascii="Calibri" w:hAnsi="Calibri"/>
          <w:strike/>
          <w:color w:val="000000"/>
          <w:szCs w:val="22"/>
          <w:lang w:val="en-US" w:eastAsia="zh-CN"/>
        </w:rPr>
      </w:pPr>
      <w:r w:rsidRPr="00F77C25">
        <w:rPr>
          <w:rFonts w:ascii="Calibri" w:hAnsi="Calibri"/>
          <w:color w:val="000000"/>
          <w:szCs w:val="22"/>
          <w:lang w:val="en-US" w:eastAsia="zh-CN"/>
        </w:rPr>
        <w:t>A STA transmitting an HT Capabilities element and HE Capabilities element shall set the Supported Channel Width Set subfield of the HT Capabilities element to 1 when either B0 or B1 of the Channel Width Set subfield of the HE Capabilities element is 1, except when the STA is a 20 MHz-only non-AP HE STA in which case the Supported Channel Width Set subfield of the HT Capabilities element is 0. </w:t>
      </w:r>
      <w:r w:rsidRPr="00F77C25">
        <w:rPr>
          <w:rFonts w:ascii="Calibri" w:hAnsi="Calibri"/>
          <w:strike/>
          <w:color w:val="000000"/>
          <w:szCs w:val="22"/>
          <w:shd w:val="clear" w:color="auto" w:fill="FFFF00"/>
          <w:lang w:val="en-US" w:eastAsia="zh-CN"/>
        </w:rPr>
        <w:t>STA transmitting a VHT Capabilities element and HE Capabilities element shall set the Supported Channel Width Set subfield of the VHT Capabilities element </w:t>
      </w:r>
      <w:r w:rsidRPr="00F77C25">
        <w:rPr>
          <w:rFonts w:ascii="Calibri" w:hAnsi="Calibri"/>
          <w:b/>
          <w:bCs/>
          <w:strike/>
          <w:color w:val="000000"/>
          <w:szCs w:val="22"/>
          <w:shd w:val="clear" w:color="auto" w:fill="FFFF00"/>
          <w:lang w:val="en-US" w:eastAsia="zh-CN"/>
        </w:rPr>
        <w:t>to a value that indicates the same channel width capability </w:t>
      </w:r>
      <w:r w:rsidRPr="00F77C25">
        <w:rPr>
          <w:rFonts w:ascii="Calibri" w:hAnsi="Calibri"/>
          <w:strike/>
          <w:color w:val="000000"/>
          <w:szCs w:val="22"/>
          <w:shd w:val="clear" w:color="auto" w:fill="FFFF00"/>
          <w:lang w:val="en-US" w:eastAsia="zh-CN"/>
        </w:rPr>
        <w:t>as the channel width capability indicated in the HE Capabilities element</w:t>
      </w:r>
      <w:r w:rsidRPr="00F77C25">
        <w:rPr>
          <w:rFonts w:ascii="Calibri" w:hAnsi="Calibri"/>
          <w:strike/>
          <w:color w:val="000000"/>
          <w:szCs w:val="22"/>
          <w:lang w:val="en-US" w:eastAsia="zh-CN"/>
        </w:rPr>
        <w:t>, except when the STA is a 20 MHz-only non-AP HE STA in which case the Supported Channel Width Set subfield of the VHT Capabilities element is reserved.</w:t>
      </w:r>
    </w:p>
    <w:p w14:paraId="7A75BD64" w14:textId="77777777" w:rsidR="004146CD" w:rsidRDefault="004146CD" w:rsidP="00282F97">
      <w:pPr>
        <w:widowControl w:val="0"/>
        <w:autoSpaceDE w:val="0"/>
        <w:autoSpaceDN w:val="0"/>
        <w:adjustRightInd w:val="0"/>
        <w:spacing w:after="240" w:line="300" w:lineRule="atLeast"/>
        <w:rPr>
          <w:rFonts w:ascii="Calibri" w:hAnsi="Calibri"/>
          <w:strike/>
          <w:color w:val="000000"/>
          <w:szCs w:val="22"/>
          <w:lang w:val="en-US" w:eastAsia="zh-CN"/>
        </w:rPr>
      </w:pPr>
    </w:p>
    <w:p w14:paraId="11EF944D" w14:textId="6D6AA9AC" w:rsidR="004146CD" w:rsidRDefault="004146CD" w:rsidP="004146CD">
      <w:pPr>
        <w:widowControl w:val="0"/>
        <w:autoSpaceDE w:val="0"/>
        <w:autoSpaceDN w:val="0"/>
        <w:adjustRightInd w:val="0"/>
        <w:spacing w:after="240" w:line="300" w:lineRule="atLeast"/>
        <w:jc w:val="center"/>
        <w:rPr>
          <w:rFonts w:ascii="Calibri" w:hAnsi="Calibri"/>
          <w:b/>
          <w:color w:val="000000"/>
          <w:szCs w:val="22"/>
          <w:lang w:val="en-US" w:eastAsia="zh-CN"/>
        </w:rPr>
      </w:pPr>
      <w:r>
        <w:rPr>
          <w:rFonts w:ascii="Calibri" w:hAnsi="Calibri"/>
          <w:b/>
          <w:color w:val="000000"/>
          <w:szCs w:val="22"/>
          <w:lang w:val="en-US" w:eastAsia="zh-CN"/>
        </w:rPr>
        <w:t>Straw Poll</w:t>
      </w:r>
    </w:p>
    <w:p w14:paraId="2F1901E6" w14:textId="387E6166" w:rsidR="004146CD" w:rsidRDefault="004146CD" w:rsidP="004146CD">
      <w:pPr>
        <w:widowControl w:val="0"/>
        <w:autoSpaceDE w:val="0"/>
        <w:autoSpaceDN w:val="0"/>
        <w:adjustRightInd w:val="0"/>
        <w:spacing w:after="240" w:line="300" w:lineRule="atLeast"/>
        <w:rPr>
          <w:rFonts w:ascii="Calibri" w:hAnsi="Calibri"/>
          <w:color w:val="000000"/>
          <w:szCs w:val="22"/>
          <w:lang w:val="en-US" w:eastAsia="zh-CN"/>
        </w:rPr>
      </w:pPr>
      <w:r>
        <w:rPr>
          <w:rFonts w:ascii="Calibri" w:hAnsi="Calibri"/>
          <w:color w:val="000000"/>
          <w:szCs w:val="22"/>
          <w:lang w:val="en-US" w:eastAsia="zh-CN"/>
        </w:rPr>
        <w:t xml:space="preserve">Do you agree to decouple VHT and HE channel width capabilities advertisements in VHT and HE Capabilities elements, and the </w:t>
      </w:r>
      <w:proofErr w:type="spellStart"/>
      <w:r>
        <w:rPr>
          <w:rFonts w:ascii="Calibri" w:hAnsi="Calibri"/>
          <w:color w:val="000000"/>
          <w:szCs w:val="22"/>
          <w:lang w:val="en-US" w:eastAsia="zh-CN"/>
        </w:rPr>
        <w:t>resultion</w:t>
      </w:r>
      <w:proofErr w:type="spellEnd"/>
      <w:r>
        <w:rPr>
          <w:rFonts w:ascii="Calibri" w:hAnsi="Calibri"/>
          <w:color w:val="000000"/>
          <w:szCs w:val="22"/>
          <w:lang w:val="en-US" w:eastAsia="zh-CN"/>
        </w:rPr>
        <w:t xml:space="preserve"> text presented in this contribution?</w:t>
      </w:r>
    </w:p>
    <w:p w14:paraId="60FF2D6C" w14:textId="2A2ADBC7" w:rsidR="004146CD" w:rsidRPr="004146CD" w:rsidRDefault="004146CD" w:rsidP="004146CD">
      <w:pPr>
        <w:widowControl w:val="0"/>
        <w:autoSpaceDE w:val="0"/>
        <w:autoSpaceDN w:val="0"/>
        <w:adjustRightInd w:val="0"/>
        <w:spacing w:after="240" w:line="300" w:lineRule="atLeast"/>
        <w:rPr>
          <w:rFonts w:ascii="Times" w:hAnsi="Times" w:cs="Times"/>
          <w:color w:val="000000"/>
          <w:sz w:val="24"/>
          <w:szCs w:val="24"/>
        </w:rPr>
      </w:pPr>
      <w:r>
        <w:rPr>
          <w:rFonts w:ascii="Calibri" w:hAnsi="Calibri"/>
          <w:color w:val="000000"/>
          <w:szCs w:val="22"/>
          <w:lang w:val="en-US" w:eastAsia="zh-CN"/>
        </w:rPr>
        <w:t>Y/N/A</w:t>
      </w:r>
    </w:p>
    <w:p w14:paraId="455E4A6E" w14:textId="090E4D5A" w:rsidR="009A2425" w:rsidRDefault="009A2425" w:rsidP="00282F97">
      <w:pPr>
        <w:widowControl w:val="0"/>
        <w:autoSpaceDE w:val="0"/>
        <w:autoSpaceDN w:val="0"/>
        <w:adjustRightInd w:val="0"/>
        <w:spacing w:after="240" w:line="300" w:lineRule="atLeast"/>
        <w:rPr>
          <w:rFonts w:ascii="Times" w:hAnsi="Times" w:cs="Times"/>
          <w:color w:val="000000"/>
          <w:sz w:val="24"/>
          <w:szCs w:val="24"/>
          <w:lang w:val="en-US"/>
        </w:rPr>
      </w:pPr>
    </w:p>
    <w:p w14:paraId="4924024F" w14:textId="04BA32C4" w:rsidR="00D62503" w:rsidRDefault="00D62503" w:rsidP="00282F97">
      <w:pPr>
        <w:widowControl w:val="0"/>
        <w:autoSpaceDE w:val="0"/>
        <w:autoSpaceDN w:val="0"/>
        <w:adjustRightInd w:val="0"/>
        <w:spacing w:after="240" w:line="300" w:lineRule="atLeast"/>
        <w:rPr>
          <w:rFonts w:ascii="Times" w:hAnsi="Times" w:cs="Times"/>
          <w:color w:val="000000"/>
          <w:sz w:val="24"/>
          <w:szCs w:val="24"/>
          <w:lang w:val="en-US"/>
        </w:rPr>
      </w:pPr>
    </w:p>
    <w:p w14:paraId="080C054A" w14:textId="763A3E19" w:rsidR="00345777" w:rsidRDefault="00345777" w:rsidP="00282F97">
      <w:pPr>
        <w:widowControl w:val="0"/>
        <w:autoSpaceDE w:val="0"/>
        <w:autoSpaceDN w:val="0"/>
        <w:adjustRightInd w:val="0"/>
        <w:spacing w:after="240" w:line="300" w:lineRule="atLeast"/>
        <w:rPr>
          <w:rFonts w:ascii="Times" w:hAnsi="Times" w:cs="Times"/>
          <w:color w:val="000000"/>
          <w:sz w:val="24"/>
          <w:szCs w:val="24"/>
          <w:lang w:val="en-US"/>
        </w:rPr>
      </w:pPr>
    </w:p>
    <w:p w14:paraId="7B75E65D" w14:textId="77777777" w:rsidR="00FD6329" w:rsidRDefault="00FD6329" w:rsidP="00282F97">
      <w:pPr>
        <w:widowControl w:val="0"/>
        <w:autoSpaceDE w:val="0"/>
        <w:autoSpaceDN w:val="0"/>
        <w:adjustRightInd w:val="0"/>
        <w:spacing w:after="240" w:line="300" w:lineRule="atLeast"/>
        <w:rPr>
          <w:rFonts w:ascii="Times" w:hAnsi="Times" w:cs="Times"/>
          <w:color w:val="000000"/>
          <w:sz w:val="24"/>
          <w:szCs w:val="24"/>
          <w:lang w:val="en-US"/>
        </w:rPr>
      </w:pPr>
    </w:p>
    <w:p w14:paraId="26A1955F" w14:textId="336D4E6D" w:rsidR="00400956" w:rsidRPr="00282F97" w:rsidRDefault="00400956" w:rsidP="00400956">
      <w:pPr>
        <w:widowControl w:val="0"/>
        <w:autoSpaceDE w:val="0"/>
        <w:autoSpaceDN w:val="0"/>
        <w:adjustRightInd w:val="0"/>
        <w:spacing w:after="240" w:line="300" w:lineRule="atLeast"/>
        <w:rPr>
          <w:rFonts w:ascii="Times" w:hAnsi="Times" w:cs="Times"/>
          <w:color w:val="000000"/>
          <w:sz w:val="24"/>
          <w:szCs w:val="24"/>
          <w:lang w:val="en-US"/>
        </w:rPr>
      </w:pPr>
      <w:bookmarkStart w:id="0" w:name="_GoBack"/>
      <w:bookmarkEnd w:id="0"/>
    </w:p>
    <w:sectPr w:rsidR="00400956" w:rsidRPr="00282F9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7ED8B" w14:textId="77777777" w:rsidR="004C2BF8" w:rsidRDefault="004C2BF8">
      <w:r>
        <w:separator/>
      </w:r>
    </w:p>
  </w:endnote>
  <w:endnote w:type="continuationSeparator" w:id="0">
    <w:p w14:paraId="6E886359" w14:textId="77777777" w:rsidR="004C2BF8" w:rsidRDefault="004C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05985806" w:rsidR="0029020B" w:rsidRDefault="00FF1650">
    <w:pPr>
      <w:pStyle w:val="Footer"/>
      <w:tabs>
        <w:tab w:val="clear" w:pos="6480"/>
        <w:tab w:val="center" w:pos="4680"/>
        <w:tab w:val="right" w:pos="9360"/>
      </w:tabs>
    </w:pPr>
    <w:fldSimple w:instr=" SUBJECT  \* MERGEFORMAT ">
      <w:r w:rsidR="00222C69">
        <w:t>Submission</w:t>
      </w:r>
    </w:fldSimple>
    <w:r w:rsidR="0029020B">
      <w:tab/>
      <w:t xml:space="preserve">page </w:t>
    </w:r>
    <w:r w:rsidR="0029020B">
      <w:fldChar w:fldCharType="begin"/>
    </w:r>
    <w:r w:rsidR="0029020B">
      <w:instrText xml:space="preserve">page </w:instrText>
    </w:r>
    <w:r w:rsidR="0029020B">
      <w:fldChar w:fldCharType="separate"/>
    </w:r>
    <w:r w:rsidR="00E84B56">
      <w:rPr>
        <w:noProof/>
      </w:rPr>
      <w:t>2</w:t>
    </w:r>
    <w:r w:rsidR="0029020B">
      <w:fldChar w:fldCharType="end"/>
    </w:r>
    <w:r w:rsidR="0029020B">
      <w:tab/>
    </w:r>
    <w:r w:rsidR="00E0536E">
      <w:t>Huizhao Wang, Quantenna</w:t>
    </w:r>
  </w:p>
  <w:p w14:paraId="767F188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12D55" w14:textId="77777777" w:rsidR="004C2BF8" w:rsidRDefault="004C2BF8">
      <w:r>
        <w:separator/>
      </w:r>
    </w:p>
  </w:footnote>
  <w:footnote w:type="continuationSeparator" w:id="0">
    <w:p w14:paraId="4BBD92DD" w14:textId="77777777" w:rsidR="004C2BF8" w:rsidRDefault="004C2B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4B271A73" w:rsidR="0029020B" w:rsidRDefault="00FC5025">
    <w:pPr>
      <w:pStyle w:val="Header"/>
      <w:tabs>
        <w:tab w:val="clear" w:pos="6480"/>
        <w:tab w:val="center" w:pos="4680"/>
        <w:tab w:val="right" w:pos="9360"/>
      </w:tabs>
    </w:pPr>
    <w:r>
      <w:t>January 2018</w:t>
    </w:r>
    <w:r w:rsidR="0029020B">
      <w:tab/>
    </w:r>
    <w:r w:rsidR="0029020B">
      <w:tab/>
    </w:r>
    <w:fldSimple w:instr=" TITLE  \* MERGEFORMAT ">
      <w:r w:rsidR="00663E74">
        <w:t>doc.: IEEE 802.11-18</w:t>
      </w:r>
      <w:r w:rsidR="00EC3615">
        <w:t>/0200</w:t>
      </w:r>
      <w:r w:rsidR="0045625D">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21591"/>
    <w:rsid w:val="0005573B"/>
    <w:rsid w:val="0006655E"/>
    <w:rsid w:val="0007176A"/>
    <w:rsid w:val="000C0C8F"/>
    <w:rsid w:val="000D3C45"/>
    <w:rsid w:val="000F362B"/>
    <w:rsid w:val="0019763C"/>
    <w:rsid w:val="001D723B"/>
    <w:rsid w:val="001D7BD6"/>
    <w:rsid w:val="00222C69"/>
    <w:rsid w:val="0023039B"/>
    <w:rsid w:val="00230AD5"/>
    <w:rsid w:val="00232DB0"/>
    <w:rsid w:val="00242AAF"/>
    <w:rsid w:val="0026603D"/>
    <w:rsid w:val="00275C0A"/>
    <w:rsid w:val="00282F97"/>
    <w:rsid w:val="00283F35"/>
    <w:rsid w:val="0029020B"/>
    <w:rsid w:val="00297787"/>
    <w:rsid w:val="002A33E4"/>
    <w:rsid w:val="002D1CF6"/>
    <w:rsid w:val="002D44BE"/>
    <w:rsid w:val="002E4F0B"/>
    <w:rsid w:val="003301F4"/>
    <w:rsid w:val="00345777"/>
    <w:rsid w:val="003520A6"/>
    <w:rsid w:val="00355A66"/>
    <w:rsid w:val="00375B6D"/>
    <w:rsid w:val="0038510B"/>
    <w:rsid w:val="00396D0C"/>
    <w:rsid w:val="003A2642"/>
    <w:rsid w:val="003D481A"/>
    <w:rsid w:val="003D7284"/>
    <w:rsid w:val="003E6C9F"/>
    <w:rsid w:val="00400956"/>
    <w:rsid w:val="004020BC"/>
    <w:rsid w:val="00410FCB"/>
    <w:rsid w:val="004146CD"/>
    <w:rsid w:val="00423590"/>
    <w:rsid w:val="00435E9E"/>
    <w:rsid w:val="00442037"/>
    <w:rsid w:val="0045625D"/>
    <w:rsid w:val="00467EE7"/>
    <w:rsid w:val="004A2606"/>
    <w:rsid w:val="004A2BEE"/>
    <w:rsid w:val="004A6F52"/>
    <w:rsid w:val="004B064B"/>
    <w:rsid w:val="004B706C"/>
    <w:rsid w:val="004C2BF8"/>
    <w:rsid w:val="004D1DA9"/>
    <w:rsid w:val="004E67A9"/>
    <w:rsid w:val="00505971"/>
    <w:rsid w:val="00510AE9"/>
    <w:rsid w:val="005274EA"/>
    <w:rsid w:val="005558FE"/>
    <w:rsid w:val="00567F39"/>
    <w:rsid w:val="0057289D"/>
    <w:rsid w:val="005B0459"/>
    <w:rsid w:val="005C1CA6"/>
    <w:rsid w:val="005D6090"/>
    <w:rsid w:val="005E512C"/>
    <w:rsid w:val="00611479"/>
    <w:rsid w:val="0062440B"/>
    <w:rsid w:val="006454A0"/>
    <w:rsid w:val="00663E74"/>
    <w:rsid w:val="0069463D"/>
    <w:rsid w:val="006A1B77"/>
    <w:rsid w:val="006C0727"/>
    <w:rsid w:val="006E145F"/>
    <w:rsid w:val="00765FC5"/>
    <w:rsid w:val="00770572"/>
    <w:rsid w:val="0077385B"/>
    <w:rsid w:val="00774147"/>
    <w:rsid w:val="007830FD"/>
    <w:rsid w:val="007E2F30"/>
    <w:rsid w:val="00814FBD"/>
    <w:rsid w:val="00835F6B"/>
    <w:rsid w:val="00843C0F"/>
    <w:rsid w:val="0084454D"/>
    <w:rsid w:val="00847A42"/>
    <w:rsid w:val="00857F94"/>
    <w:rsid w:val="0086498A"/>
    <w:rsid w:val="00872B31"/>
    <w:rsid w:val="00873FF0"/>
    <w:rsid w:val="008F2498"/>
    <w:rsid w:val="009017B0"/>
    <w:rsid w:val="0097297A"/>
    <w:rsid w:val="00983C83"/>
    <w:rsid w:val="009A2425"/>
    <w:rsid w:val="009A5F07"/>
    <w:rsid w:val="009C7265"/>
    <w:rsid w:val="009F2FBC"/>
    <w:rsid w:val="00A00A00"/>
    <w:rsid w:val="00A03853"/>
    <w:rsid w:val="00A04279"/>
    <w:rsid w:val="00A14B6F"/>
    <w:rsid w:val="00A20A9D"/>
    <w:rsid w:val="00A37B9E"/>
    <w:rsid w:val="00A84151"/>
    <w:rsid w:val="00A9085B"/>
    <w:rsid w:val="00AA1BB7"/>
    <w:rsid w:val="00AA427C"/>
    <w:rsid w:val="00AC5041"/>
    <w:rsid w:val="00AE2BD7"/>
    <w:rsid w:val="00AF60E3"/>
    <w:rsid w:val="00B4580B"/>
    <w:rsid w:val="00B50C84"/>
    <w:rsid w:val="00B54F87"/>
    <w:rsid w:val="00B6235D"/>
    <w:rsid w:val="00BA1F61"/>
    <w:rsid w:val="00BC7C51"/>
    <w:rsid w:val="00BD2B45"/>
    <w:rsid w:val="00BD2B59"/>
    <w:rsid w:val="00BD5F34"/>
    <w:rsid w:val="00BE68C2"/>
    <w:rsid w:val="00BF4AD3"/>
    <w:rsid w:val="00C247CB"/>
    <w:rsid w:val="00C51EFC"/>
    <w:rsid w:val="00C6446E"/>
    <w:rsid w:val="00C93057"/>
    <w:rsid w:val="00CA09B2"/>
    <w:rsid w:val="00CA43BF"/>
    <w:rsid w:val="00CC59BA"/>
    <w:rsid w:val="00CD5ABE"/>
    <w:rsid w:val="00D3264E"/>
    <w:rsid w:val="00D45541"/>
    <w:rsid w:val="00D62503"/>
    <w:rsid w:val="00D70EEE"/>
    <w:rsid w:val="00DB0758"/>
    <w:rsid w:val="00DC2004"/>
    <w:rsid w:val="00DC5A7B"/>
    <w:rsid w:val="00E0066B"/>
    <w:rsid w:val="00E0536E"/>
    <w:rsid w:val="00E2010F"/>
    <w:rsid w:val="00E36650"/>
    <w:rsid w:val="00E4705E"/>
    <w:rsid w:val="00E84B56"/>
    <w:rsid w:val="00E9351D"/>
    <w:rsid w:val="00EC3615"/>
    <w:rsid w:val="00F4423F"/>
    <w:rsid w:val="00F46DE1"/>
    <w:rsid w:val="00F77C25"/>
    <w:rsid w:val="00F839AD"/>
    <w:rsid w:val="00F86D56"/>
    <w:rsid w:val="00F86FED"/>
    <w:rsid w:val="00FB6FFB"/>
    <w:rsid w:val="00FC44EE"/>
    <w:rsid w:val="00FC5025"/>
    <w:rsid w:val="00FD6329"/>
    <w:rsid w:val="00FF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2860337">
      <w:bodyDiv w:val="1"/>
      <w:marLeft w:val="0"/>
      <w:marRight w:val="0"/>
      <w:marTop w:val="0"/>
      <w:marBottom w:val="0"/>
      <w:divBdr>
        <w:top w:val="none" w:sz="0" w:space="0" w:color="auto"/>
        <w:left w:val="none" w:sz="0" w:space="0" w:color="auto"/>
        <w:bottom w:val="none" w:sz="0" w:space="0" w:color="auto"/>
        <w:right w:val="none" w:sz="0" w:space="0" w:color="auto"/>
      </w:divBdr>
    </w:div>
    <w:div w:id="1394353038">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nov17/fix_rek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fix_rekey.dot</Template>
  <TotalTime>3</TotalTime>
  <Pages>3</Pages>
  <Words>476</Words>
  <Characters>2467</Characters>
  <Application>Microsoft Macintosh Word</Application>
  <DocSecurity>0</DocSecurity>
  <Lines>74</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Some Company</Company>
  <LinksUpToDate>false</LinksUpToDate>
  <CharactersWithSpaces>2910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Huizhao Wang</cp:lastModifiedBy>
  <cp:revision>5</cp:revision>
  <cp:lastPrinted>1900-01-01T08:00:00Z</cp:lastPrinted>
  <dcterms:created xsi:type="dcterms:W3CDTF">2018-01-15T18:51:00Z</dcterms:created>
  <dcterms:modified xsi:type="dcterms:W3CDTF">2018-01-15T18:53:00Z</dcterms:modified>
  <cp:category/>
</cp:coreProperties>
</file>