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B20BAE">
                    <w:rPr>
                      <w:lang w:eastAsia="ko-KR"/>
                    </w:rPr>
                    <w:t>of</w:t>
                  </w:r>
                  <w:r w:rsidR="00F52D21">
                    <w:rPr>
                      <w:rFonts w:eastAsiaTheme="minorEastAsia" w:hint="eastAsia"/>
                      <w:lang w:eastAsia="zh-CN"/>
                    </w:rPr>
                    <w:t xml:space="preserve"> CID 1</w:t>
                  </w:r>
                  <w:r w:rsidR="00F52D21">
                    <w:rPr>
                      <w:rFonts w:eastAsiaTheme="minorEastAsia"/>
                      <w:lang w:eastAsia="zh-CN"/>
                    </w:rPr>
                    <w:t>3754</w:t>
                  </w:r>
                  <w:r w:rsidR="003C06D9">
                    <w:rPr>
                      <w:rFonts w:eastAsiaTheme="minorEastAsia" w:hint="eastAsia"/>
                      <w:lang w:eastAsia="zh-CN"/>
                    </w:rPr>
                    <w:t xml:space="preserve">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7B35DA"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7B35DA"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7B35DA"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 xml:space="preserve">ith proposed changes to </w:t>
      </w:r>
      <w:proofErr w:type="spellStart"/>
      <w:r w:rsidR="003C06D9">
        <w:rPr>
          <w:sz w:val="20"/>
          <w:lang w:eastAsia="ko-KR"/>
        </w:rPr>
        <w:t>TGax</w:t>
      </w:r>
      <w:proofErr w:type="spellEnd"/>
      <w:r w:rsidR="003C06D9">
        <w:rPr>
          <w:sz w:val="20"/>
          <w:lang w:eastAsia="ko-KR"/>
        </w:rPr>
        <w:t xml:space="preserve"> D</w:t>
      </w:r>
      <w:r w:rsidR="003C06D9">
        <w:rPr>
          <w:rFonts w:eastAsiaTheme="minorEastAsia" w:hint="eastAsia"/>
          <w:sz w:val="20"/>
          <w:lang w:eastAsia="zh-CN"/>
        </w:rPr>
        <w:t>2.0</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DD277A">
        <w:rPr>
          <w:sz w:val="20"/>
          <w:lang w:eastAsia="ko-KR"/>
        </w:rPr>
        <w:t>CID</w:t>
      </w:r>
      <w:r w:rsidR="00136B36">
        <w:rPr>
          <w:sz w:val="20"/>
          <w:lang w:eastAsia="ko-KR"/>
        </w:rPr>
        <w:t xml:space="preserve"> 11001</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Pr="00136B36" w:rsidRDefault="00136B36" w:rsidP="004B4C24">
      <w:pPr>
        <w:jc w:val="both"/>
        <w:rPr>
          <w:rFonts w:eastAsiaTheme="minorEastAsia"/>
          <w:sz w:val="20"/>
          <w:lang w:eastAsia="zh-CN"/>
        </w:rPr>
      </w:pPr>
      <w:r>
        <w:rPr>
          <w:sz w:val="20"/>
          <w:lang w:eastAsia="ko-KR"/>
        </w:rPr>
        <w:t>11001</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w:t>
      </w:r>
      <w:proofErr w:type="spellStart"/>
      <w:r w:rsidR="003C06D9">
        <w:rPr>
          <w:b w:val="0"/>
          <w:sz w:val="20"/>
        </w:rPr>
        <w:t>TGax</w:t>
      </w:r>
      <w:proofErr w:type="spellEnd"/>
      <w:r w:rsidR="003C06D9">
        <w:rPr>
          <w:b w:val="0"/>
          <w:sz w:val="20"/>
        </w:rPr>
        <w:t xml:space="preserve">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170"/>
        <w:gridCol w:w="810"/>
        <w:gridCol w:w="720"/>
        <w:gridCol w:w="2160"/>
        <w:gridCol w:w="1440"/>
        <w:gridCol w:w="2880"/>
      </w:tblGrid>
      <w:tr w:rsidR="00136B36" w:rsidRPr="00DF1A5F" w:rsidTr="00491E46">
        <w:trPr>
          <w:trHeight w:val="1848"/>
        </w:trPr>
        <w:tc>
          <w:tcPr>
            <w:tcW w:w="828" w:type="dxa"/>
          </w:tcPr>
          <w:p w:rsidR="00136B36" w:rsidRPr="00136B36" w:rsidRDefault="00136B36" w:rsidP="00136B36">
            <w:pPr>
              <w:rPr>
                <w:rFonts w:ascii="Arial" w:hAnsi="Arial" w:cs="Arial"/>
                <w:sz w:val="20"/>
              </w:rPr>
            </w:pPr>
            <w:r w:rsidRPr="00136B36">
              <w:rPr>
                <w:rFonts w:ascii="Arial" w:hAnsi="Arial" w:cs="Arial"/>
                <w:sz w:val="20"/>
              </w:rPr>
              <w:t>11001</w:t>
            </w:r>
          </w:p>
        </w:tc>
        <w:tc>
          <w:tcPr>
            <w:tcW w:w="1170" w:type="dxa"/>
          </w:tcPr>
          <w:p w:rsidR="00136B36" w:rsidRPr="00136B36" w:rsidRDefault="00136B36" w:rsidP="00136B36">
            <w:pPr>
              <w:rPr>
                <w:rFonts w:ascii="Arial" w:hAnsi="Arial" w:cs="Arial"/>
                <w:sz w:val="20"/>
              </w:rPr>
            </w:pPr>
            <w:r w:rsidRPr="00136B36">
              <w:rPr>
                <w:rFonts w:ascii="Arial" w:hAnsi="Arial" w:cs="Arial"/>
                <w:sz w:val="20"/>
              </w:rPr>
              <w:t xml:space="preserve">Abhishek </w:t>
            </w:r>
            <w:proofErr w:type="spellStart"/>
            <w:r w:rsidRPr="00136B36">
              <w:rPr>
                <w:rFonts w:ascii="Arial" w:hAnsi="Arial" w:cs="Arial"/>
                <w:sz w:val="20"/>
              </w:rPr>
              <w:t>Patil</w:t>
            </w:r>
            <w:proofErr w:type="spellEnd"/>
          </w:p>
        </w:tc>
        <w:tc>
          <w:tcPr>
            <w:tcW w:w="810" w:type="dxa"/>
          </w:tcPr>
          <w:p w:rsidR="00136B36" w:rsidRPr="00136B36" w:rsidRDefault="00136B36" w:rsidP="00136B36">
            <w:pPr>
              <w:rPr>
                <w:rFonts w:ascii="Arial" w:hAnsi="Arial" w:cs="Arial"/>
                <w:sz w:val="20"/>
              </w:rPr>
            </w:pPr>
            <w:r w:rsidRPr="00136B36">
              <w:rPr>
                <w:rFonts w:ascii="Arial" w:hAnsi="Arial" w:cs="Arial"/>
                <w:sz w:val="20"/>
              </w:rPr>
              <w:t>85.10</w:t>
            </w:r>
          </w:p>
        </w:tc>
        <w:tc>
          <w:tcPr>
            <w:tcW w:w="720" w:type="dxa"/>
          </w:tcPr>
          <w:p w:rsidR="00136B36" w:rsidRPr="00136B36" w:rsidRDefault="00136B36" w:rsidP="00136B36">
            <w:pPr>
              <w:rPr>
                <w:rFonts w:ascii="Arial" w:hAnsi="Arial" w:cs="Arial"/>
                <w:sz w:val="20"/>
              </w:rPr>
            </w:pPr>
            <w:r w:rsidRPr="00136B36">
              <w:rPr>
                <w:rFonts w:ascii="Arial" w:hAnsi="Arial" w:cs="Arial"/>
                <w:sz w:val="20"/>
              </w:rPr>
              <w:t>9.3.1.23</w:t>
            </w:r>
          </w:p>
        </w:tc>
        <w:tc>
          <w:tcPr>
            <w:tcW w:w="2160" w:type="dxa"/>
          </w:tcPr>
          <w:p w:rsidR="00136B36" w:rsidRPr="00136B36" w:rsidRDefault="00136B36" w:rsidP="00136B36">
            <w:pPr>
              <w:rPr>
                <w:rFonts w:ascii="Arial" w:hAnsi="Arial" w:cs="Arial"/>
                <w:sz w:val="20"/>
              </w:rPr>
            </w:pPr>
            <w:r w:rsidRPr="00136B36">
              <w:rPr>
                <w:rFonts w:ascii="Arial" w:hAnsi="Arial" w:cs="Arial"/>
                <w:sz w:val="20"/>
              </w:rPr>
              <w:t xml:space="preserve">Random access for </w:t>
            </w:r>
            <w:proofErr w:type="spellStart"/>
            <w:r w:rsidRPr="00136B36">
              <w:rPr>
                <w:rFonts w:ascii="Arial" w:hAnsi="Arial" w:cs="Arial"/>
                <w:sz w:val="20"/>
              </w:rPr>
              <w:t>unassociated</w:t>
            </w:r>
            <w:proofErr w:type="spellEnd"/>
            <w:r w:rsidRPr="00136B36">
              <w:rPr>
                <w:rFonts w:ascii="Arial" w:hAnsi="Arial" w:cs="Arial"/>
                <w:sz w:val="20"/>
              </w:rPr>
              <w:t xml:space="preserve"> STAs is broken. In case of random access for </w:t>
            </w:r>
            <w:proofErr w:type="spellStart"/>
            <w:r w:rsidRPr="00136B36">
              <w:rPr>
                <w:rFonts w:ascii="Arial" w:hAnsi="Arial" w:cs="Arial"/>
                <w:sz w:val="20"/>
              </w:rPr>
              <w:t>unassociated</w:t>
            </w:r>
            <w:proofErr w:type="spellEnd"/>
            <w:r w:rsidRPr="00136B36">
              <w:rPr>
                <w:rFonts w:ascii="Arial" w:hAnsi="Arial" w:cs="Arial"/>
                <w:sz w:val="20"/>
              </w:rPr>
              <w:t xml:space="preserve"> STAs (AID12=2045), the most likely case is that an </w:t>
            </w:r>
            <w:proofErr w:type="spellStart"/>
            <w:r w:rsidRPr="00136B36">
              <w:rPr>
                <w:rFonts w:ascii="Arial" w:hAnsi="Arial" w:cs="Arial"/>
                <w:sz w:val="20"/>
              </w:rPr>
              <w:t>unassociated</w:t>
            </w:r>
            <w:proofErr w:type="spellEnd"/>
            <w:r w:rsidRPr="00136B36">
              <w:rPr>
                <w:rFonts w:ascii="Arial" w:hAnsi="Arial" w:cs="Arial"/>
                <w:sz w:val="20"/>
              </w:rPr>
              <w:t xml:space="preserve"> STA wishing to use the random access RU has not received any other frames from the AP sending the Trigger frame. As a result, the </w:t>
            </w:r>
            <w:proofErr w:type="spellStart"/>
            <w:r w:rsidRPr="00136B36">
              <w:rPr>
                <w:rFonts w:ascii="Arial" w:hAnsi="Arial" w:cs="Arial"/>
                <w:sz w:val="20"/>
              </w:rPr>
              <w:t>unassociated</w:t>
            </w:r>
            <w:proofErr w:type="spellEnd"/>
            <w:r w:rsidRPr="00136B36">
              <w:rPr>
                <w:rFonts w:ascii="Arial" w:hAnsi="Arial" w:cs="Arial"/>
                <w:sz w:val="20"/>
              </w:rPr>
              <w:t xml:space="preserve"> STA has no knowledge of the reference channel (primary 20). Since the RU indexing is with respect to the primary20 of the AP, how would an </w:t>
            </w:r>
            <w:proofErr w:type="spellStart"/>
            <w:r w:rsidRPr="00136B36">
              <w:rPr>
                <w:rFonts w:ascii="Arial" w:hAnsi="Arial" w:cs="Arial"/>
                <w:sz w:val="20"/>
              </w:rPr>
              <w:lastRenderedPageBreak/>
              <w:t>unassociated</w:t>
            </w:r>
            <w:proofErr w:type="spellEnd"/>
            <w:r w:rsidRPr="00136B36">
              <w:rPr>
                <w:rFonts w:ascii="Arial" w:hAnsi="Arial" w:cs="Arial"/>
                <w:sz w:val="20"/>
              </w:rPr>
              <w:t xml:space="preserve"> non-AP STA know the RU mapping of the Trigger frame?</w:t>
            </w:r>
          </w:p>
        </w:tc>
        <w:tc>
          <w:tcPr>
            <w:tcW w:w="1440" w:type="dxa"/>
          </w:tcPr>
          <w:p w:rsidR="00136B36" w:rsidRPr="00136B36" w:rsidRDefault="00136B36" w:rsidP="00136B36">
            <w:pPr>
              <w:rPr>
                <w:rFonts w:ascii="Arial" w:hAnsi="Arial" w:cs="Arial"/>
                <w:sz w:val="20"/>
              </w:rPr>
            </w:pPr>
            <w:r w:rsidRPr="00136B36">
              <w:rPr>
                <w:rFonts w:ascii="Arial" w:hAnsi="Arial" w:cs="Arial"/>
                <w:sz w:val="20"/>
              </w:rPr>
              <w:lastRenderedPageBreak/>
              <w:t>As in comment</w:t>
            </w:r>
          </w:p>
        </w:tc>
        <w:tc>
          <w:tcPr>
            <w:tcW w:w="2880" w:type="dxa"/>
          </w:tcPr>
          <w:p w:rsidR="00136B36" w:rsidRPr="00136B36" w:rsidRDefault="00136B36" w:rsidP="00136B36">
            <w:pPr>
              <w:rPr>
                <w:rFonts w:ascii="Arial" w:hAnsi="Arial" w:cs="Arial"/>
                <w:b/>
                <w:sz w:val="20"/>
              </w:rPr>
            </w:pPr>
            <w:r w:rsidRPr="00136B36">
              <w:rPr>
                <w:rFonts w:ascii="Arial" w:hAnsi="Arial" w:cs="Arial"/>
                <w:b/>
                <w:sz w:val="20"/>
              </w:rPr>
              <w:t>Revised</w:t>
            </w:r>
          </w:p>
          <w:p w:rsidR="00136B36" w:rsidRDefault="001E4DD9" w:rsidP="00136B36">
            <w:pPr>
              <w:rPr>
                <w:rFonts w:ascii="Arial" w:eastAsiaTheme="minorEastAsia" w:hAnsi="Arial" w:cs="Arial"/>
                <w:sz w:val="20"/>
                <w:lang w:eastAsia="zh-CN"/>
              </w:rPr>
            </w:pPr>
            <w:r w:rsidRPr="00367FFE">
              <w:rPr>
                <w:rFonts w:ascii="Arial" w:eastAsiaTheme="minorEastAsia" w:hAnsi="Arial" w:cs="Arial"/>
                <w:sz w:val="20"/>
                <w:lang w:eastAsia="zh-CN"/>
              </w:rPr>
              <w:t>This part of the comment is incorrect:</w:t>
            </w:r>
          </w:p>
          <w:p w:rsidR="00D93ACD" w:rsidRDefault="00D93ACD" w:rsidP="00136B36">
            <w:pPr>
              <w:rPr>
                <w:rFonts w:ascii="Arial" w:eastAsiaTheme="minorEastAsia" w:hAnsi="Arial" w:cs="Arial"/>
                <w:sz w:val="20"/>
                <w:lang w:eastAsia="zh-CN"/>
              </w:rPr>
            </w:pPr>
          </w:p>
          <w:p w:rsidR="00D93ACD" w:rsidRDefault="00D93ACD" w:rsidP="00136B36">
            <w:pPr>
              <w:rPr>
                <w:rFonts w:ascii="Arial" w:eastAsiaTheme="minorEastAsia" w:hAnsi="Arial" w:cs="Arial"/>
                <w:sz w:val="20"/>
                <w:lang w:eastAsia="zh-CN"/>
              </w:rPr>
            </w:pPr>
            <w:r>
              <w:rPr>
                <w:rFonts w:ascii="Arial" w:eastAsiaTheme="minorEastAsia" w:hAnsi="Arial" w:cs="Arial" w:hint="eastAsia"/>
                <w:sz w:val="20"/>
                <w:lang w:eastAsia="zh-CN"/>
              </w:rPr>
              <w:t xml:space="preserve"> </w:t>
            </w:r>
            <w:r>
              <w:rPr>
                <w:rFonts w:ascii="Arial" w:eastAsiaTheme="minorEastAsia" w:hAnsi="Arial" w:cs="Arial"/>
                <w:sz w:val="20"/>
                <w:lang w:eastAsia="zh-CN"/>
              </w:rPr>
              <w:t>“</w:t>
            </w:r>
            <w:r w:rsidRPr="00136B36">
              <w:rPr>
                <w:rFonts w:ascii="Arial" w:hAnsi="Arial" w:cs="Arial"/>
                <w:sz w:val="20"/>
              </w:rPr>
              <w:t>Since the RU indexing is with respect to the primary20 of the AP,</w:t>
            </w:r>
            <w:r>
              <w:rPr>
                <w:rFonts w:ascii="Arial" w:eastAsiaTheme="minorEastAsia" w:hAnsi="Arial" w:cs="Arial"/>
                <w:sz w:val="20"/>
                <w:lang w:eastAsia="zh-CN"/>
              </w:rPr>
              <w:t>”</w:t>
            </w:r>
            <w:r>
              <w:rPr>
                <w:rFonts w:ascii="Arial" w:eastAsiaTheme="minorEastAsia" w:hAnsi="Arial" w:cs="Arial" w:hint="eastAsia"/>
                <w:sz w:val="20"/>
                <w:lang w:eastAsia="zh-CN"/>
              </w:rPr>
              <w:t xml:space="preserve"> is not correct. For the </w:t>
            </w:r>
            <w:proofErr w:type="spellStart"/>
            <w:r>
              <w:rPr>
                <w:rFonts w:ascii="Arial" w:eastAsiaTheme="minorEastAsia" w:hAnsi="Arial" w:cs="Arial" w:hint="eastAsia"/>
                <w:sz w:val="20"/>
                <w:lang w:eastAsia="zh-CN"/>
              </w:rPr>
              <w:t>un</w:t>
            </w:r>
            <w:r>
              <w:rPr>
                <w:rFonts w:ascii="Arial" w:eastAsiaTheme="minorEastAsia" w:hAnsi="Arial" w:cs="Arial"/>
                <w:sz w:val="20"/>
                <w:lang w:eastAsia="zh-CN"/>
              </w:rPr>
              <w:t>associated</w:t>
            </w:r>
            <w:proofErr w:type="spellEnd"/>
            <w:r>
              <w:rPr>
                <w:rFonts w:ascii="Arial" w:eastAsiaTheme="minorEastAsia" w:hAnsi="Arial" w:cs="Arial" w:hint="eastAsia"/>
                <w:sz w:val="20"/>
                <w:lang w:eastAsia="zh-CN"/>
              </w:rPr>
              <w:t xml:space="preserve"> STA to understand the RU index of the RA-RU, the </w:t>
            </w:r>
            <w:r>
              <w:rPr>
                <w:rFonts w:ascii="Arial" w:eastAsiaTheme="minorEastAsia" w:hAnsi="Arial" w:cs="Arial"/>
                <w:sz w:val="20"/>
                <w:lang w:eastAsia="zh-CN"/>
              </w:rPr>
              <w:t>knowledge</w:t>
            </w:r>
            <w:r>
              <w:rPr>
                <w:rFonts w:ascii="Arial" w:eastAsiaTheme="minorEastAsia" w:hAnsi="Arial" w:cs="Arial" w:hint="eastAsia"/>
                <w:sz w:val="20"/>
                <w:lang w:eastAsia="zh-CN"/>
              </w:rPr>
              <w:t xml:space="preserve"> of the primary </w:t>
            </w:r>
            <w:proofErr w:type="spellStart"/>
            <w:r>
              <w:rPr>
                <w:rFonts w:ascii="Arial" w:eastAsiaTheme="minorEastAsia" w:hAnsi="Arial" w:cs="Arial" w:hint="eastAsia"/>
                <w:sz w:val="20"/>
                <w:lang w:eastAsia="zh-CN"/>
              </w:rPr>
              <w:t>subband</w:t>
            </w:r>
            <w:proofErr w:type="spellEnd"/>
            <w:r>
              <w:rPr>
                <w:rFonts w:ascii="Arial" w:eastAsiaTheme="minorEastAsia" w:hAnsi="Arial" w:cs="Arial" w:hint="eastAsia"/>
                <w:sz w:val="20"/>
                <w:lang w:eastAsia="zh-CN"/>
              </w:rPr>
              <w:t xml:space="preserve"> ID is not </w:t>
            </w:r>
            <w:r>
              <w:rPr>
                <w:rFonts w:ascii="Arial" w:eastAsiaTheme="minorEastAsia" w:hAnsi="Arial" w:cs="Arial"/>
                <w:sz w:val="20"/>
                <w:lang w:eastAsia="zh-CN"/>
              </w:rPr>
              <w:t>necessary</w:t>
            </w:r>
            <w:r>
              <w:rPr>
                <w:rFonts w:ascii="Arial" w:eastAsiaTheme="minorEastAsia" w:hAnsi="Arial" w:cs="Arial" w:hint="eastAsia"/>
                <w:sz w:val="20"/>
                <w:lang w:eastAsia="zh-CN"/>
              </w:rPr>
              <w:t xml:space="preserve"> </w:t>
            </w:r>
            <w:proofErr w:type="gramStart"/>
            <w:r>
              <w:rPr>
                <w:rFonts w:ascii="Arial" w:eastAsiaTheme="minorEastAsia" w:hAnsi="Arial" w:cs="Arial" w:hint="eastAsia"/>
                <w:sz w:val="20"/>
                <w:lang w:eastAsia="zh-CN"/>
              </w:rPr>
              <w:t>cause</w:t>
            </w:r>
            <w:proofErr w:type="gramEnd"/>
            <w:r>
              <w:rPr>
                <w:rFonts w:ascii="Arial" w:eastAsiaTheme="minorEastAsia" w:hAnsi="Arial" w:cs="Arial" w:hint="eastAsia"/>
                <w:sz w:val="20"/>
                <w:lang w:eastAsia="zh-CN"/>
              </w:rPr>
              <w:t xml:space="preserve"> the RU is indexed with the physical tone from lowest frequency to the highest frequency of the PPDU </w:t>
            </w:r>
            <w:r>
              <w:rPr>
                <w:rFonts w:ascii="Arial" w:eastAsiaTheme="minorEastAsia" w:hAnsi="Arial" w:cs="Arial"/>
                <w:sz w:val="20"/>
                <w:lang w:eastAsia="zh-CN"/>
              </w:rPr>
              <w:t>bandwidth</w:t>
            </w:r>
            <w:r>
              <w:rPr>
                <w:rFonts w:ascii="Arial" w:eastAsiaTheme="minorEastAsia" w:hAnsi="Arial" w:cs="Arial" w:hint="eastAsia"/>
                <w:sz w:val="20"/>
                <w:lang w:eastAsia="zh-CN"/>
              </w:rPr>
              <w:t xml:space="preserve">. Please refer to the discussion section in this document for detail. </w:t>
            </w:r>
          </w:p>
          <w:p w:rsidR="00D93ACD" w:rsidRDefault="00D93ACD" w:rsidP="00136B36">
            <w:pPr>
              <w:rPr>
                <w:rFonts w:ascii="Arial" w:eastAsiaTheme="minorEastAsia" w:hAnsi="Arial" w:cs="Arial"/>
                <w:sz w:val="20"/>
                <w:lang w:eastAsia="zh-CN"/>
              </w:rPr>
            </w:pPr>
          </w:p>
          <w:p w:rsidR="00D93ACD" w:rsidRDefault="00D93ACD" w:rsidP="00136B36">
            <w:pPr>
              <w:rPr>
                <w:rFonts w:ascii="Arial" w:eastAsiaTheme="minorEastAsia" w:hAnsi="Arial" w:cs="Arial"/>
                <w:sz w:val="20"/>
                <w:lang w:eastAsia="zh-CN"/>
              </w:rPr>
            </w:pPr>
            <w:r>
              <w:rPr>
                <w:rFonts w:ascii="Arial" w:eastAsiaTheme="minorEastAsia" w:hAnsi="Arial" w:cs="Arial" w:hint="eastAsia"/>
                <w:sz w:val="20"/>
                <w:lang w:eastAsia="zh-CN"/>
              </w:rPr>
              <w:t xml:space="preserve">So this </w:t>
            </w:r>
            <w:r w:rsidR="001E4DD9" w:rsidRPr="00367FFE">
              <w:rPr>
                <w:rFonts w:ascii="Arial" w:eastAsiaTheme="minorEastAsia" w:hAnsi="Arial" w:cs="Arial"/>
                <w:sz w:val="20"/>
                <w:lang w:eastAsia="zh-CN"/>
              </w:rPr>
              <w:t xml:space="preserve">part of the </w:t>
            </w:r>
            <w:r w:rsidRPr="00367FFE">
              <w:rPr>
                <w:rFonts w:ascii="Arial" w:eastAsiaTheme="minorEastAsia" w:hAnsi="Arial" w:cs="Arial" w:hint="eastAsia"/>
                <w:sz w:val="20"/>
                <w:lang w:eastAsia="zh-CN"/>
              </w:rPr>
              <w:t>comment</w:t>
            </w:r>
            <w:r>
              <w:rPr>
                <w:rFonts w:ascii="Arial" w:eastAsiaTheme="minorEastAsia" w:hAnsi="Arial" w:cs="Arial" w:hint="eastAsia"/>
                <w:sz w:val="20"/>
                <w:lang w:eastAsia="zh-CN"/>
              </w:rPr>
              <w:t xml:space="preserve"> should be rejected. </w:t>
            </w:r>
          </w:p>
          <w:p w:rsidR="00D93ACD" w:rsidRDefault="00D93ACD" w:rsidP="00136B36">
            <w:pPr>
              <w:rPr>
                <w:rFonts w:ascii="Arial" w:eastAsiaTheme="minorEastAsia" w:hAnsi="Arial" w:cs="Arial"/>
                <w:sz w:val="20"/>
                <w:lang w:eastAsia="zh-CN"/>
              </w:rPr>
            </w:pPr>
          </w:p>
          <w:p w:rsidR="00864165" w:rsidRPr="00367FFE" w:rsidRDefault="00D93ACD" w:rsidP="00136B36">
            <w:pPr>
              <w:rPr>
                <w:rFonts w:ascii="Arial" w:eastAsiaTheme="minorEastAsia" w:hAnsi="Arial" w:cs="Arial"/>
                <w:sz w:val="20"/>
                <w:lang w:eastAsia="zh-CN"/>
              </w:rPr>
            </w:pPr>
            <w:r w:rsidRPr="00367FFE">
              <w:rPr>
                <w:rFonts w:ascii="Arial" w:eastAsiaTheme="minorEastAsia" w:hAnsi="Arial" w:cs="Arial" w:hint="eastAsia"/>
                <w:sz w:val="20"/>
                <w:lang w:eastAsia="zh-CN"/>
              </w:rPr>
              <w:t xml:space="preserve">On the other hand, </w:t>
            </w:r>
            <w:r w:rsidR="001E4DD9" w:rsidRPr="00367FFE">
              <w:rPr>
                <w:rFonts w:ascii="Arial" w:eastAsiaTheme="minorEastAsia" w:hAnsi="Arial" w:cs="Arial"/>
                <w:sz w:val="20"/>
                <w:lang w:eastAsia="zh-CN"/>
              </w:rPr>
              <w:t xml:space="preserve">it was </w:t>
            </w:r>
            <w:r w:rsidR="001E4DD9" w:rsidRPr="00367FFE">
              <w:rPr>
                <w:rFonts w:ascii="Arial" w:eastAsiaTheme="minorEastAsia" w:hAnsi="Arial" w:cs="Arial"/>
                <w:sz w:val="20"/>
                <w:lang w:eastAsia="zh-CN"/>
              </w:rPr>
              <w:lastRenderedPageBreak/>
              <w:t>suggested that if</w:t>
            </w:r>
            <w:r w:rsidRPr="00367FFE">
              <w:rPr>
                <w:rFonts w:ascii="Arial" w:eastAsiaTheme="minorEastAsia" w:hAnsi="Arial" w:cs="Arial" w:hint="eastAsia"/>
                <w:sz w:val="20"/>
                <w:lang w:eastAsia="zh-CN"/>
              </w:rPr>
              <w:t xml:space="preserve"> the AP </w:t>
            </w:r>
            <w:r w:rsidR="001E4DD9" w:rsidRPr="00367FFE">
              <w:rPr>
                <w:rFonts w:ascii="Arial" w:eastAsiaTheme="minorEastAsia" w:hAnsi="Arial" w:cs="Arial"/>
                <w:sz w:val="20"/>
                <w:lang w:eastAsia="zh-CN"/>
              </w:rPr>
              <w:t xml:space="preserve">were to send </w:t>
            </w:r>
            <w:r w:rsidRPr="00367FFE">
              <w:rPr>
                <w:rFonts w:ascii="Arial" w:eastAsiaTheme="minorEastAsia" w:hAnsi="Arial" w:cs="Arial" w:hint="eastAsia"/>
                <w:sz w:val="20"/>
                <w:lang w:eastAsia="zh-CN"/>
              </w:rPr>
              <w:t xml:space="preserve">a </w:t>
            </w:r>
            <w:r w:rsidR="002E7ABB" w:rsidRPr="00367FFE">
              <w:rPr>
                <w:rFonts w:ascii="Arial" w:eastAsiaTheme="minorEastAsia" w:hAnsi="Arial" w:cs="Arial" w:hint="eastAsia"/>
                <w:sz w:val="20"/>
                <w:lang w:eastAsia="zh-CN"/>
              </w:rPr>
              <w:t xml:space="preserve">probe response, </w:t>
            </w:r>
            <w:r w:rsidRPr="00367FFE">
              <w:rPr>
                <w:rFonts w:ascii="Arial" w:eastAsiaTheme="minorEastAsia" w:hAnsi="Arial" w:cs="Arial" w:hint="eastAsia"/>
                <w:sz w:val="20"/>
                <w:lang w:eastAsia="zh-CN"/>
              </w:rPr>
              <w:t xml:space="preserve">the </w:t>
            </w:r>
            <w:proofErr w:type="spellStart"/>
            <w:r w:rsidRPr="00367FFE">
              <w:rPr>
                <w:rFonts w:ascii="Arial" w:eastAsiaTheme="minorEastAsia" w:hAnsi="Arial" w:cs="Arial" w:hint="eastAsia"/>
                <w:sz w:val="20"/>
                <w:lang w:eastAsia="zh-CN"/>
              </w:rPr>
              <w:t>unassociate</w:t>
            </w:r>
            <w:r w:rsidR="001E4DD9" w:rsidRPr="00367FFE">
              <w:rPr>
                <w:rFonts w:ascii="Arial" w:eastAsiaTheme="minorEastAsia" w:hAnsi="Arial" w:cs="Arial"/>
                <w:sz w:val="20"/>
                <w:lang w:eastAsia="zh-CN"/>
              </w:rPr>
              <w:t>d</w:t>
            </w:r>
            <w:proofErr w:type="spellEnd"/>
            <w:r w:rsidR="002E7ABB" w:rsidRPr="00367FFE">
              <w:rPr>
                <w:rFonts w:ascii="Arial" w:eastAsiaTheme="minorEastAsia" w:hAnsi="Arial" w:cs="Arial" w:hint="eastAsia"/>
                <w:sz w:val="20"/>
                <w:lang w:eastAsia="zh-CN"/>
              </w:rPr>
              <w:t xml:space="preserve"> STA</w:t>
            </w:r>
            <w:r w:rsidRPr="00367FFE">
              <w:rPr>
                <w:rFonts w:ascii="Arial" w:eastAsiaTheme="minorEastAsia" w:hAnsi="Arial" w:cs="Arial" w:hint="eastAsia"/>
                <w:sz w:val="20"/>
                <w:lang w:eastAsia="zh-CN"/>
              </w:rPr>
              <w:t xml:space="preserve"> </w:t>
            </w:r>
            <w:r w:rsidR="001E4DD9" w:rsidRPr="00367FFE">
              <w:rPr>
                <w:rFonts w:ascii="Arial" w:eastAsiaTheme="minorEastAsia" w:hAnsi="Arial" w:cs="Arial"/>
                <w:sz w:val="20"/>
                <w:lang w:eastAsia="zh-CN"/>
              </w:rPr>
              <w:t>might</w:t>
            </w:r>
            <w:r w:rsidR="00864165" w:rsidRPr="00367FFE">
              <w:rPr>
                <w:rFonts w:ascii="Arial" w:eastAsiaTheme="minorEastAsia" w:hAnsi="Arial" w:cs="Arial" w:hint="eastAsia"/>
                <w:sz w:val="20"/>
                <w:lang w:eastAsia="zh-CN"/>
              </w:rPr>
              <w:t xml:space="preserve"> not be able to receive t</w:t>
            </w:r>
            <w:r w:rsidR="002E7ABB" w:rsidRPr="00367FFE">
              <w:rPr>
                <w:rFonts w:ascii="Arial" w:eastAsiaTheme="minorEastAsia" w:hAnsi="Arial" w:cs="Arial" w:hint="eastAsia"/>
                <w:sz w:val="20"/>
                <w:lang w:eastAsia="zh-CN"/>
              </w:rPr>
              <w:t>h</w:t>
            </w:r>
            <w:r w:rsidR="001E4DD9" w:rsidRPr="00367FFE">
              <w:rPr>
                <w:rFonts w:ascii="Arial" w:eastAsiaTheme="minorEastAsia" w:hAnsi="Arial" w:cs="Arial"/>
                <w:sz w:val="20"/>
                <w:lang w:eastAsia="zh-CN"/>
              </w:rPr>
              <w:t>e</w:t>
            </w:r>
            <w:r w:rsidR="002E7ABB" w:rsidRPr="00367FFE">
              <w:rPr>
                <w:rFonts w:ascii="Arial" w:eastAsiaTheme="minorEastAsia" w:hAnsi="Arial" w:cs="Arial" w:hint="eastAsia"/>
                <w:sz w:val="20"/>
                <w:lang w:eastAsia="zh-CN"/>
              </w:rPr>
              <w:t xml:space="preserve"> MMPDU if the STA </w:t>
            </w:r>
            <w:r w:rsidR="00864165" w:rsidRPr="00367FFE">
              <w:rPr>
                <w:rFonts w:ascii="Arial" w:eastAsiaTheme="minorEastAsia" w:hAnsi="Arial" w:cs="Arial" w:hint="eastAsia"/>
                <w:sz w:val="20"/>
                <w:lang w:eastAsia="zh-CN"/>
              </w:rPr>
              <w:t>only listen</w:t>
            </w:r>
            <w:r w:rsidR="002E7ABB" w:rsidRPr="00367FFE">
              <w:rPr>
                <w:rFonts w:ascii="Arial" w:eastAsiaTheme="minorEastAsia" w:hAnsi="Arial" w:cs="Arial" w:hint="eastAsia"/>
                <w:sz w:val="20"/>
                <w:lang w:eastAsia="zh-CN"/>
              </w:rPr>
              <w:t>s</w:t>
            </w:r>
            <w:r w:rsidR="00864165" w:rsidRPr="00367FFE">
              <w:rPr>
                <w:rFonts w:ascii="Arial" w:eastAsiaTheme="minorEastAsia" w:hAnsi="Arial" w:cs="Arial" w:hint="eastAsia"/>
                <w:sz w:val="20"/>
                <w:lang w:eastAsia="zh-CN"/>
              </w:rPr>
              <w:t xml:space="preserve"> on the 20MHz channel </w:t>
            </w:r>
            <w:r w:rsidR="001E4DD9" w:rsidRPr="00367FFE">
              <w:rPr>
                <w:rFonts w:ascii="Arial" w:eastAsiaTheme="minorEastAsia" w:hAnsi="Arial" w:cs="Arial"/>
                <w:sz w:val="20"/>
                <w:lang w:eastAsia="zh-CN"/>
              </w:rPr>
              <w:t>on which it transmitted the HE TB PPDU with the probe request, and this might</w:t>
            </w:r>
            <w:r w:rsidR="00864165" w:rsidRPr="00367FFE">
              <w:rPr>
                <w:rFonts w:ascii="Arial" w:eastAsiaTheme="minorEastAsia" w:hAnsi="Arial" w:cs="Arial" w:hint="eastAsia"/>
                <w:sz w:val="20"/>
                <w:lang w:eastAsia="zh-CN"/>
              </w:rPr>
              <w:t xml:space="preserve"> not </w:t>
            </w:r>
            <w:r w:rsidR="001E4DD9" w:rsidRPr="00367FFE">
              <w:rPr>
                <w:rFonts w:ascii="Arial" w:eastAsiaTheme="minorEastAsia" w:hAnsi="Arial" w:cs="Arial"/>
                <w:sz w:val="20"/>
                <w:lang w:eastAsia="zh-CN"/>
              </w:rPr>
              <w:t xml:space="preserve">be </w:t>
            </w:r>
            <w:r w:rsidR="00864165" w:rsidRPr="00367FFE">
              <w:rPr>
                <w:rFonts w:ascii="Arial" w:eastAsiaTheme="minorEastAsia" w:hAnsi="Arial" w:cs="Arial" w:hint="eastAsia"/>
                <w:sz w:val="20"/>
                <w:lang w:eastAsia="zh-CN"/>
              </w:rPr>
              <w:t xml:space="preserve">the </w:t>
            </w:r>
            <w:r w:rsidR="00864165" w:rsidRPr="00367FFE">
              <w:rPr>
                <w:rFonts w:ascii="Arial" w:eastAsiaTheme="minorEastAsia" w:hAnsi="Arial" w:cs="Arial"/>
                <w:sz w:val="20"/>
                <w:lang w:eastAsia="zh-CN"/>
              </w:rPr>
              <w:t>primary</w:t>
            </w:r>
            <w:r w:rsidR="00864165" w:rsidRPr="00367FFE">
              <w:rPr>
                <w:rFonts w:ascii="Arial" w:eastAsiaTheme="minorEastAsia" w:hAnsi="Arial" w:cs="Arial" w:hint="eastAsia"/>
                <w:sz w:val="20"/>
                <w:lang w:eastAsia="zh-CN"/>
              </w:rPr>
              <w:t xml:space="preserve"> channel of the BSS. </w:t>
            </w:r>
          </w:p>
          <w:p w:rsidR="00864165" w:rsidRPr="00367FFE" w:rsidRDefault="00864165" w:rsidP="00136B36">
            <w:pPr>
              <w:rPr>
                <w:rFonts w:ascii="Arial" w:eastAsiaTheme="minorEastAsia" w:hAnsi="Arial" w:cs="Arial"/>
                <w:sz w:val="20"/>
                <w:lang w:eastAsia="zh-CN"/>
              </w:rPr>
            </w:pPr>
          </w:p>
          <w:p w:rsidR="00D93ACD" w:rsidRPr="00D93ACD" w:rsidRDefault="00864165" w:rsidP="00136B36">
            <w:pPr>
              <w:rPr>
                <w:rFonts w:ascii="Arial" w:eastAsiaTheme="minorEastAsia" w:hAnsi="Arial" w:cs="Arial"/>
                <w:sz w:val="20"/>
                <w:lang w:eastAsia="zh-CN"/>
              </w:rPr>
            </w:pPr>
            <w:r w:rsidRPr="00367FFE">
              <w:rPr>
                <w:rFonts w:ascii="Arial" w:eastAsiaTheme="minorEastAsia" w:hAnsi="Arial" w:cs="Arial" w:hint="eastAsia"/>
                <w:sz w:val="20"/>
                <w:lang w:eastAsia="zh-CN"/>
              </w:rPr>
              <w:t xml:space="preserve">So we propose to mandate the AP to send </w:t>
            </w:r>
            <w:r w:rsidR="001E4DD9" w:rsidRPr="00367FFE">
              <w:rPr>
                <w:rFonts w:ascii="Arial" w:eastAsiaTheme="minorEastAsia" w:hAnsi="Arial" w:cs="Arial"/>
                <w:sz w:val="20"/>
                <w:lang w:eastAsia="zh-CN"/>
              </w:rPr>
              <w:t xml:space="preserve">any </w:t>
            </w:r>
            <w:r w:rsidRPr="00367FFE">
              <w:rPr>
                <w:rFonts w:ascii="Arial" w:eastAsiaTheme="minorEastAsia" w:hAnsi="Arial" w:cs="Arial" w:hint="eastAsia"/>
                <w:sz w:val="20"/>
                <w:lang w:eastAsia="zh-CN"/>
              </w:rPr>
              <w:t>response MMPDU</w:t>
            </w:r>
            <w:r w:rsidR="001E4DD9" w:rsidRPr="00367FFE">
              <w:rPr>
                <w:rFonts w:ascii="Arial" w:eastAsiaTheme="minorEastAsia" w:hAnsi="Arial" w:cs="Arial"/>
                <w:sz w:val="20"/>
                <w:lang w:eastAsia="zh-CN"/>
              </w:rPr>
              <w:t xml:space="preserve"> to an </w:t>
            </w:r>
            <w:proofErr w:type="spellStart"/>
            <w:r w:rsidR="001E4DD9" w:rsidRPr="00367FFE">
              <w:rPr>
                <w:rFonts w:ascii="Arial" w:eastAsiaTheme="minorEastAsia" w:hAnsi="Arial" w:cs="Arial"/>
                <w:sz w:val="20"/>
                <w:lang w:eastAsia="zh-CN"/>
              </w:rPr>
              <w:t>unassociated</w:t>
            </w:r>
            <w:proofErr w:type="spellEnd"/>
            <w:r w:rsidR="001E4DD9" w:rsidRPr="00367FFE">
              <w:rPr>
                <w:rFonts w:ascii="Arial" w:eastAsiaTheme="minorEastAsia" w:hAnsi="Arial" w:cs="Arial"/>
                <w:sz w:val="20"/>
                <w:lang w:eastAsia="zh-CN"/>
              </w:rPr>
              <w:t xml:space="preserve"> STA</w:t>
            </w:r>
            <w:r w:rsidRPr="00367FFE">
              <w:rPr>
                <w:rFonts w:ascii="Arial" w:eastAsiaTheme="minorEastAsia" w:hAnsi="Arial" w:cs="Arial" w:hint="eastAsia"/>
                <w:sz w:val="20"/>
                <w:lang w:eastAsia="zh-CN"/>
              </w:rPr>
              <w:t xml:space="preserve"> in </w:t>
            </w:r>
            <w:r w:rsidR="001E4DD9" w:rsidRPr="00367FFE">
              <w:rPr>
                <w:rFonts w:ascii="Arial" w:eastAsiaTheme="minorEastAsia" w:hAnsi="Arial" w:cs="Arial"/>
                <w:sz w:val="20"/>
                <w:lang w:eastAsia="zh-CN"/>
              </w:rPr>
              <w:t xml:space="preserve">an </w:t>
            </w:r>
            <w:r w:rsidRPr="00367FFE">
              <w:rPr>
                <w:rFonts w:ascii="Arial" w:eastAsiaTheme="minorEastAsia" w:hAnsi="Arial" w:cs="Arial" w:hint="eastAsia"/>
                <w:sz w:val="20"/>
                <w:lang w:eastAsia="zh-CN"/>
              </w:rPr>
              <w:t>HE PPDU</w:t>
            </w:r>
            <w:r w:rsidR="00D93ACD" w:rsidRPr="00367FFE">
              <w:rPr>
                <w:rFonts w:ascii="Arial" w:eastAsiaTheme="minorEastAsia" w:hAnsi="Arial" w:cs="Arial" w:hint="eastAsia"/>
                <w:sz w:val="20"/>
                <w:lang w:eastAsia="zh-CN"/>
              </w:rPr>
              <w:t xml:space="preserve"> </w:t>
            </w:r>
            <w:r w:rsidRPr="00367FFE">
              <w:rPr>
                <w:rFonts w:ascii="Arial" w:eastAsiaTheme="minorEastAsia" w:hAnsi="Arial" w:cs="Arial" w:hint="eastAsia"/>
                <w:sz w:val="20"/>
                <w:lang w:eastAsia="zh-CN"/>
              </w:rPr>
              <w:t>to solve this problem. Please refer to the discussion section for details.</w:t>
            </w:r>
            <w:r>
              <w:rPr>
                <w:rFonts w:ascii="Arial" w:eastAsiaTheme="minorEastAsia" w:hAnsi="Arial" w:cs="Arial" w:hint="eastAsia"/>
                <w:sz w:val="20"/>
                <w:lang w:eastAsia="zh-CN"/>
              </w:rPr>
              <w:t xml:space="preserve"> </w:t>
            </w:r>
          </w:p>
          <w:p w:rsidR="00136B36" w:rsidRPr="00136B36" w:rsidRDefault="00136B36" w:rsidP="00136B36">
            <w:pPr>
              <w:rPr>
                <w:rFonts w:ascii="Arial" w:hAnsi="Arial" w:cs="Arial"/>
                <w:sz w:val="20"/>
              </w:rPr>
            </w:pPr>
          </w:p>
          <w:p w:rsidR="00136B36" w:rsidRPr="00136B36" w:rsidRDefault="00136B36" w:rsidP="00136B36">
            <w:pPr>
              <w:rPr>
                <w:rFonts w:ascii="Arial" w:hAnsi="Arial" w:cs="Arial"/>
                <w:b/>
                <w:sz w:val="20"/>
              </w:rPr>
            </w:pPr>
            <w:proofErr w:type="spellStart"/>
            <w:r w:rsidRPr="00136B36">
              <w:rPr>
                <w:rFonts w:ascii="Arial" w:hAnsi="Arial" w:cs="Arial"/>
                <w:b/>
                <w:sz w:val="20"/>
              </w:rPr>
              <w:t>TGax</w:t>
            </w:r>
            <w:proofErr w:type="spellEnd"/>
            <w:r w:rsidRPr="00136B36">
              <w:rPr>
                <w:rFonts w:ascii="Arial" w:hAnsi="Arial" w:cs="Arial"/>
                <w:b/>
                <w:sz w:val="20"/>
              </w:rPr>
              <w:t xml:space="preserve"> editor, please make changes as shown in doc </w:t>
            </w:r>
            <w:r w:rsidR="00D93ACD">
              <w:rPr>
                <w:rFonts w:ascii="Arial" w:hAnsi="Arial" w:cs="Arial"/>
                <w:b/>
                <w:sz w:val="20"/>
              </w:rPr>
              <w:t>11-1</w:t>
            </w:r>
            <w:r w:rsidR="00D93ACD">
              <w:rPr>
                <w:rFonts w:ascii="Arial" w:eastAsiaTheme="minorEastAsia" w:hAnsi="Arial" w:cs="Arial" w:hint="eastAsia"/>
                <w:b/>
                <w:sz w:val="20"/>
                <w:lang w:eastAsia="zh-CN"/>
              </w:rPr>
              <w:t>8</w:t>
            </w:r>
            <w:r w:rsidR="00D93ACD">
              <w:rPr>
                <w:rFonts w:ascii="Arial" w:hAnsi="Arial" w:cs="Arial"/>
                <w:b/>
                <w:sz w:val="20"/>
              </w:rPr>
              <w:t>/</w:t>
            </w:r>
            <w:r w:rsidR="00D93ACD">
              <w:rPr>
                <w:rFonts w:ascii="Arial" w:eastAsiaTheme="minorEastAsia" w:hAnsi="Arial" w:cs="Arial" w:hint="eastAsia"/>
                <w:b/>
                <w:sz w:val="20"/>
                <w:lang w:eastAsia="zh-CN"/>
              </w:rPr>
              <w:t>185</w:t>
            </w:r>
            <w:r w:rsidR="00D93ACD">
              <w:rPr>
                <w:rFonts w:ascii="Arial" w:hAnsi="Arial" w:cs="Arial"/>
                <w:b/>
                <w:sz w:val="20"/>
              </w:rPr>
              <w:t>r</w:t>
            </w:r>
            <w:r w:rsidR="00D93ACD">
              <w:rPr>
                <w:rFonts w:ascii="Arial" w:eastAsiaTheme="minorEastAsia" w:hAnsi="Arial" w:cs="Arial" w:hint="eastAsia"/>
                <w:b/>
                <w:sz w:val="20"/>
                <w:lang w:eastAsia="zh-CN"/>
              </w:rPr>
              <w:t>0</w:t>
            </w:r>
            <w:r w:rsidRPr="00136B36">
              <w:rPr>
                <w:rFonts w:ascii="Arial" w:hAnsi="Arial" w:cs="Arial"/>
                <w:b/>
                <w:sz w:val="20"/>
              </w:rPr>
              <w:t xml:space="preserve"> that are marked with CID 11001</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86738D" w:rsidRDefault="0086738D" w:rsidP="00CD4C78">
      <w:pPr>
        <w:rPr>
          <w:rFonts w:eastAsiaTheme="minorEastAsia"/>
          <w:sz w:val="20"/>
          <w:lang w:eastAsia="zh-CN"/>
        </w:rPr>
      </w:pPr>
    </w:p>
    <w:p w:rsidR="0086738D" w:rsidRDefault="0086738D" w:rsidP="0086738D">
      <w:pPr>
        <w:rPr>
          <w:rFonts w:eastAsiaTheme="minorEastAsia"/>
          <w:sz w:val="20"/>
          <w:lang w:eastAsia="zh-CN"/>
        </w:rPr>
      </w:pPr>
      <w:r>
        <w:rPr>
          <w:rFonts w:eastAsiaTheme="minorEastAsia"/>
          <w:b/>
          <w:sz w:val="20"/>
          <w:lang w:eastAsia="zh-CN"/>
        </w:rPr>
        <w:t>Problem 1</w:t>
      </w:r>
      <w:r>
        <w:rPr>
          <w:rFonts w:eastAsiaTheme="minorEastAsia" w:hint="eastAsia"/>
          <w:sz w:val="20"/>
          <w:lang w:eastAsia="zh-CN"/>
        </w:rPr>
        <w:t xml:space="preserve">: </w:t>
      </w:r>
      <w:r>
        <w:rPr>
          <w:rFonts w:eastAsiaTheme="minorEastAsia"/>
          <w:sz w:val="20"/>
          <w:lang w:eastAsia="zh-CN"/>
        </w:rPr>
        <w:t>Determining the relationship between RU index values and the frequencies of the tones represented by the values.</w:t>
      </w:r>
    </w:p>
    <w:p w:rsidR="0086738D" w:rsidRDefault="0086738D" w:rsidP="00CD4C78">
      <w:pPr>
        <w:rPr>
          <w:rFonts w:eastAsiaTheme="minorEastAsia"/>
          <w:sz w:val="20"/>
          <w:lang w:eastAsia="zh-CN"/>
        </w:rPr>
      </w:pPr>
    </w:p>
    <w:p w:rsidR="00CD4C78" w:rsidRDefault="00864165" w:rsidP="00CD4C78">
      <w:pPr>
        <w:rPr>
          <w:rFonts w:eastAsiaTheme="minorEastAsia"/>
          <w:sz w:val="20"/>
          <w:lang w:eastAsia="zh-CN"/>
        </w:rPr>
      </w:pPr>
      <w:r>
        <w:rPr>
          <w:rFonts w:eastAsiaTheme="minorEastAsia" w:hint="eastAsia"/>
          <w:sz w:val="20"/>
          <w:lang w:eastAsia="zh-CN"/>
        </w:rPr>
        <w:t xml:space="preserve">The following figure shows the RU index of </w:t>
      </w:r>
      <w:r w:rsidR="0086738D">
        <w:rPr>
          <w:rFonts w:eastAsiaTheme="minorEastAsia"/>
          <w:sz w:val="20"/>
          <w:lang w:eastAsia="zh-CN"/>
        </w:rPr>
        <w:t>an</w:t>
      </w:r>
      <w:r>
        <w:rPr>
          <w:rFonts w:eastAsiaTheme="minorEastAsia" w:hint="eastAsia"/>
          <w:sz w:val="20"/>
          <w:lang w:eastAsia="zh-CN"/>
        </w:rPr>
        <w:t xml:space="preserve"> 80 MHz PPDU as an example.  The RU index has no relationship with the </w:t>
      </w:r>
      <w:r>
        <w:rPr>
          <w:rFonts w:eastAsiaTheme="minorEastAsia"/>
          <w:sz w:val="20"/>
          <w:lang w:eastAsia="zh-CN"/>
        </w:rPr>
        <w:t>primary</w:t>
      </w:r>
      <w:r w:rsidR="0086738D">
        <w:rPr>
          <w:rFonts w:eastAsiaTheme="minorEastAsia" w:hint="eastAsia"/>
          <w:sz w:val="20"/>
          <w:lang w:eastAsia="zh-CN"/>
        </w:rPr>
        <w:t xml:space="preserve"> channel index</w:t>
      </w:r>
      <w:r w:rsidR="0086738D">
        <w:rPr>
          <w:rFonts w:eastAsiaTheme="minorEastAsia"/>
          <w:sz w:val="20"/>
          <w:lang w:eastAsia="zh-CN"/>
        </w:rPr>
        <w:t>, but is related to the BW of the BSS.</w:t>
      </w:r>
    </w:p>
    <w:p w:rsidR="00864165" w:rsidRDefault="00864165" w:rsidP="00CD4C78">
      <w:pPr>
        <w:rPr>
          <w:rFonts w:eastAsiaTheme="minorEastAsia"/>
          <w:sz w:val="20"/>
          <w:lang w:eastAsia="zh-CN"/>
        </w:rPr>
      </w:pPr>
    </w:p>
    <w:p w:rsidR="00864165" w:rsidRDefault="00864165" w:rsidP="00CD4C78">
      <w:pPr>
        <w:rPr>
          <w:rFonts w:eastAsiaTheme="minorEastAsia"/>
          <w:sz w:val="20"/>
          <w:lang w:eastAsia="zh-CN"/>
        </w:rPr>
      </w:pPr>
      <w:r>
        <w:rPr>
          <w:noProof/>
          <w:lang w:val="en-US" w:eastAsia="zh-CN"/>
        </w:rPr>
        <w:lastRenderedPageBreak/>
        <w:drawing>
          <wp:inline distT="0" distB="0" distL="0" distR="0" wp14:anchorId="19D88DE7" wp14:editId="52894608">
            <wp:extent cx="5943600" cy="344678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43600" cy="3446780"/>
                    </a:xfrm>
                    <a:prstGeom prst="rect">
                      <a:avLst/>
                    </a:prstGeom>
                  </pic:spPr>
                </pic:pic>
              </a:graphicData>
            </a:graphic>
          </wp:inline>
        </w:drawing>
      </w:r>
    </w:p>
    <w:p w:rsidR="00864165" w:rsidRDefault="00864165" w:rsidP="00CD4C78">
      <w:pPr>
        <w:rPr>
          <w:rFonts w:eastAsiaTheme="minorEastAsia"/>
          <w:sz w:val="20"/>
          <w:lang w:eastAsia="zh-CN"/>
        </w:rPr>
      </w:pPr>
    </w:p>
    <w:p w:rsidR="00864165" w:rsidRDefault="001E4DD9" w:rsidP="00AA11CF">
      <w:pPr>
        <w:jc w:val="both"/>
        <w:rPr>
          <w:rFonts w:eastAsiaTheme="minorEastAsia"/>
          <w:sz w:val="20"/>
          <w:lang w:eastAsia="zh-CN"/>
        </w:rPr>
      </w:pPr>
      <w:r w:rsidRPr="00367FFE">
        <w:rPr>
          <w:rFonts w:eastAsiaTheme="minorEastAsia"/>
          <w:sz w:val="20"/>
          <w:lang w:eastAsia="zh-CN"/>
        </w:rPr>
        <w:t>An</w:t>
      </w:r>
      <w:r w:rsidR="00864165" w:rsidRPr="00367FFE">
        <w:rPr>
          <w:rFonts w:eastAsiaTheme="minorEastAsia" w:hint="eastAsia"/>
          <w:sz w:val="20"/>
          <w:lang w:eastAsia="zh-CN"/>
        </w:rPr>
        <w:t xml:space="preserve"> </w:t>
      </w:r>
      <w:proofErr w:type="spellStart"/>
      <w:r w:rsidR="00864165" w:rsidRPr="00367FFE">
        <w:rPr>
          <w:rFonts w:eastAsiaTheme="minorEastAsia" w:hint="eastAsia"/>
          <w:sz w:val="20"/>
          <w:lang w:eastAsia="zh-CN"/>
        </w:rPr>
        <w:t>unassoci</w:t>
      </w:r>
      <w:r w:rsidRPr="00367FFE">
        <w:rPr>
          <w:rFonts w:eastAsiaTheme="minorEastAsia"/>
          <w:sz w:val="20"/>
          <w:lang w:eastAsia="zh-CN"/>
        </w:rPr>
        <w:t>a</w:t>
      </w:r>
      <w:r w:rsidR="00864165" w:rsidRPr="00367FFE">
        <w:rPr>
          <w:rFonts w:eastAsiaTheme="minorEastAsia" w:hint="eastAsia"/>
          <w:sz w:val="20"/>
          <w:lang w:eastAsia="zh-CN"/>
        </w:rPr>
        <w:t>ted</w:t>
      </w:r>
      <w:proofErr w:type="spellEnd"/>
      <w:r w:rsidR="00864165" w:rsidRPr="00367FFE">
        <w:rPr>
          <w:rFonts w:eastAsiaTheme="minorEastAsia" w:hint="eastAsia"/>
          <w:sz w:val="20"/>
          <w:lang w:eastAsia="zh-CN"/>
        </w:rPr>
        <w:t xml:space="preserve"> STA that </w:t>
      </w:r>
      <w:r w:rsidRPr="00367FFE">
        <w:rPr>
          <w:rFonts w:eastAsiaTheme="minorEastAsia"/>
          <w:sz w:val="20"/>
          <w:lang w:eastAsia="zh-CN"/>
        </w:rPr>
        <w:t>receives a T</w:t>
      </w:r>
      <w:r w:rsidR="00864165" w:rsidRPr="00367FFE">
        <w:rPr>
          <w:rFonts w:eastAsiaTheme="minorEastAsia" w:hint="eastAsia"/>
          <w:sz w:val="20"/>
          <w:lang w:eastAsia="zh-CN"/>
        </w:rPr>
        <w:t>rigger frame</w:t>
      </w:r>
      <w:r w:rsidRPr="00367FFE">
        <w:rPr>
          <w:rFonts w:eastAsiaTheme="minorEastAsia"/>
          <w:sz w:val="20"/>
          <w:lang w:eastAsia="zh-CN"/>
        </w:rPr>
        <w:t xml:space="preserve"> needs to know which frequencies are identified by the individual tones of the HE TB PPDU per the index value in the Trigger. In order to do this, the STA needs to know some reference frequency, and normally, that is the lowest frequency of the band of operation of the AP transmitting the Trigger. The Trigger contains a bandwidth indication, but no fixed frequency information. However, b</w:t>
      </w:r>
      <w:r w:rsidR="00864165" w:rsidRPr="00367FFE">
        <w:rPr>
          <w:rFonts w:eastAsiaTheme="minorEastAsia" w:hint="eastAsia"/>
          <w:sz w:val="20"/>
          <w:lang w:eastAsia="zh-CN"/>
        </w:rPr>
        <w:t>ecaus</w:t>
      </w:r>
      <w:r w:rsidR="00AC6ECC" w:rsidRPr="00367FFE">
        <w:rPr>
          <w:rFonts w:eastAsiaTheme="minorEastAsia" w:hint="eastAsia"/>
          <w:sz w:val="20"/>
          <w:lang w:eastAsia="zh-CN"/>
        </w:rPr>
        <w:t xml:space="preserve">e there is no overlapping </w:t>
      </w:r>
      <w:r w:rsidR="00864165" w:rsidRPr="00367FFE">
        <w:rPr>
          <w:rFonts w:eastAsiaTheme="minorEastAsia" w:hint="eastAsia"/>
          <w:sz w:val="20"/>
          <w:lang w:eastAsia="zh-CN"/>
        </w:rPr>
        <w:t>channelization in the 5GHz band</w:t>
      </w:r>
      <w:r w:rsidRPr="00367FFE">
        <w:rPr>
          <w:rFonts w:eastAsiaTheme="minorEastAsia"/>
          <w:sz w:val="20"/>
          <w:lang w:eastAsia="zh-CN"/>
        </w:rPr>
        <w:t xml:space="preserve"> for each BW value</w:t>
      </w:r>
      <w:r w:rsidR="00AC6ECC" w:rsidRPr="00367FFE">
        <w:rPr>
          <w:rFonts w:eastAsiaTheme="minorEastAsia" w:hint="eastAsia"/>
          <w:sz w:val="20"/>
          <w:lang w:eastAsia="zh-CN"/>
        </w:rPr>
        <w:t xml:space="preserve">, the STA can </w:t>
      </w:r>
      <w:r w:rsidRPr="00367FFE">
        <w:rPr>
          <w:rFonts w:eastAsiaTheme="minorEastAsia"/>
          <w:sz w:val="20"/>
          <w:lang w:eastAsia="zh-CN"/>
        </w:rPr>
        <w:t xml:space="preserve">correctly determine the channel that is being used by noting which channel it is tuned to when it receives the Trigger and combining that information with the channel map and the BW value. In the </w:t>
      </w:r>
      <w:r w:rsidR="00AC6ECC" w:rsidRPr="00367FFE">
        <w:rPr>
          <w:rFonts w:eastAsiaTheme="minorEastAsia" w:hint="eastAsia"/>
          <w:sz w:val="20"/>
          <w:lang w:eastAsia="zh-CN"/>
        </w:rPr>
        <w:t xml:space="preserve">2.4GHz band, </w:t>
      </w:r>
      <w:r w:rsidRPr="00367FFE">
        <w:rPr>
          <w:rFonts w:eastAsiaTheme="minorEastAsia"/>
          <w:sz w:val="20"/>
          <w:lang w:eastAsia="zh-CN"/>
        </w:rPr>
        <w:t xml:space="preserve">only </w:t>
      </w:r>
      <w:r w:rsidR="00AC6ECC" w:rsidRPr="00367FFE">
        <w:rPr>
          <w:rFonts w:eastAsiaTheme="minorEastAsia" w:hint="eastAsia"/>
          <w:sz w:val="20"/>
          <w:lang w:eastAsia="zh-CN"/>
        </w:rPr>
        <w:t xml:space="preserve">20MHz operation is </w:t>
      </w:r>
      <w:r w:rsidRPr="00367FFE">
        <w:rPr>
          <w:rFonts w:eastAsiaTheme="minorEastAsia"/>
          <w:sz w:val="20"/>
          <w:lang w:eastAsia="zh-CN"/>
        </w:rPr>
        <w:t>permitted</w:t>
      </w:r>
      <w:r w:rsidR="00AC6ECC" w:rsidRPr="00367FFE">
        <w:rPr>
          <w:rFonts w:eastAsiaTheme="minorEastAsia" w:hint="eastAsia"/>
          <w:sz w:val="20"/>
          <w:lang w:eastAsia="zh-CN"/>
        </w:rPr>
        <w:t>, so there is no confusion for the STA.</w:t>
      </w:r>
      <w:r w:rsidR="00AC6ECC">
        <w:rPr>
          <w:rFonts w:eastAsiaTheme="minorEastAsia" w:hint="eastAsia"/>
          <w:sz w:val="20"/>
          <w:lang w:eastAsia="zh-CN"/>
        </w:rPr>
        <w:t xml:space="preserve"> </w:t>
      </w:r>
    </w:p>
    <w:p w:rsidR="00B712CD" w:rsidRDefault="00B712CD" w:rsidP="00CD4C78">
      <w:pPr>
        <w:rPr>
          <w:rFonts w:eastAsiaTheme="minorEastAsia"/>
          <w:sz w:val="20"/>
          <w:lang w:eastAsia="zh-CN"/>
        </w:rPr>
      </w:pPr>
    </w:p>
    <w:p w:rsidR="00864165" w:rsidRDefault="00864165" w:rsidP="00CD4C78">
      <w:pPr>
        <w:rPr>
          <w:rFonts w:eastAsiaTheme="minorEastAsia"/>
          <w:sz w:val="20"/>
          <w:lang w:eastAsia="zh-CN"/>
        </w:rPr>
      </w:pPr>
      <w:r>
        <w:rPr>
          <w:noProof/>
          <w:lang w:val="en-US" w:eastAsia="zh-CN"/>
        </w:rPr>
        <w:drawing>
          <wp:inline distT="0" distB="0" distL="0" distR="0">
            <wp:extent cx="6263640" cy="1596383"/>
            <wp:effectExtent l="0" t="0" r="3810" b="4445"/>
            <wp:docPr id="1" name="Picture 1" descr="1000w (70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w (709×1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1596383"/>
                    </a:xfrm>
                    <a:prstGeom prst="rect">
                      <a:avLst/>
                    </a:prstGeom>
                    <a:noFill/>
                    <a:ln>
                      <a:noFill/>
                    </a:ln>
                  </pic:spPr>
                </pic:pic>
              </a:graphicData>
            </a:graphic>
          </wp:inline>
        </w:drawing>
      </w:r>
    </w:p>
    <w:p w:rsidR="00AC6ECC" w:rsidRDefault="00AC6ECC" w:rsidP="00CD4C78">
      <w:pPr>
        <w:rPr>
          <w:rFonts w:eastAsiaTheme="minorEastAsia"/>
          <w:sz w:val="20"/>
          <w:lang w:eastAsia="zh-CN"/>
        </w:rPr>
      </w:pPr>
    </w:p>
    <w:p w:rsidR="0086738D" w:rsidRDefault="0086738D" w:rsidP="00CD4C78">
      <w:pPr>
        <w:rPr>
          <w:rFonts w:eastAsiaTheme="minorEastAsia"/>
          <w:b/>
          <w:sz w:val="20"/>
          <w:lang w:eastAsia="zh-CN"/>
        </w:rPr>
      </w:pPr>
    </w:p>
    <w:p w:rsidR="00AC6ECC" w:rsidRDefault="00AC6ECC" w:rsidP="00CD4C78">
      <w:pPr>
        <w:rPr>
          <w:rFonts w:eastAsiaTheme="minorEastAsia"/>
          <w:sz w:val="20"/>
          <w:lang w:eastAsia="zh-CN"/>
        </w:rPr>
      </w:pPr>
      <w:r w:rsidRPr="00AC6ECC">
        <w:rPr>
          <w:rFonts w:eastAsiaTheme="minorEastAsia" w:hint="eastAsia"/>
          <w:b/>
          <w:sz w:val="20"/>
          <w:lang w:eastAsia="zh-CN"/>
        </w:rPr>
        <w:t>Conclusion</w:t>
      </w:r>
      <w:r>
        <w:rPr>
          <w:rFonts w:eastAsiaTheme="minorEastAsia" w:hint="eastAsia"/>
          <w:sz w:val="20"/>
          <w:lang w:eastAsia="zh-CN"/>
        </w:rPr>
        <w:t xml:space="preserve">: </w:t>
      </w:r>
      <w:r>
        <w:rPr>
          <w:rFonts w:eastAsiaTheme="minorEastAsia"/>
          <w:sz w:val="20"/>
          <w:lang w:eastAsia="zh-CN"/>
        </w:rPr>
        <w:t>primary</w:t>
      </w:r>
      <w:r>
        <w:rPr>
          <w:rFonts w:eastAsiaTheme="minorEastAsia" w:hint="eastAsia"/>
          <w:sz w:val="20"/>
          <w:lang w:eastAsia="zh-CN"/>
        </w:rPr>
        <w:t xml:space="preserve"> channel </w:t>
      </w:r>
      <w:proofErr w:type="spellStart"/>
      <w:r>
        <w:rPr>
          <w:rFonts w:eastAsiaTheme="minorEastAsia" w:hint="eastAsia"/>
          <w:sz w:val="20"/>
          <w:lang w:eastAsia="zh-CN"/>
        </w:rPr>
        <w:t>subband</w:t>
      </w:r>
      <w:proofErr w:type="spellEnd"/>
      <w:r>
        <w:rPr>
          <w:rFonts w:eastAsiaTheme="minorEastAsia" w:hint="eastAsia"/>
          <w:sz w:val="20"/>
          <w:lang w:eastAsia="zh-CN"/>
        </w:rPr>
        <w:t xml:space="preserve"> ID is not required for UORA operation. </w:t>
      </w:r>
    </w:p>
    <w:p w:rsidR="00005A79" w:rsidRDefault="00005A79" w:rsidP="00CD4C78">
      <w:pPr>
        <w:rPr>
          <w:rFonts w:eastAsiaTheme="minorEastAsia"/>
          <w:sz w:val="20"/>
          <w:lang w:eastAsia="zh-CN"/>
        </w:rPr>
      </w:pPr>
    </w:p>
    <w:p w:rsidR="0086738D" w:rsidRDefault="00005A79" w:rsidP="00CD4C78">
      <w:pPr>
        <w:rPr>
          <w:rFonts w:eastAsiaTheme="minorEastAsia"/>
          <w:sz w:val="20"/>
          <w:lang w:eastAsia="zh-CN"/>
        </w:rPr>
      </w:pPr>
      <w:r w:rsidRPr="00005A79">
        <w:rPr>
          <w:rFonts w:eastAsiaTheme="minorEastAsia" w:hint="eastAsia"/>
          <w:b/>
          <w:sz w:val="20"/>
          <w:lang w:eastAsia="zh-CN"/>
        </w:rPr>
        <w:t>Ne</w:t>
      </w:r>
      <w:r w:rsidR="0086738D">
        <w:rPr>
          <w:rFonts w:eastAsiaTheme="minorEastAsia"/>
          <w:b/>
          <w:sz w:val="20"/>
          <w:lang w:eastAsia="zh-CN"/>
        </w:rPr>
        <w:t>xt</w:t>
      </w:r>
      <w:r w:rsidRPr="00005A79">
        <w:rPr>
          <w:rFonts w:eastAsiaTheme="minorEastAsia" w:hint="eastAsia"/>
          <w:b/>
          <w:sz w:val="20"/>
          <w:lang w:eastAsia="zh-CN"/>
        </w:rPr>
        <w:t xml:space="preserve"> problem</w:t>
      </w:r>
      <w:r>
        <w:rPr>
          <w:rFonts w:eastAsiaTheme="minorEastAsia" w:hint="eastAsia"/>
          <w:sz w:val="20"/>
          <w:lang w:eastAsia="zh-CN"/>
        </w:rPr>
        <w:t xml:space="preserve">: How to make </w:t>
      </w:r>
      <w:r w:rsidR="0086738D">
        <w:rPr>
          <w:rFonts w:eastAsiaTheme="minorEastAsia"/>
          <w:sz w:val="20"/>
          <w:lang w:eastAsia="zh-CN"/>
        </w:rPr>
        <w:t>certain that</w:t>
      </w:r>
      <w:r>
        <w:rPr>
          <w:rFonts w:eastAsiaTheme="minorEastAsia" w:hint="eastAsia"/>
          <w:sz w:val="20"/>
          <w:lang w:eastAsia="zh-CN"/>
        </w:rPr>
        <w:t xml:space="preserve"> </w:t>
      </w:r>
      <w:r w:rsidR="0086738D">
        <w:rPr>
          <w:rFonts w:eastAsiaTheme="minorEastAsia"/>
          <w:sz w:val="20"/>
          <w:lang w:eastAsia="zh-CN"/>
        </w:rPr>
        <w:t>an</w:t>
      </w:r>
      <w:r>
        <w:rPr>
          <w:rFonts w:eastAsiaTheme="minorEastAsia" w:hint="eastAsia"/>
          <w:sz w:val="20"/>
          <w:lang w:eastAsia="zh-CN"/>
        </w:rPr>
        <w:t xml:space="preserve"> </w:t>
      </w:r>
      <w:proofErr w:type="spellStart"/>
      <w:r>
        <w:rPr>
          <w:rFonts w:eastAsiaTheme="minorEastAsia" w:hint="eastAsia"/>
          <w:sz w:val="20"/>
          <w:lang w:eastAsia="zh-CN"/>
        </w:rPr>
        <w:t>unassociated</w:t>
      </w:r>
      <w:proofErr w:type="spellEnd"/>
      <w:r>
        <w:rPr>
          <w:rFonts w:eastAsiaTheme="minorEastAsia" w:hint="eastAsia"/>
          <w:sz w:val="20"/>
          <w:lang w:eastAsia="zh-CN"/>
        </w:rPr>
        <w:t xml:space="preserve"> STA can receive </w:t>
      </w:r>
      <w:r w:rsidR="0086738D">
        <w:rPr>
          <w:rFonts w:eastAsiaTheme="minorEastAsia"/>
          <w:sz w:val="20"/>
          <w:lang w:eastAsia="zh-CN"/>
        </w:rPr>
        <w:t xml:space="preserve">an MMPDU that is a </w:t>
      </w:r>
      <w:r>
        <w:rPr>
          <w:rFonts w:eastAsiaTheme="minorEastAsia" w:hint="eastAsia"/>
          <w:sz w:val="20"/>
          <w:lang w:eastAsia="zh-CN"/>
        </w:rPr>
        <w:t xml:space="preserve">response </w:t>
      </w:r>
      <w:r w:rsidR="0086738D">
        <w:rPr>
          <w:rFonts w:eastAsiaTheme="minorEastAsia"/>
          <w:sz w:val="20"/>
          <w:lang w:eastAsia="zh-CN"/>
        </w:rPr>
        <w:t xml:space="preserve">to an HE TB PPDU that used an RARU (for </w:t>
      </w:r>
      <w:proofErr w:type="spellStart"/>
      <w:r w:rsidR="0086738D">
        <w:rPr>
          <w:rFonts w:eastAsiaTheme="minorEastAsia"/>
          <w:sz w:val="20"/>
          <w:lang w:eastAsia="zh-CN"/>
        </w:rPr>
        <w:t>unassociated</w:t>
      </w:r>
      <w:proofErr w:type="spellEnd"/>
      <w:r w:rsidR="0086738D">
        <w:rPr>
          <w:rFonts w:eastAsiaTheme="minorEastAsia"/>
          <w:sz w:val="20"/>
          <w:lang w:eastAsia="zh-CN"/>
        </w:rPr>
        <w:t xml:space="preserve"> STA)?</w:t>
      </w:r>
    </w:p>
    <w:p w:rsidR="001208EF" w:rsidRDefault="001208EF" w:rsidP="00CD4C78">
      <w:pPr>
        <w:rPr>
          <w:rFonts w:eastAsiaTheme="minorEastAsia"/>
          <w:sz w:val="20"/>
          <w:lang w:eastAsia="zh-CN"/>
        </w:rPr>
      </w:pPr>
    </w:p>
    <w:p w:rsidR="0086738D" w:rsidRPr="004A44E4" w:rsidRDefault="001208EF" w:rsidP="00AA11CF">
      <w:pPr>
        <w:jc w:val="both"/>
        <w:rPr>
          <w:rFonts w:eastAsiaTheme="minorEastAsia"/>
          <w:sz w:val="20"/>
          <w:lang w:eastAsia="zh-CN"/>
        </w:rPr>
      </w:pPr>
      <w:r w:rsidRPr="004A44E4">
        <w:rPr>
          <w:rFonts w:eastAsiaTheme="minorEastAsia" w:hint="eastAsia"/>
          <w:sz w:val="20"/>
          <w:lang w:eastAsia="zh-CN"/>
        </w:rPr>
        <w:t>802.11ax mandate</w:t>
      </w:r>
      <w:r w:rsidR="002E7ABB" w:rsidRPr="004A44E4">
        <w:rPr>
          <w:rFonts w:eastAsiaTheme="minorEastAsia" w:hint="eastAsia"/>
          <w:sz w:val="20"/>
          <w:lang w:eastAsia="zh-CN"/>
        </w:rPr>
        <w:t>s</w:t>
      </w:r>
      <w:r w:rsidR="00005A79" w:rsidRPr="004A44E4">
        <w:rPr>
          <w:rFonts w:eastAsiaTheme="minorEastAsia" w:hint="eastAsia"/>
          <w:sz w:val="20"/>
          <w:lang w:eastAsia="zh-CN"/>
        </w:rPr>
        <w:t xml:space="preserve"> 80 MHz TX/RX capability. </w:t>
      </w:r>
      <w:r w:rsidRPr="004A44E4">
        <w:rPr>
          <w:rFonts w:eastAsiaTheme="minorEastAsia" w:hint="eastAsia"/>
          <w:sz w:val="20"/>
          <w:lang w:eastAsia="zh-CN"/>
        </w:rPr>
        <w:t xml:space="preserve"> </w:t>
      </w:r>
      <w:r w:rsidRPr="004A44E4">
        <w:rPr>
          <w:rFonts w:eastAsiaTheme="minorEastAsia"/>
          <w:sz w:val="20"/>
          <w:lang w:eastAsia="zh-CN"/>
        </w:rPr>
        <w:t>A</w:t>
      </w:r>
      <w:r w:rsidR="002E7ABB" w:rsidRPr="004A44E4">
        <w:rPr>
          <w:rFonts w:eastAsiaTheme="minorEastAsia" w:hint="eastAsia"/>
          <w:sz w:val="20"/>
          <w:lang w:eastAsia="zh-CN"/>
        </w:rPr>
        <w:t>n</w:t>
      </w:r>
      <w:r w:rsidRPr="004A44E4">
        <w:rPr>
          <w:rFonts w:eastAsiaTheme="minorEastAsia" w:hint="eastAsia"/>
          <w:sz w:val="20"/>
          <w:lang w:eastAsia="zh-CN"/>
        </w:rPr>
        <w:t xml:space="preserve"> </w:t>
      </w:r>
      <w:proofErr w:type="spellStart"/>
      <w:r w:rsidRPr="004A44E4">
        <w:rPr>
          <w:rFonts w:eastAsiaTheme="minorEastAsia" w:hint="eastAsia"/>
          <w:sz w:val="20"/>
          <w:lang w:eastAsia="zh-CN"/>
        </w:rPr>
        <w:t>unassociated</w:t>
      </w:r>
      <w:proofErr w:type="spellEnd"/>
      <w:r w:rsidRPr="004A44E4">
        <w:rPr>
          <w:rFonts w:eastAsiaTheme="minorEastAsia" w:hint="eastAsia"/>
          <w:sz w:val="20"/>
          <w:lang w:eastAsia="zh-CN"/>
        </w:rPr>
        <w:t xml:space="preserve"> STA </w:t>
      </w:r>
      <w:r w:rsidR="0086738D" w:rsidRPr="004A44E4">
        <w:rPr>
          <w:rFonts w:eastAsiaTheme="minorEastAsia"/>
          <w:sz w:val="20"/>
          <w:lang w:eastAsia="zh-CN"/>
        </w:rPr>
        <w:t>that is</w:t>
      </w:r>
      <w:r w:rsidRPr="004A44E4">
        <w:rPr>
          <w:rFonts w:eastAsiaTheme="minorEastAsia" w:hint="eastAsia"/>
          <w:sz w:val="20"/>
          <w:lang w:eastAsia="zh-CN"/>
        </w:rPr>
        <w:t xml:space="preserve"> 802.11ax </w:t>
      </w:r>
      <w:r w:rsidR="0086738D" w:rsidRPr="004A44E4">
        <w:rPr>
          <w:rFonts w:eastAsiaTheme="minorEastAsia"/>
          <w:sz w:val="20"/>
          <w:lang w:eastAsia="zh-CN"/>
        </w:rPr>
        <w:t>compliant</w:t>
      </w:r>
      <w:r w:rsidRPr="004A44E4">
        <w:rPr>
          <w:rFonts w:eastAsiaTheme="minorEastAsia" w:hint="eastAsia"/>
          <w:sz w:val="20"/>
          <w:lang w:eastAsia="zh-CN"/>
        </w:rPr>
        <w:t xml:space="preserve"> </w:t>
      </w:r>
      <w:r w:rsidR="0086738D" w:rsidRPr="004A44E4">
        <w:rPr>
          <w:rFonts w:eastAsiaTheme="minorEastAsia"/>
          <w:sz w:val="20"/>
          <w:lang w:eastAsia="zh-CN"/>
        </w:rPr>
        <w:t>is</w:t>
      </w:r>
      <w:r w:rsidRPr="004A44E4">
        <w:rPr>
          <w:rFonts w:eastAsiaTheme="minorEastAsia" w:hint="eastAsia"/>
          <w:sz w:val="20"/>
          <w:lang w:eastAsia="zh-CN"/>
        </w:rPr>
        <w:t xml:space="preserve"> able to receive an 80MHz HE PPDU. So after receiving </w:t>
      </w:r>
      <w:r w:rsidR="0086738D" w:rsidRPr="004A44E4">
        <w:rPr>
          <w:rFonts w:eastAsiaTheme="minorEastAsia"/>
          <w:sz w:val="20"/>
          <w:lang w:eastAsia="zh-CN"/>
        </w:rPr>
        <w:t xml:space="preserve">an MMPDU from an RARU, </w:t>
      </w:r>
      <w:r w:rsidRPr="004A44E4">
        <w:rPr>
          <w:rFonts w:eastAsiaTheme="minorEastAsia" w:hint="eastAsia"/>
          <w:sz w:val="20"/>
          <w:lang w:eastAsia="zh-CN"/>
        </w:rPr>
        <w:t xml:space="preserve">the AP </w:t>
      </w:r>
      <w:r w:rsidR="0086738D" w:rsidRPr="004A44E4">
        <w:rPr>
          <w:rFonts w:eastAsiaTheme="minorEastAsia"/>
          <w:sz w:val="20"/>
          <w:lang w:eastAsia="zh-CN"/>
        </w:rPr>
        <w:t xml:space="preserve">should </w:t>
      </w:r>
      <w:r w:rsidR="0086738D" w:rsidRPr="004A44E4">
        <w:rPr>
          <w:rFonts w:eastAsiaTheme="minorEastAsia" w:hint="eastAsia"/>
          <w:sz w:val="20"/>
          <w:lang w:eastAsia="zh-CN"/>
        </w:rPr>
        <w:t>send</w:t>
      </w:r>
      <w:r w:rsidRPr="004A44E4">
        <w:rPr>
          <w:rFonts w:eastAsiaTheme="minorEastAsia" w:hint="eastAsia"/>
          <w:sz w:val="20"/>
          <w:lang w:eastAsia="zh-CN"/>
        </w:rPr>
        <w:t xml:space="preserve"> the response MMDPU in </w:t>
      </w:r>
      <w:r w:rsidR="0086738D" w:rsidRPr="004A44E4">
        <w:rPr>
          <w:rFonts w:eastAsiaTheme="minorEastAsia"/>
          <w:sz w:val="20"/>
          <w:lang w:eastAsia="zh-CN"/>
        </w:rPr>
        <w:t>an</w:t>
      </w:r>
      <w:r w:rsidRPr="004A44E4">
        <w:rPr>
          <w:rFonts w:eastAsiaTheme="minorEastAsia" w:hint="eastAsia"/>
          <w:sz w:val="20"/>
          <w:lang w:eastAsia="zh-CN"/>
        </w:rPr>
        <w:t xml:space="preserve"> HE PPDU format (setting any RU in 80MHz with AID = 2045), </w:t>
      </w:r>
      <w:r w:rsidR="0086738D" w:rsidRPr="004A44E4">
        <w:rPr>
          <w:rFonts w:eastAsiaTheme="minorEastAsia"/>
          <w:sz w:val="20"/>
          <w:lang w:eastAsia="zh-CN"/>
        </w:rPr>
        <w:t xml:space="preserve">which </w:t>
      </w:r>
      <w:r w:rsidRPr="004A44E4">
        <w:rPr>
          <w:rFonts w:eastAsiaTheme="minorEastAsia" w:hint="eastAsia"/>
          <w:sz w:val="20"/>
          <w:lang w:eastAsia="zh-CN"/>
        </w:rPr>
        <w:t>the STA shall be able to receive.</w:t>
      </w:r>
    </w:p>
    <w:p w:rsidR="004A44E4" w:rsidRPr="004A44E4" w:rsidRDefault="004A44E4" w:rsidP="00AA11CF">
      <w:pPr>
        <w:jc w:val="both"/>
        <w:rPr>
          <w:rFonts w:eastAsiaTheme="minorEastAsia"/>
          <w:sz w:val="20"/>
          <w:lang w:eastAsia="zh-CN"/>
        </w:rPr>
      </w:pPr>
    </w:p>
    <w:p w:rsidR="004A44E4" w:rsidRPr="004A44E4" w:rsidRDefault="004A44E4" w:rsidP="00AA11CF">
      <w:pPr>
        <w:jc w:val="both"/>
        <w:rPr>
          <w:rFonts w:eastAsiaTheme="minorEastAsia"/>
          <w:sz w:val="20"/>
          <w:lang w:eastAsia="zh-CN"/>
        </w:rPr>
      </w:pPr>
      <w:r w:rsidRPr="004A44E4">
        <w:rPr>
          <w:rFonts w:eastAsiaTheme="minorEastAsia"/>
          <w:sz w:val="20"/>
          <w:lang w:eastAsia="zh-CN"/>
        </w:rPr>
        <w:t xml:space="preserve">For a 20MHz only STA, the response MMPDU shall be sent on the RUs that are not restricted for the 20 MHz STA to operate under broader bandwidth.  </w:t>
      </w:r>
    </w:p>
    <w:p w:rsidR="0086738D" w:rsidRPr="004A44E4" w:rsidRDefault="0086738D" w:rsidP="00CD4C78">
      <w:pPr>
        <w:rPr>
          <w:rFonts w:eastAsiaTheme="minorEastAsia"/>
          <w:sz w:val="20"/>
          <w:lang w:eastAsia="zh-CN"/>
        </w:rPr>
      </w:pPr>
    </w:p>
    <w:p w:rsidR="0086738D" w:rsidRDefault="0086738D" w:rsidP="00CD4C78">
      <w:pPr>
        <w:rPr>
          <w:rFonts w:eastAsiaTheme="minorEastAsia"/>
          <w:sz w:val="20"/>
          <w:lang w:eastAsia="zh-CN"/>
        </w:rPr>
      </w:pPr>
      <w:r w:rsidRPr="004A44E4">
        <w:rPr>
          <w:rFonts w:eastAsiaTheme="minorEastAsia"/>
          <w:sz w:val="20"/>
          <w:lang w:eastAsia="zh-CN"/>
        </w:rPr>
        <w:lastRenderedPageBreak/>
        <w:t>The AP may also send the response in a non-HT PPDU if at least one copy of the PPDU is transmitted on at least one of the 20 MHz channel(s) within which the UL MMPPDU was transmitted and the PPDU meets other requirements for transmission on the primary channel.</w:t>
      </w:r>
    </w:p>
    <w:p w:rsidR="0086738D" w:rsidRDefault="0086738D" w:rsidP="00CD4C78">
      <w:pPr>
        <w:rPr>
          <w:rFonts w:eastAsiaTheme="minorEastAsia"/>
          <w:sz w:val="20"/>
          <w:lang w:eastAsia="zh-CN"/>
        </w:rPr>
      </w:pPr>
    </w:p>
    <w:p w:rsidR="003870D1" w:rsidRDefault="003870D1" w:rsidP="00CD4C78">
      <w:pPr>
        <w:rPr>
          <w:rFonts w:eastAsiaTheme="minorEastAsia"/>
          <w:sz w:val="20"/>
          <w:lang w:eastAsia="zh-CN"/>
        </w:rPr>
      </w:pPr>
    </w:p>
    <w:p w:rsidR="0086738D" w:rsidRDefault="003870D1" w:rsidP="00CD4C78">
      <w:pPr>
        <w:rPr>
          <w:rFonts w:eastAsiaTheme="minorEastAsia"/>
          <w:sz w:val="20"/>
          <w:lang w:eastAsia="zh-CN"/>
        </w:rPr>
      </w:pPr>
      <w:r w:rsidRPr="003870D1">
        <w:rPr>
          <w:rFonts w:eastAsiaTheme="minorEastAsia" w:hint="eastAsia"/>
          <w:b/>
          <w:sz w:val="20"/>
          <w:lang w:eastAsia="zh-CN"/>
        </w:rPr>
        <w:t>Conclusion:</w:t>
      </w:r>
      <w:r>
        <w:rPr>
          <w:rFonts w:eastAsiaTheme="minorEastAsia" w:hint="eastAsia"/>
          <w:sz w:val="20"/>
          <w:lang w:eastAsia="zh-CN"/>
        </w:rPr>
        <w:t xml:space="preserve"> AP sends response MMPDU in </w:t>
      </w:r>
      <w:r w:rsidR="0086738D">
        <w:rPr>
          <w:rFonts w:eastAsiaTheme="minorEastAsia"/>
          <w:sz w:val="20"/>
          <w:lang w:eastAsia="zh-CN"/>
        </w:rPr>
        <w:t>appropriate format and location, i.e. on a channel that it knows the STA is located.</w:t>
      </w:r>
    </w:p>
    <w:p w:rsidR="00521F9D" w:rsidRDefault="00521F9D" w:rsidP="00521F9D">
      <w:pPr>
        <w:rPr>
          <w:sz w:val="20"/>
        </w:rPr>
      </w:pPr>
    </w:p>
    <w:p w:rsidR="008D151A" w:rsidRPr="007A2136" w:rsidRDefault="008D151A" w:rsidP="008D151A">
      <w:pPr>
        <w:rPr>
          <w:rFonts w:eastAsiaTheme="minorEastAsia"/>
          <w:sz w:val="20"/>
          <w:lang w:eastAsia="zh-CN"/>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w:t>
      </w:r>
      <w:proofErr w:type="spellStart"/>
      <w:r w:rsidR="00BF457A">
        <w:rPr>
          <w:b/>
          <w:sz w:val="44"/>
          <w:u w:val="single"/>
        </w:rPr>
        <w:t>TGax</w:t>
      </w:r>
      <w:proofErr w:type="spellEnd"/>
      <w:r w:rsidR="00BF457A">
        <w:rPr>
          <w:b/>
          <w:sz w:val="44"/>
          <w:u w:val="single"/>
        </w:rPr>
        <w:t xml:space="preserve"> D2.0</w:t>
      </w:r>
      <w:r>
        <w:rPr>
          <w:b/>
          <w:sz w:val="44"/>
          <w:u w:val="single"/>
        </w:rPr>
        <w:t>:</w:t>
      </w:r>
    </w:p>
    <w:p w:rsidR="002E78DF" w:rsidRDefault="002E78DF" w:rsidP="00AC4B40">
      <w:pPr>
        <w:rPr>
          <w:rFonts w:eastAsiaTheme="minorEastAsia"/>
          <w:sz w:val="20"/>
          <w:lang w:val="en-US" w:eastAsia="zh-CN"/>
        </w:rPr>
      </w:pPr>
    </w:p>
    <w:p w:rsidR="00F875F2" w:rsidRPr="00115D80" w:rsidRDefault="00F875F2" w:rsidP="00F87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add a new section after 27.5.5.4 as follows (11ax D2.0 P260L29):</w:t>
      </w:r>
    </w:p>
    <w:p w:rsidR="00F875F2" w:rsidRPr="00115D80" w:rsidRDefault="00F875F2" w:rsidP="00F875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Pr>
          <w:rFonts w:ascii="Arial" w:eastAsia="Times New Roman" w:hAnsi="Arial" w:cs="Arial"/>
          <w:b/>
          <w:bCs/>
          <w:color w:val="000000"/>
          <w:sz w:val="20"/>
        </w:rPr>
        <w:t>27.5.5.5</w:t>
      </w:r>
      <w:r>
        <w:rPr>
          <w:rFonts w:ascii="Arial" w:eastAsia="Times New Roman" w:hAnsi="Arial" w:cs="Arial"/>
          <w:b/>
          <w:bCs/>
          <w:color w:val="000000"/>
          <w:sz w:val="20"/>
        </w:rPr>
        <w:tab/>
        <w:t xml:space="preserve">Additional Considerations to Support Random Access for </w:t>
      </w:r>
      <w:proofErr w:type="spellStart"/>
      <w:r>
        <w:rPr>
          <w:rFonts w:ascii="Arial" w:eastAsia="Times New Roman" w:hAnsi="Arial" w:cs="Arial"/>
          <w:b/>
          <w:bCs/>
          <w:color w:val="000000"/>
          <w:sz w:val="20"/>
        </w:rPr>
        <w:t>Unassociated</w:t>
      </w:r>
      <w:proofErr w:type="spellEnd"/>
      <w:r>
        <w:rPr>
          <w:rFonts w:ascii="Arial" w:eastAsia="Times New Roman" w:hAnsi="Arial" w:cs="Arial"/>
          <w:b/>
          <w:bCs/>
          <w:color w:val="000000"/>
          <w:sz w:val="20"/>
        </w:rPr>
        <w:t xml:space="preserve"> STAs </w:t>
      </w:r>
    </w:p>
    <w:p w:rsidR="00F968A7" w:rsidRDefault="00F968A7" w:rsidP="00F72A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eastAsia="zh-CN"/>
        </w:rPr>
      </w:pPr>
      <w:r>
        <w:rPr>
          <w:rFonts w:eastAsiaTheme="minorEastAsia"/>
          <w:color w:val="000000"/>
          <w:sz w:val="20"/>
          <w:lang w:eastAsia="zh-CN"/>
        </w:rPr>
        <w:t>……</w:t>
      </w:r>
    </w:p>
    <w:p w:rsidR="00E73D70" w:rsidRPr="002D2186" w:rsidRDefault="00F72A9F" w:rsidP="002D2186">
      <w:pPr>
        <w:jc w:val="both"/>
        <w:rPr>
          <w:rFonts w:eastAsiaTheme="minorEastAsia"/>
          <w:sz w:val="20"/>
          <w:lang w:eastAsia="zh-CN"/>
        </w:rPr>
      </w:pPr>
      <w:r>
        <w:rPr>
          <w:rFonts w:eastAsiaTheme="minorEastAsia" w:hint="eastAsia"/>
          <w:color w:val="000000"/>
          <w:sz w:val="20"/>
          <w:lang w:eastAsia="zh-CN"/>
        </w:rPr>
        <w:t>(</w:t>
      </w:r>
      <w:r w:rsidRPr="00F72A9F">
        <w:rPr>
          <w:rFonts w:eastAsiaTheme="minorEastAsia" w:hint="eastAsia"/>
          <w:color w:val="000000"/>
          <w:sz w:val="20"/>
          <w:highlight w:val="yellow"/>
          <w:lang w:eastAsia="zh-CN"/>
        </w:rPr>
        <w:t>#CID 11001</w:t>
      </w:r>
      <w:r>
        <w:rPr>
          <w:rFonts w:eastAsiaTheme="minorEastAsia" w:hint="eastAsia"/>
          <w:color w:val="000000"/>
          <w:sz w:val="20"/>
          <w:lang w:eastAsia="zh-CN"/>
        </w:rPr>
        <w:t>)</w:t>
      </w:r>
      <w:r w:rsidR="00F968A7">
        <w:rPr>
          <w:rFonts w:eastAsiaTheme="minorEastAsia" w:hint="eastAsia"/>
          <w:color w:val="000000"/>
          <w:sz w:val="20"/>
          <w:lang w:eastAsia="zh-CN"/>
        </w:rPr>
        <w:t xml:space="preserve">An AP </w:t>
      </w:r>
      <w:r w:rsidR="002E7ABB">
        <w:rPr>
          <w:rFonts w:eastAsiaTheme="minorEastAsia" w:hint="eastAsia"/>
          <w:color w:val="000000"/>
          <w:sz w:val="20"/>
          <w:lang w:eastAsia="zh-CN"/>
        </w:rPr>
        <w:t xml:space="preserve">that </w:t>
      </w:r>
      <w:r w:rsidR="00F968A7">
        <w:rPr>
          <w:rFonts w:eastAsiaTheme="minorEastAsia" w:hint="eastAsia"/>
          <w:color w:val="000000"/>
          <w:sz w:val="20"/>
          <w:lang w:eastAsia="zh-CN"/>
        </w:rPr>
        <w:t>received the MMPDU from a</w:t>
      </w:r>
      <w:r w:rsidR="000A15C5">
        <w:rPr>
          <w:rFonts w:eastAsiaTheme="minorEastAsia" w:hint="eastAsia"/>
          <w:color w:val="000000"/>
          <w:sz w:val="20"/>
          <w:lang w:eastAsia="zh-CN"/>
        </w:rPr>
        <w:t>n</w:t>
      </w:r>
      <w:r>
        <w:rPr>
          <w:rFonts w:eastAsiaTheme="minorEastAsia" w:hint="eastAsia"/>
          <w:color w:val="000000"/>
          <w:sz w:val="20"/>
          <w:lang w:eastAsia="zh-CN"/>
        </w:rPr>
        <w:t xml:space="preserve"> </w:t>
      </w:r>
      <w:proofErr w:type="spellStart"/>
      <w:r w:rsidR="000A15C5">
        <w:rPr>
          <w:rFonts w:eastAsiaTheme="minorEastAsia" w:hint="eastAsia"/>
          <w:color w:val="000000"/>
          <w:sz w:val="20"/>
          <w:lang w:eastAsia="zh-CN"/>
        </w:rPr>
        <w:t>unassociated</w:t>
      </w:r>
      <w:proofErr w:type="spellEnd"/>
      <w:r w:rsidR="000A15C5">
        <w:rPr>
          <w:rFonts w:eastAsiaTheme="minorEastAsia" w:hint="eastAsia"/>
          <w:color w:val="000000"/>
          <w:sz w:val="20"/>
          <w:lang w:eastAsia="zh-CN"/>
        </w:rPr>
        <w:t xml:space="preserve"> </w:t>
      </w:r>
      <w:r>
        <w:rPr>
          <w:rFonts w:eastAsiaTheme="minorEastAsia" w:hint="eastAsia"/>
          <w:color w:val="000000"/>
          <w:sz w:val="20"/>
          <w:lang w:eastAsia="zh-CN"/>
        </w:rPr>
        <w:t>STA</w:t>
      </w:r>
      <w:r w:rsidR="00F968A7">
        <w:rPr>
          <w:rFonts w:eastAsiaTheme="minorEastAsia" w:hint="eastAsia"/>
          <w:color w:val="000000"/>
          <w:sz w:val="20"/>
          <w:lang w:eastAsia="zh-CN"/>
        </w:rPr>
        <w:t xml:space="preserve"> using UORA</w:t>
      </w:r>
      <w:r>
        <w:rPr>
          <w:rFonts w:eastAsiaTheme="minorEastAsia" w:hint="eastAsia"/>
          <w:color w:val="000000"/>
          <w:sz w:val="20"/>
          <w:lang w:eastAsia="zh-CN"/>
        </w:rPr>
        <w:t xml:space="preserve"> that </w:t>
      </w:r>
      <w:r w:rsidR="00AA11CF">
        <w:rPr>
          <w:rFonts w:eastAsiaTheme="minorEastAsia" w:hint="eastAsia"/>
          <w:color w:val="000000"/>
          <w:sz w:val="20"/>
          <w:lang w:eastAsia="zh-CN"/>
        </w:rPr>
        <w:t xml:space="preserve">has not associated with it </w:t>
      </w:r>
      <w:r w:rsidR="00AA11CF">
        <w:rPr>
          <w:rFonts w:eastAsiaTheme="minorEastAsia"/>
          <w:color w:val="000000"/>
          <w:sz w:val="20"/>
          <w:lang w:eastAsia="zh-CN"/>
        </w:rPr>
        <w:t>may</w:t>
      </w:r>
      <w:r>
        <w:rPr>
          <w:rFonts w:eastAsiaTheme="minorEastAsia" w:hint="eastAsia"/>
          <w:color w:val="000000"/>
          <w:sz w:val="20"/>
          <w:lang w:eastAsia="zh-CN"/>
        </w:rPr>
        <w:t xml:space="preserve"> send the response MMDPU in HE PPDU</w:t>
      </w:r>
      <w:r w:rsidR="00F968A7">
        <w:rPr>
          <w:rFonts w:eastAsiaTheme="minorEastAsia" w:hint="eastAsia"/>
          <w:color w:val="000000"/>
          <w:sz w:val="20"/>
          <w:lang w:eastAsia="zh-CN"/>
        </w:rPr>
        <w:t xml:space="preserve">. </w:t>
      </w:r>
      <w:r w:rsidR="001208EF">
        <w:rPr>
          <w:rFonts w:eastAsiaTheme="minorEastAsia" w:hint="eastAsia"/>
          <w:color w:val="000000"/>
          <w:sz w:val="20"/>
          <w:lang w:eastAsia="zh-CN"/>
        </w:rPr>
        <w:t xml:space="preserve">For a 20MHz only STA that operates under broader bandwidth, the response MMPDU shall be sent in </w:t>
      </w:r>
      <w:r w:rsidR="000A15C5">
        <w:rPr>
          <w:rFonts w:eastAsiaTheme="minorEastAsia" w:hint="eastAsia"/>
          <w:color w:val="000000"/>
          <w:sz w:val="20"/>
          <w:lang w:eastAsia="zh-CN"/>
        </w:rPr>
        <w:t xml:space="preserve">an RU that the 20MHz only STA is capable receiving and not a </w:t>
      </w:r>
      <w:r w:rsidR="000A15C5">
        <w:rPr>
          <w:rFonts w:eastAsiaTheme="minorEastAsia"/>
          <w:color w:val="000000"/>
          <w:sz w:val="20"/>
          <w:lang w:eastAsia="zh-CN"/>
        </w:rPr>
        <w:t>restricted</w:t>
      </w:r>
      <w:r w:rsidR="000A15C5">
        <w:rPr>
          <w:rFonts w:eastAsiaTheme="minorEastAsia" w:hint="eastAsia"/>
          <w:color w:val="000000"/>
          <w:sz w:val="20"/>
          <w:lang w:eastAsia="zh-CN"/>
        </w:rPr>
        <w:t xml:space="preserve"> </w:t>
      </w:r>
      <w:r w:rsidR="001208EF">
        <w:rPr>
          <w:rFonts w:eastAsiaTheme="minorEastAsia" w:hint="eastAsia"/>
          <w:color w:val="000000"/>
          <w:sz w:val="20"/>
          <w:lang w:eastAsia="zh-CN"/>
        </w:rPr>
        <w:t xml:space="preserve">RU as specified in section </w:t>
      </w:r>
      <w:r w:rsidR="001208EF" w:rsidRPr="001208EF">
        <w:rPr>
          <w:rFonts w:eastAsiaTheme="minorEastAsia"/>
          <w:color w:val="000000"/>
          <w:sz w:val="20"/>
          <w:lang w:eastAsia="zh-CN"/>
        </w:rPr>
        <w:t xml:space="preserve">28.3.3.6 </w:t>
      </w:r>
      <w:r w:rsidR="001208EF">
        <w:rPr>
          <w:rFonts w:eastAsiaTheme="minorEastAsia" w:hint="eastAsia"/>
          <w:color w:val="000000"/>
          <w:sz w:val="20"/>
          <w:lang w:eastAsia="zh-CN"/>
        </w:rPr>
        <w:t>(</w:t>
      </w:r>
      <w:r w:rsidR="001208EF" w:rsidRPr="001208EF">
        <w:rPr>
          <w:rFonts w:eastAsiaTheme="minorEastAsia"/>
          <w:color w:val="000000"/>
          <w:sz w:val="20"/>
          <w:lang w:eastAsia="zh-CN"/>
        </w:rPr>
        <w:t>RU restrictions for 20 MHz operation</w:t>
      </w:r>
      <w:r w:rsidR="001208EF">
        <w:rPr>
          <w:rFonts w:eastAsiaTheme="minorEastAsia" w:hint="eastAsia"/>
          <w:color w:val="000000"/>
          <w:sz w:val="20"/>
          <w:lang w:eastAsia="zh-CN"/>
        </w:rPr>
        <w:t>).</w:t>
      </w:r>
      <w:r w:rsidR="001208EF">
        <w:rPr>
          <w:b/>
          <w:bCs/>
          <w:sz w:val="20"/>
        </w:rPr>
        <w:t xml:space="preserve"> </w:t>
      </w:r>
      <w:r w:rsidR="00F968A7">
        <w:rPr>
          <w:rFonts w:eastAsiaTheme="minorEastAsia" w:hint="eastAsia"/>
          <w:color w:val="000000"/>
          <w:sz w:val="20"/>
          <w:lang w:eastAsia="zh-CN"/>
        </w:rPr>
        <w:t xml:space="preserve"> </w:t>
      </w:r>
      <w:r w:rsidR="00AA11CF" w:rsidRPr="004A44E4">
        <w:rPr>
          <w:rFonts w:eastAsiaTheme="minorEastAsia"/>
          <w:sz w:val="20"/>
          <w:lang w:eastAsia="zh-CN"/>
        </w:rPr>
        <w:t>The AP may also send the response</w:t>
      </w:r>
      <w:r w:rsidR="00AA11CF" w:rsidRPr="004A44E4">
        <w:rPr>
          <w:rFonts w:eastAsiaTheme="minorEastAsia"/>
          <w:sz w:val="20"/>
          <w:lang w:eastAsia="zh-CN"/>
        </w:rPr>
        <w:t xml:space="preserve"> MMPDU</w:t>
      </w:r>
      <w:r w:rsidR="00AA11CF" w:rsidRPr="004A44E4">
        <w:rPr>
          <w:rFonts w:eastAsiaTheme="minorEastAsia"/>
          <w:sz w:val="20"/>
          <w:lang w:eastAsia="zh-CN"/>
        </w:rPr>
        <w:t xml:space="preserve"> in a non-HT PPDU if at least one copy of the PPDU is transmitted on at least one of the 20 MHz channel(s) within which the UL MMPPDU was transmitted and the PPDU meets other requirements for tran</w:t>
      </w:r>
      <w:r w:rsidR="002D2186">
        <w:rPr>
          <w:rFonts w:eastAsiaTheme="minorEastAsia"/>
          <w:sz w:val="20"/>
          <w:lang w:eastAsia="zh-CN"/>
        </w:rPr>
        <w:t>smission on the primary channel</w:t>
      </w:r>
      <w:bookmarkStart w:id="0" w:name="_GoBack"/>
      <w:bookmarkEnd w:id="0"/>
    </w:p>
    <w:p w:rsidR="0094697A" w:rsidRDefault="0094697A" w:rsidP="007608D9">
      <w:pPr>
        <w:rPr>
          <w:sz w:val="20"/>
        </w:rPr>
      </w:pPr>
    </w:p>
    <w:p w:rsidR="00D50FBC" w:rsidRPr="00F968A7" w:rsidRDefault="00F968A7" w:rsidP="007608D9">
      <w:pPr>
        <w:rPr>
          <w:rFonts w:eastAsiaTheme="minorEastAsia"/>
          <w:sz w:val="20"/>
          <w:lang w:val="en-US" w:eastAsia="zh-CN"/>
        </w:rPr>
      </w:pPr>
      <w:r>
        <w:rPr>
          <w:rFonts w:eastAsiaTheme="minorEastAsia"/>
          <w:sz w:val="20"/>
          <w:lang w:val="en-US" w:eastAsia="zh-CN"/>
        </w:rPr>
        <w:t>……</w:t>
      </w:r>
    </w:p>
    <w:p w:rsidR="00FE3C95" w:rsidRPr="00FE501F" w:rsidRDefault="00943A02" w:rsidP="00AC4B40">
      <w:pPr>
        <w:rPr>
          <w:b/>
          <w:sz w:val="24"/>
          <w:lang w:val="en-US"/>
        </w:rPr>
      </w:pPr>
      <w:r w:rsidRPr="00943A02">
        <w:rPr>
          <w:b/>
          <w:sz w:val="24"/>
          <w:highlight w:val="yellow"/>
          <w:lang w:val="en-US"/>
        </w:rPr>
        <w:t>End of proposed changes.</w:t>
      </w:r>
    </w:p>
    <w:sectPr w:rsidR="00FE3C95" w:rsidRPr="00FE501F"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DA" w:rsidRDefault="007B35DA">
      <w:r>
        <w:separator/>
      </w:r>
    </w:p>
  </w:endnote>
  <w:endnote w:type="continuationSeparator" w:id="0">
    <w:p w:rsidR="007B35DA" w:rsidRDefault="007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EA2FC7">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2D2186">
      <w:rPr>
        <w:noProof/>
      </w:rPr>
      <w:t>5</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DA" w:rsidRDefault="007B35DA">
      <w:r>
        <w:separator/>
      </w:r>
    </w:p>
  </w:footnote>
  <w:footnote w:type="continuationSeparator" w:id="0">
    <w:p w:rsidR="007B35DA" w:rsidRDefault="007B3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136B36">
      <w:t>185</w:t>
    </w:r>
    <w:r w:rsidR="00C37C49">
      <w:t>r</w:t>
    </w:r>
    <w:r w:rsidR="00C37C49">
      <w:rPr>
        <w:rFonts w:eastAsiaTheme="minorEastAsia" w:hint="eastAsia"/>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10B49"/>
    <w:multiLevelType w:val="hybridMultilevel"/>
    <w:tmpl w:val="57B2CD4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10"/>
  </w:num>
  <w:num w:numId="23">
    <w:abstractNumId w:val="9"/>
  </w:num>
  <w:num w:numId="24">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6"/>
  </w:num>
  <w:num w:numId="26">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5A79"/>
    <w:rsid w:val="00006454"/>
    <w:rsid w:val="000067AA"/>
    <w:rsid w:val="00006DBB"/>
    <w:rsid w:val="0000743C"/>
    <w:rsid w:val="00007A76"/>
    <w:rsid w:val="00007BD6"/>
    <w:rsid w:val="00007EEF"/>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6D7C"/>
    <w:rsid w:val="0009713F"/>
    <w:rsid w:val="00097223"/>
    <w:rsid w:val="000A13D2"/>
    <w:rsid w:val="000A1537"/>
    <w:rsid w:val="000A15C5"/>
    <w:rsid w:val="000A1C31"/>
    <w:rsid w:val="000A1DCE"/>
    <w:rsid w:val="000A1F25"/>
    <w:rsid w:val="000A671D"/>
    <w:rsid w:val="000A7680"/>
    <w:rsid w:val="000A7EBE"/>
    <w:rsid w:val="000B041A"/>
    <w:rsid w:val="000B083E"/>
    <w:rsid w:val="000B0DAF"/>
    <w:rsid w:val="000B13A6"/>
    <w:rsid w:val="000B2819"/>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60F"/>
    <w:rsid w:val="000C27D0"/>
    <w:rsid w:val="000C3C9C"/>
    <w:rsid w:val="000C3E5B"/>
    <w:rsid w:val="000C42E0"/>
    <w:rsid w:val="000C4DF9"/>
    <w:rsid w:val="000C54F3"/>
    <w:rsid w:val="000C6438"/>
    <w:rsid w:val="000C6842"/>
    <w:rsid w:val="000C6A2F"/>
    <w:rsid w:val="000C7A4A"/>
    <w:rsid w:val="000D0217"/>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8EF"/>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B36"/>
    <w:rsid w:val="00136F15"/>
    <w:rsid w:val="00137C4B"/>
    <w:rsid w:val="00137D68"/>
    <w:rsid w:val="001406F8"/>
    <w:rsid w:val="0014234B"/>
    <w:rsid w:val="001425E3"/>
    <w:rsid w:val="00144089"/>
    <w:rsid w:val="001444B8"/>
    <w:rsid w:val="00144732"/>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6135"/>
    <w:rsid w:val="00156224"/>
    <w:rsid w:val="00156D55"/>
    <w:rsid w:val="00160C21"/>
    <w:rsid w:val="00160F45"/>
    <w:rsid w:val="00161100"/>
    <w:rsid w:val="0016147B"/>
    <w:rsid w:val="0016428D"/>
    <w:rsid w:val="001645FD"/>
    <w:rsid w:val="00165A40"/>
    <w:rsid w:val="00165BE6"/>
    <w:rsid w:val="001676C2"/>
    <w:rsid w:val="001677DF"/>
    <w:rsid w:val="00170B3B"/>
    <w:rsid w:val="00172489"/>
    <w:rsid w:val="00172DD9"/>
    <w:rsid w:val="001733C8"/>
    <w:rsid w:val="0017340A"/>
    <w:rsid w:val="001738FD"/>
    <w:rsid w:val="00173C6A"/>
    <w:rsid w:val="00174601"/>
    <w:rsid w:val="00175CC2"/>
    <w:rsid w:val="00175CDF"/>
    <w:rsid w:val="0017659B"/>
    <w:rsid w:val="00176600"/>
    <w:rsid w:val="00176808"/>
    <w:rsid w:val="001769EA"/>
    <w:rsid w:val="00177305"/>
    <w:rsid w:val="00177BCE"/>
    <w:rsid w:val="001812A8"/>
    <w:rsid w:val="001812B0"/>
    <w:rsid w:val="00181423"/>
    <w:rsid w:val="00181A0E"/>
    <w:rsid w:val="001825C3"/>
    <w:rsid w:val="00183698"/>
    <w:rsid w:val="00183709"/>
    <w:rsid w:val="00183F4C"/>
    <w:rsid w:val="00184449"/>
    <w:rsid w:val="0018462B"/>
    <w:rsid w:val="00184D65"/>
    <w:rsid w:val="00185B1D"/>
    <w:rsid w:val="00185DE7"/>
    <w:rsid w:val="001865FA"/>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97C57"/>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22E5"/>
    <w:rsid w:val="001E349E"/>
    <w:rsid w:val="001E3A51"/>
    <w:rsid w:val="001E4DD9"/>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638"/>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B68"/>
    <w:rsid w:val="0025062F"/>
    <w:rsid w:val="002506ED"/>
    <w:rsid w:val="00250BE6"/>
    <w:rsid w:val="00250EFA"/>
    <w:rsid w:val="00252D47"/>
    <w:rsid w:val="002539AB"/>
    <w:rsid w:val="00254081"/>
    <w:rsid w:val="00255A8B"/>
    <w:rsid w:val="002573D8"/>
    <w:rsid w:val="00261681"/>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5881"/>
    <w:rsid w:val="00287B9F"/>
    <w:rsid w:val="00287FDF"/>
    <w:rsid w:val="00291A10"/>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186"/>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8DF"/>
    <w:rsid w:val="002E7ABB"/>
    <w:rsid w:val="002E7CA1"/>
    <w:rsid w:val="002E7E56"/>
    <w:rsid w:val="002F08CF"/>
    <w:rsid w:val="002F0915"/>
    <w:rsid w:val="002F1269"/>
    <w:rsid w:val="002F126C"/>
    <w:rsid w:val="002F25B2"/>
    <w:rsid w:val="002F2BC5"/>
    <w:rsid w:val="002F2F37"/>
    <w:rsid w:val="002F376B"/>
    <w:rsid w:val="002F4737"/>
    <w:rsid w:val="002F47E0"/>
    <w:rsid w:val="002F47F4"/>
    <w:rsid w:val="002F499D"/>
    <w:rsid w:val="002F50E3"/>
    <w:rsid w:val="002F5C8C"/>
    <w:rsid w:val="002F7199"/>
    <w:rsid w:val="002F7580"/>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2FC6"/>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67FFE"/>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870D1"/>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57B"/>
    <w:rsid w:val="003A6797"/>
    <w:rsid w:val="003A6AC1"/>
    <w:rsid w:val="003A6F0D"/>
    <w:rsid w:val="003A74EB"/>
    <w:rsid w:val="003A7A7D"/>
    <w:rsid w:val="003A7B64"/>
    <w:rsid w:val="003B03CE"/>
    <w:rsid w:val="003B09B9"/>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36B"/>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8D5"/>
    <w:rsid w:val="00482AD0"/>
    <w:rsid w:val="00482AF6"/>
    <w:rsid w:val="00484651"/>
    <w:rsid w:val="004854ED"/>
    <w:rsid w:val="00485E23"/>
    <w:rsid w:val="00486AA9"/>
    <w:rsid w:val="00486EB3"/>
    <w:rsid w:val="00487778"/>
    <w:rsid w:val="00490E35"/>
    <w:rsid w:val="00491848"/>
    <w:rsid w:val="004919AD"/>
    <w:rsid w:val="00491CAF"/>
    <w:rsid w:val="00491E46"/>
    <w:rsid w:val="00491EA2"/>
    <w:rsid w:val="00492A82"/>
    <w:rsid w:val="004937E7"/>
    <w:rsid w:val="0049468A"/>
    <w:rsid w:val="004955F3"/>
    <w:rsid w:val="00495A5A"/>
    <w:rsid w:val="00495DAB"/>
    <w:rsid w:val="00496B29"/>
    <w:rsid w:val="004A03AC"/>
    <w:rsid w:val="004A0AF4"/>
    <w:rsid w:val="004A0FC9"/>
    <w:rsid w:val="004A1A5F"/>
    <w:rsid w:val="004A2AD7"/>
    <w:rsid w:val="004A44E4"/>
    <w:rsid w:val="004A4678"/>
    <w:rsid w:val="004A5312"/>
    <w:rsid w:val="004A549A"/>
    <w:rsid w:val="004A5537"/>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4EC"/>
    <w:rsid w:val="00500AC2"/>
    <w:rsid w:val="00500B04"/>
    <w:rsid w:val="00500CB3"/>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35FFC"/>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4886"/>
    <w:rsid w:val="00566240"/>
    <w:rsid w:val="00567442"/>
    <w:rsid w:val="00567934"/>
    <w:rsid w:val="005702B6"/>
    <w:rsid w:val="005703A1"/>
    <w:rsid w:val="0057046A"/>
    <w:rsid w:val="00570D55"/>
    <w:rsid w:val="00571256"/>
    <w:rsid w:val="005712BF"/>
    <w:rsid w:val="00571574"/>
    <w:rsid w:val="00571583"/>
    <w:rsid w:val="00572BF3"/>
    <w:rsid w:val="00572E7A"/>
    <w:rsid w:val="00574757"/>
    <w:rsid w:val="00575913"/>
    <w:rsid w:val="005759DA"/>
    <w:rsid w:val="00575D81"/>
    <w:rsid w:val="00575DF2"/>
    <w:rsid w:val="00576C16"/>
    <w:rsid w:val="005771AA"/>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3E8D"/>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D47"/>
    <w:rsid w:val="00641444"/>
    <w:rsid w:val="006416FF"/>
    <w:rsid w:val="0064272E"/>
    <w:rsid w:val="0064398C"/>
    <w:rsid w:val="00643FAA"/>
    <w:rsid w:val="00644E29"/>
    <w:rsid w:val="00645192"/>
    <w:rsid w:val="00645498"/>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2551"/>
    <w:rsid w:val="006A3117"/>
    <w:rsid w:val="006A3A0E"/>
    <w:rsid w:val="006A3EB3"/>
    <w:rsid w:val="006A4395"/>
    <w:rsid w:val="006A4F60"/>
    <w:rsid w:val="006A503E"/>
    <w:rsid w:val="006A55E0"/>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E9B"/>
    <w:rsid w:val="006E15ED"/>
    <w:rsid w:val="006E181A"/>
    <w:rsid w:val="006E195A"/>
    <w:rsid w:val="006E21CA"/>
    <w:rsid w:val="006E2A5A"/>
    <w:rsid w:val="006E2D44"/>
    <w:rsid w:val="006E3DB7"/>
    <w:rsid w:val="006E6E2B"/>
    <w:rsid w:val="006E753D"/>
    <w:rsid w:val="006F037F"/>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89C"/>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610C"/>
    <w:rsid w:val="00726B2A"/>
    <w:rsid w:val="00726EF3"/>
    <w:rsid w:val="00726F53"/>
    <w:rsid w:val="00727341"/>
    <w:rsid w:val="00727E1D"/>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57EA"/>
    <w:rsid w:val="007558D4"/>
    <w:rsid w:val="00755D22"/>
    <w:rsid w:val="007571C4"/>
    <w:rsid w:val="00757259"/>
    <w:rsid w:val="007572FC"/>
    <w:rsid w:val="00757AD1"/>
    <w:rsid w:val="00760099"/>
    <w:rsid w:val="007608D9"/>
    <w:rsid w:val="0076096A"/>
    <w:rsid w:val="00760E8D"/>
    <w:rsid w:val="0076196C"/>
    <w:rsid w:val="00761B37"/>
    <w:rsid w:val="00763607"/>
    <w:rsid w:val="007644C8"/>
    <w:rsid w:val="00766B1A"/>
    <w:rsid w:val="00766DFE"/>
    <w:rsid w:val="00767BB9"/>
    <w:rsid w:val="00767BF8"/>
    <w:rsid w:val="0077060C"/>
    <w:rsid w:val="00770B8E"/>
    <w:rsid w:val="00770F04"/>
    <w:rsid w:val="007714C9"/>
    <w:rsid w:val="00771FDF"/>
    <w:rsid w:val="0077202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2136"/>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5DA"/>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EA7"/>
    <w:rsid w:val="00802B03"/>
    <w:rsid w:val="00802F35"/>
    <w:rsid w:val="00802FC5"/>
    <w:rsid w:val="00803CCC"/>
    <w:rsid w:val="008052F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252FF"/>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4165"/>
    <w:rsid w:val="008661B9"/>
    <w:rsid w:val="0086738D"/>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5FB"/>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771"/>
    <w:rsid w:val="00920C8A"/>
    <w:rsid w:val="00921252"/>
    <w:rsid w:val="009225A7"/>
    <w:rsid w:val="009229A9"/>
    <w:rsid w:val="00923C02"/>
    <w:rsid w:val="00924519"/>
    <w:rsid w:val="0092590E"/>
    <w:rsid w:val="009259D4"/>
    <w:rsid w:val="00926C58"/>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210F"/>
    <w:rsid w:val="00943027"/>
    <w:rsid w:val="00943A02"/>
    <w:rsid w:val="009441DB"/>
    <w:rsid w:val="00944591"/>
    <w:rsid w:val="00944CAA"/>
    <w:rsid w:val="00944EF3"/>
    <w:rsid w:val="00945377"/>
    <w:rsid w:val="009459D6"/>
    <w:rsid w:val="00945D55"/>
    <w:rsid w:val="009460BB"/>
    <w:rsid w:val="00946224"/>
    <w:rsid w:val="00946444"/>
    <w:rsid w:val="0094697A"/>
    <w:rsid w:val="009475C2"/>
    <w:rsid w:val="0094791A"/>
    <w:rsid w:val="00947C26"/>
    <w:rsid w:val="00947FF8"/>
    <w:rsid w:val="009506EF"/>
    <w:rsid w:val="0095165A"/>
    <w:rsid w:val="00951CE8"/>
    <w:rsid w:val="0095298C"/>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5E5F"/>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958"/>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1DDC"/>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366"/>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DC1"/>
    <w:rsid w:val="00A97E66"/>
    <w:rsid w:val="00AA11CF"/>
    <w:rsid w:val="00AA1555"/>
    <w:rsid w:val="00AA188F"/>
    <w:rsid w:val="00AA2B9C"/>
    <w:rsid w:val="00AA30AF"/>
    <w:rsid w:val="00AA369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6ECC"/>
    <w:rsid w:val="00AC76C6"/>
    <w:rsid w:val="00AC79A6"/>
    <w:rsid w:val="00AD0973"/>
    <w:rsid w:val="00AD2392"/>
    <w:rsid w:val="00AD268D"/>
    <w:rsid w:val="00AD28E5"/>
    <w:rsid w:val="00AD296B"/>
    <w:rsid w:val="00AD2989"/>
    <w:rsid w:val="00AD35B1"/>
    <w:rsid w:val="00AD3749"/>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0F8D"/>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976"/>
    <w:rsid w:val="00B04CB8"/>
    <w:rsid w:val="00B05435"/>
    <w:rsid w:val="00B0609E"/>
    <w:rsid w:val="00B076B3"/>
    <w:rsid w:val="00B07F24"/>
    <w:rsid w:val="00B10B4E"/>
    <w:rsid w:val="00B116A0"/>
    <w:rsid w:val="00B11981"/>
    <w:rsid w:val="00B15372"/>
    <w:rsid w:val="00B16515"/>
    <w:rsid w:val="00B17F46"/>
    <w:rsid w:val="00B20519"/>
    <w:rsid w:val="00B205C7"/>
    <w:rsid w:val="00B20BAE"/>
    <w:rsid w:val="00B20BC5"/>
    <w:rsid w:val="00B2110C"/>
    <w:rsid w:val="00B22C00"/>
    <w:rsid w:val="00B2361F"/>
    <w:rsid w:val="00B24D90"/>
    <w:rsid w:val="00B25805"/>
    <w:rsid w:val="00B2692B"/>
    <w:rsid w:val="00B26D6E"/>
    <w:rsid w:val="00B2718B"/>
    <w:rsid w:val="00B3040A"/>
    <w:rsid w:val="00B3041B"/>
    <w:rsid w:val="00B307B4"/>
    <w:rsid w:val="00B30988"/>
    <w:rsid w:val="00B33EEE"/>
    <w:rsid w:val="00B348D8"/>
    <w:rsid w:val="00B34D41"/>
    <w:rsid w:val="00B350FD"/>
    <w:rsid w:val="00B35ECD"/>
    <w:rsid w:val="00B40221"/>
    <w:rsid w:val="00B4157B"/>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2CD"/>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7B0"/>
    <w:rsid w:val="00B83D06"/>
    <w:rsid w:val="00B844E8"/>
    <w:rsid w:val="00B9029D"/>
    <w:rsid w:val="00B90809"/>
    <w:rsid w:val="00B91B6F"/>
    <w:rsid w:val="00B91CB4"/>
    <w:rsid w:val="00B922BC"/>
    <w:rsid w:val="00B92315"/>
    <w:rsid w:val="00B9272C"/>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5AD"/>
    <w:rsid w:val="00BF1948"/>
    <w:rsid w:val="00BF1B10"/>
    <w:rsid w:val="00BF1D07"/>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436A"/>
    <w:rsid w:val="00C151D0"/>
    <w:rsid w:val="00C16351"/>
    <w:rsid w:val="00C17526"/>
    <w:rsid w:val="00C17C1B"/>
    <w:rsid w:val="00C20366"/>
    <w:rsid w:val="00C20B89"/>
    <w:rsid w:val="00C21A09"/>
    <w:rsid w:val="00C22551"/>
    <w:rsid w:val="00C2309E"/>
    <w:rsid w:val="00C237F5"/>
    <w:rsid w:val="00C24241"/>
    <w:rsid w:val="00C24516"/>
    <w:rsid w:val="00C247D2"/>
    <w:rsid w:val="00C24A70"/>
    <w:rsid w:val="00C26BC4"/>
    <w:rsid w:val="00C26D95"/>
    <w:rsid w:val="00C308E2"/>
    <w:rsid w:val="00C31433"/>
    <w:rsid w:val="00C317AA"/>
    <w:rsid w:val="00C31FE9"/>
    <w:rsid w:val="00C325C5"/>
    <w:rsid w:val="00C328F2"/>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11C3"/>
    <w:rsid w:val="00C634B1"/>
    <w:rsid w:val="00C640EB"/>
    <w:rsid w:val="00C64C4E"/>
    <w:rsid w:val="00C65239"/>
    <w:rsid w:val="00C66740"/>
    <w:rsid w:val="00C66B2F"/>
    <w:rsid w:val="00C712A4"/>
    <w:rsid w:val="00C71BDA"/>
    <w:rsid w:val="00C7233D"/>
    <w:rsid w:val="00C723BC"/>
    <w:rsid w:val="00C73810"/>
    <w:rsid w:val="00C73D4E"/>
    <w:rsid w:val="00C73F85"/>
    <w:rsid w:val="00C7480A"/>
    <w:rsid w:val="00C75896"/>
    <w:rsid w:val="00C758DD"/>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9C4"/>
    <w:rsid w:val="00C87FF6"/>
    <w:rsid w:val="00C92726"/>
    <w:rsid w:val="00C92FD1"/>
    <w:rsid w:val="00C9365B"/>
    <w:rsid w:val="00C93DF1"/>
    <w:rsid w:val="00C94343"/>
    <w:rsid w:val="00C94642"/>
    <w:rsid w:val="00C94AEE"/>
    <w:rsid w:val="00C95FF7"/>
    <w:rsid w:val="00C96AF0"/>
    <w:rsid w:val="00C96D00"/>
    <w:rsid w:val="00C97264"/>
    <w:rsid w:val="00C975ED"/>
    <w:rsid w:val="00CA112A"/>
    <w:rsid w:val="00CA1130"/>
    <w:rsid w:val="00CA1F8F"/>
    <w:rsid w:val="00CA2591"/>
    <w:rsid w:val="00CA27EC"/>
    <w:rsid w:val="00CA32E1"/>
    <w:rsid w:val="00CA495E"/>
    <w:rsid w:val="00CA4FB5"/>
    <w:rsid w:val="00CA57B4"/>
    <w:rsid w:val="00CA6689"/>
    <w:rsid w:val="00CB147A"/>
    <w:rsid w:val="00CB1F42"/>
    <w:rsid w:val="00CB285C"/>
    <w:rsid w:val="00CB3B01"/>
    <w:rsid w:val="00CB3D9F"/>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05D"/>
    <w:rsid w:val="00CE3B09"/>
    <w:rsid w:val="00CE3DDC"/>
    <w:rsid w:val="00CE3F65"/>
    <w:rsid w:val="00CE3FFA"/>
    <w:rsid w:val="00CE4BAA"/>
    <w:rsid w:val="00CE63EE"/>
    <w:rsid w:val="00CE695B"/>
    <w:rsid w:val="00CE7EE1"/>
    <w:rsid w:val="00CE7EFF"/>
    <w:rsid w:val="00CF0428"/>
    <w:rsid w:val="00CF16FB"/>
    <w:rsid w:val="00CF18E5"/>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50"/>
    <w:rsid w:val="00D7707D"/>
    <w:rsid w:val="00D77C55"/>
    <w:rsid w:val="00D77E65"/>
    <w:rsid w:val="00D80F71"/>
    <w:rsid w:val="00D826B4"/>
    <w:rsid w:val="00D8390C"/>
    <w:rsid w:val="00D84566"/>
    <w:rsid w:val="00D84EE9"/>
    <w:rsid w:val="00D90003"/>
    <w:rsid w:val="00D90159"/>
    <w:rsid w:val="00D901D2"/>
    <w:rsid w:val="00D91A29"/>
    <w:rsid w:val="00D922A5"/>
    <w:rsid w:val="00D92951"/>
    <w:rsid w:val="00D92D94"/>
    <w:rsid w:val="00D93788"/>
    <w:rsid w:val="00D939E7"/>
    <w:rsid w:val="00D93ACD"/>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C"/>
    <w:rsid w:val="00DD0A5D"/>
    <w:rsid w:val="00DD0B1F"/>
    <w:rsid w:val="00DD0C13"/>
    <w:rsid w:val="00DD277A"/>
    <w:rsid w:val="00DD2D46"/>
    <w:rsid w:val="00DD2FB0"/>
    <w:rsid w:val="00DD3578"/>
    <w:rsid w:val="00DD369B"/>
    <w:rsid w:val="00DD3BD5"/>
    <w:rsid w:val="00DD4193"/>
    <w:rsid w:val="00DD4535"/>
    <w:rsid w:val="00DD4BFF"/>
    <w:rsid w:val="00DD4CDD"/>
    <w:rsid w:val="00DD5DDD"/>
    <w:rsid w:val="00DD64AA"/>
    <w:rsid w:val="00DD6B10"/>
    <w:rsid w:val="00DD6EB7"/>
    <w:rsid w:val="00DD70FA"/>
    <w:rsid w:val="00DD772B"/>
    <w:rsid w:val="00DE157B"/>
    <w:rsid w:val="00DE157E"/>
    <w:rsid w:val="00DE29A7"/>
    <w:rsid w:val="00DE2C77"/>
    <w:rsid w:val="00DE2E19"/>
    <w:rsid w:val="00DE3143"/>
    <w:rsid w:val="00DE35F8"/>
    <w:rsid w:val="00DE385C"/>
    <w:rsid w:val="00DE4302"/>
    <w:rsid w:val="00DE4946"/>
    <w:rsid w:val="00DE4EFA"/>
    <w:rsid w:val="00DE572C"/>
    <w:rsid w:val="00DE681B"/>
    <w:rsid w:val="00DE6B23"/>
    <w:rsid w:val="00DE6B30"/>
    <w:rsid w:val="00DE710B"/>
    <w:rsid w:val="00DE750A"/>
    <w:rsid w:val="00DE780F"/>
    <w:rsid w:val="00DE7EAF"/>
    <w:rsid w:val="00DF043A"/>
    <w:rsid w:val="00DF09A4"/>
    <w:rsid w:val="00DF15D7"/>
    <w:rsid w:val="00DF1741"/>
    <w:rsid w:val="00DF1A5F"/>
    <w:rsid w:val="00DF1FF4"/>
    <w:rsid w:val="00DF3527"/>
    <w:rsid w:val="00DF3B36"/>
    <w:rsid w:val="00DF3E12"/>
    <w:rsid w:val="00DF3E35"/>
    <w:rsid w:val="00DF42D7"/>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B2F"/>
    <w:rsid w:val="00E70BBA"/>
    <w:rsid w:val="00E71297"/>
    <w:rsid w:val="00E71C91"/>
    <w:rsid w:val="00E71E0D"/>
    <w:rsid w:val="00E7243A"/>
    <w:rsid w:val="00E72803"/>
    <w:rsid w:val="00E72D22"/>
    <w:rsid w:val="00E7371E"/>
    <w:rsid w:val="00E73D70"/>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1389"/>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2FC7"/>
    <w:rsid w:val="00EA33A2"/>
    <w:rsid w:val="00EA3F96"/>
    <w:rsid w:val="00EA4424"/>
    <w:rsid w:val="00EA48D0"/>
    <w:rsid w:val="00EA593A"/>
    <w:rsid w:val="00EA6977"/>
    <w:rsid w:val="00EA6A6E"/>
    <w:rsid w:val="00EA6DCB"/>
    <w:rsid w:val="00EA737B"/>
    <w:rsid w:val="00EA7C6B"/>
    <w:rsid w:val="00EB0F01"/>
    <w:rsid w:val="00EB1582"/>
    <w:rsid w:val="00EB1F03"/>
    <w:rsid w:val="00EB5ADB"/>
    <w:rsid w:val="00EB6218"/>
    <w:rsid w:val="00EB69EF"/>
    <w:rsid w:val="00EB7706"/>
    <w:rsid w:val="00EB7D8A"/>
    <w:rsid w:val="00EC34F3"/>
    <w:rsid w:val="00EC36FC"/>
    <w:rsid w:val="00EC375B"/>
    <w:rsid w:val="00EC3889"/>
    <w:rsid w:val="00EC4F39"/>
    <w:rsid w:val="00EC5E3F"/>
    <w:rsid w:val="00EC6022"/>
    <w:rsid w:val="00EC6320"/>
    <w:rsid w:val="00EC6EF4"/>
    <w:rsid w:val="00EC70E0"/>
    <w:rsid w:val="00EC7415"/>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3D4F"/>
    <w:rsid w:val="00EE4741"/>
    <w:rsid w:val="00EE5409"/>
    <w:rsid w:val="00EE55B2"/>
    <w:rsid w:val="00EE66D7"/>
    <w:rsid w:val="00EE71EF"/>
    <w:rsid w:val="00EE7363"/>
    <w:rsid w:val="00EE7DA9"/>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6B9"/>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21"/>
    <w:rsid w:val="00F52DC3"/>
    <w:rsid w:val="00F5458D"/>
    <w:rsid w:val="00F548D4"/>
    <w:rsid w:val="00F54F3A"/>
    <w:rsid w:val="00F55028"/>
    <w:rsid w:val="00F5670E"/>
    <w:rsid w:val="00F57D17"/>
    <w:rsid w:val="00F60892"/>
    <w:rsid w:val="00F61E6F"/>
    <w:rsid w:val="00F62854"/>
    <w:rsid w:val="00F63E50"/>
    <w:rsid w:val="00F64473"/>
    <w:rsid w:val="00F646B2"/>
    <w:rsid w:val="00F64A34"/>
    <w:rsid w:val="00F653A1"/>
    <w:rsid w:val="00F65562"/>
    <w:rsid w:val="00F659E1"/>
    <w:rsid w:val="00F668FF"/>
    <w:rsid w:val="00F670F7"/>
    <w:rsid w:val="00F67BCC"/>
    <w:rsid w:val="00F70276"/>
    <w:rsid w:val="00F702E2"/>
    <w:rsid w:val="00F70930"/>
    <w:rsid w:val="00F70B2E"/>
    <w:rsid w:val="00F710B8"/>
    <w:rsid w:val="00F71FAA"/>
    <w:rsid w:val="00F72A9F"/>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875F2"/>
    <w:rsid w:val="00F91B63"/>
    <w:rsid w:val="00F9269B"/>
    <w:rsid w:val="00F9319A"/>
    <w:rsid w:val="00F93DC9"/>
    <w:rsid w:val="00F945A1"/>
    <w:rsid w:val="00F94872"/>
    <w:rsid w:val="00F9547F"/>
    <w:rsid w:val="00F954C1"/>
    <w:rsid w:val="00F9679F"/>
    <w:rsid w:val="00F967E0"/>
    <w:rsid w:val="00F968A7"/>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00D"/>
    <w:rsid w:val="00FD34F8"/>
    <w:rsid w:val="00FD554D"/>
    <w:rsid w:val="00FD5812"/>
    <w:rsid w:val="00FD5B24"/>
    <w:rsid w:val="00FD6125"/>
    <w:rsid w:val="00FD6167"/>
    <w:rsid w:val="00FE05B4"/>
    <w:rsid w:val="00FE1231"/>
    <w:rsid w:val="00FE30C5"/>
    <w:rsid w:val="00FE31E9"/>
    <w:rsid w:val="00FE362B"/>
    <w:rsid w:val="00FE37EF"/>
    <w:rsid w:val="00FE3C95"/>
    <w:rsid w:val="00FE501F"/>
    <w:rsid w:val="00FE5C16"/>
    <w:rsid w:val="00FE5F5F"/>
    <w:rsid w:val="00FE7308"/>
    <w:rsid w:val="00FE7D49"/>
    <w:rsid w:val="00FF0D93"/>
    <w:rsid w:val="00FF13EA"/>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CellBodyCentred">
    <w:name w:val="CellBodyCentred"/>
    <w:uiPriority w:val="99"/>
    <w:rsid w:val="009469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6201438">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55362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848213">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81572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53696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054276">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C94D-FAE2-41B2-9785-0847C5C478D6}">
  <ds:schemaRefs>
    <ds:schemaRef ds:uri="http://schemas.openxmlformats.org/officeDocument/2006/bibliography"/>
  </ds:schemaRefs>
</ds:datastoreItem>
</file>

<file path=customXml/itemProps2.xml><?xml version="1.0" encoding="utf-8"?>
<ds:datastoreItem xmlns:ds="http://schemas.openxmlformats.org/officeDocument/2006/customXml" ds:itemID="{916BB4D5-5D89-497B-983F-3110378001C7}">
  <ds:schemaRefs>
    <ds:schemaRef ds:uri="http://schemas.openxmlformats.org/officeDocument/2006/bibliography"/>
  </ds:schemaRefs>
</ds:datastoreItem>
</file>

<file path=customXml/itemProps3.xml><?xml version="1.0" encoding="utf-8"?>
<ds:datastoreItem xmlns:ds="http://schemas.openxmlformats.org/officeDocument/2006/customXml" ds:itemID="{E1F9210A-D40D-4CC6-A44F-A90CF82C6198}">
  <ds:schemaRefs>
    <ds:schemaRef ds:uri="http://schemas.openxmlformats.org/officeDocument/2006/bibliography"/>
  </ds:schemaRefs>
</ds:datastoreItem>
</file>

<file path=customXml/itemProps4.xml><?xml version="1.0" encoding="utf-8"?>
<ds:datastoreItem xmlns:ds="http://schemas.openxmlformats.org/officeDocument/2006/customXml" ds:itemID="{EC876B00-B457-49D7-9CC8-4D7C08DA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946</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6329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5</cp:revision>
  <cp:lastPrinted>2010-05-04T02:47:00Z</cp:lastPrinted>
  <dcterms:created xsi:type="dcterms:W3CDTF">2018-01-15T20:01:00Z</dcterms:created>
  <dcterms:modified xsi:type="dcterms:W3CDTF">2018-01-15T20:27:00Z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