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BC0F01A" w14:textId="0F46F597"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80838" w:rsidRPr="00A80838">
              <w:rPr>
                <w:b/>
                <w:bCs/>
                <w:color w:val="000000"/>
                <w:sz w:val="28"/>
                <w:szCs w:val="28"/>
                <w:lang w:val="en-US" w:eastAsia="ko-KR"/>
              </w:rPr>
              <w:t>27.5.3.6</w:t>
            </w:r>
            <w:r w:rsidR="00127344">
              <w:rPr>
                <w:b/>
                <w:bCs/>
                <w:color w:val="000000"/>
                <w:sz w:val="28"/>
                <w:szCs w:val="28"/>
                <w:lang w:val="en-US"/>
              </w:rPr>
              <w:t xml:space="preserve"> </w:t>
            </w:r>
          </w:p>
          <w:p w14:paraId="43C7EEFC" w14:textId="6216BC99" w:rsidR="00BD6FB0" w:rsidRPr="00BD6FB0" w:rsidRDefault="00A80838" w:rsidP="00355E83">
            <w:pPr>
              <w:jc w:val="center"/>
              <w:rPr>
                <w:b/>
                <w:bCs/>
                <w:color w:val="000000"/>
                <w:sz w:val="28"/>
                <w:szCs w:val="28"/>
                <w:lang w:val="en-US" w:eastAsia="ko-KR"/>
              </w:rPr>
            </w:pPr>
            <w:r w:rsidRPr="00A80838">
              <w:rPr>
                <w:b/>
                <w:bCs/>
                <w:color w:val="000000"/>
                <w:sz w:val="28"/>
                <w:szCs w:val="28"/>
                <w:lang w:val="en-US" w:eastAsia="ko-KR"/>
              </w:rPr>
              <w:t>HE buffer status feedback operation for UL MU</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05CADA17" w:rsidR="00BD6FB0" w:rsidRPr="00BD6FB0" w:rsidRDefault="00BD6FB0" w:rsidP="00A80838">
            <w:pPr>
              <w:jc w:val="center"/>
              <w:rPr>
                <w:b/>
                <w:bCs/>
                <w:color w:val="000000"/>
                <w:sz w:val="20"/>
                <w:lang w:val="en-US" w:eastAsia="ko-KR"/>
              </w:rPr>
            </w:pPr>
            <w:r w:rsidRPr="00BD6FB0">
              <w:rPr>
                <w:b/>
                <w:bCs/>
                <w:color w:val="000000"/>
                <w:sz w:val="20"/>
                <w:lang w:val="en-US"/>
              </w:rPr>
              <w:t>Date:</w:t>
            </w:r>
            <w:r w:rsidRPr="002836D0">
              <w:t xml:space="preserve">  201</w:t>
            </w:r>
            <w:r w:rsidR="00A80838">
              <w:t>8</w:t>
            </w:r>
            <w:r w:rsidR="00361A7D">
              <w:t>-0</w:t>
            </w:r>
            <w:r w:rsidR="00A80838">
              <w:t>1</w:t>
            </w:r>
            <w:r w:rsidR="00361A7D">
              <w:t>-</w:t>
            </w:r>
            <w:r w:rsidR="00451A60">
              <w:t>10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bl>
    <w:p w14:paraId="0DC9FA44" w14:textId="77777777" w:rsidR="007C67E6" w:rsidRDefault="007C67E6">
      <w:pPr>
        <w:pStyle w:val="T1"/>
        <w:spacing w:after="120"/>
        <w:rPr>
          <w:sz w:val="22"/>
        </w:rPr>
      </w:pPr>
    </w:p>
    <w:p w14:paraId="1892AD57" w14:textId="77777777" w:rsidR="00F44D0F" w:rsidRDefault="00F44D0F">
      <w:pPr>
        <w:pStyle w:val="T1"/>
        <w:spacing w:after="120"/>
        <w:rPr>
          <w:sz w:val="22"/>
        </w:rPr>
      </w:pP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1603353F"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CIDs (</w:t>
                            </w:r>
                            <w:r w:rsidR="00A80838">
                              <w:rPr>
                                <w:rFonts w:hint="eastAsia"/>
                                <w:lang w:eastAsia="ko-KR"/>
                              </w:rPr>
                              <w:t>11</w:t>
                            </w:r>
                            <w:r w:rsidRPr="00126539">
                              <w:rPr>
                                <w:b/>
                                <w:lang w:eastAsia="ko-KR"/>
                              </w:rPr>
                              <w:t xml:space="preserve"> CIDs</w:t>
                            </w:r>
                            <w:r>
                              <w:rPr>
                                <w:lang w:eastAsia="ko-KR"/>
                              </w:rPr>
                              <w:t>):</w:t>
                            </w:r>
                          </w:p>
                          <w:p w14:paraId="21963F83" w14:textId="51D13914" w:rsidR="0013066F" w:rsidRDefault="004923F1" w:rsidP="005C0FCB">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11323, 11324, 11325, 11499, 12145, 12314, 13920, 13921, 14265, 14324</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1603353F"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w:t>
                      </w:r>
                      <w:r w:rsidR="00A80838">
                        <w:rPr>
                          <w:lang w:eastAsia="ko-KR"/>
                        </w:rPr>
                        <w:t>2.0</w:t>
                      </w:r>
                      <w:r>
                        <w:rPr>
                          <w:lang w:eastAsia="ko-KR"/>
                        </w:rPr>
                        <w:t xml:space="preserve"> with the following CIDs (</w:t>
                      </w:r>
                      <w:r w:rsidR="00A80838">
                        <w:rPr>
                          <w:rFonts w:hint="eastAsia"/>
                          <w:lang w:eastAsia="ko-KR"/>
                        </w:rPr>
                        <w:t>11</w:t>
                      </w:r>
                      <w:r w:rsidRPr="00126539">
                        <w:rPr>
                          <w:b/>
                          <w:lang w:eastAsia="ko-KR"/>
                        </w:rPr>
                        <w:t xml:space="preserve"> CIDs</w:t>
                      </w:r>
                      <w:r>
                        <w:rPr>
                          <w:lang w:eastAsia="ko-KR"/>
                        </w:rPr>
                        <w:t>):</w:t>
                      </w:r>
                    </w:p>
                    <w:p w14:paraId="21963F83" w14:textId="51D13914" w:rsidR="0013066F" w:rsidRDefault="004923F1" w:rsidP="005C0FCB">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11323, 11324, 11325, 11499, 12145, 12314, 13920, 13921, 14265, 14324</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tbl>
      <w:tblPr>
        <w:tblStyle w:val="ac"/>
        <w:tblW w:w="10201" w:type="dxa"/>
        <w:tblLook w:val="04A0" w:firstRow="1" w:lastRow="0" w:firstColumn="1" w:lastColumn="0" w:noHBand="0" w:noVBand="1"/>
      </w:tblPr>
      <w:tblGrid>
        <w:gridCol w:w="764"/>
        <w:gridCol w:w="1066"/>
        <w:gridCol w:w="2897"/>
        <w:gridCol w:w="1831"/>
        <w:gridCol w:w="2374"/>
        <w:gridCol w:w="1269"/>
      </w:tblGrid>
      <w:tr w:rsidR="0050720F" w:rsidRPr="00AA43B9" w14:paraId="1DB282EF" w14:textId="77777777" w:rsidTr="00B35DB6">
        <w:trPr>
          <w:trHeight w:val="792"/>
        </w:trPr>
        <w:tc>
          <w:tcPr>
            <w:tcW w:w="764" w:type="dxa"/>
            <w:hideMark/>
          </w:tcPr>
          <w:p w14:paraId="18350FA3" w14:textId="77777777" w:rsidR="00F80992" w:rsidRPr="00AA43B9" w:rsidRDefault="00F80992">
            <w:pPr>
              <w:rPr>
                <w:b/>
                <w:bCs/>
                <w:sz w:val="20"/>
              </w:rPr>
            </w:pPr>
            <w:r w:rsidRPr="00AA43B9">
              <w:rPr>
                <w:b/>
                <w:bCs/>
                <w:sz w:val="20"/>
              </w:rPr>
              <w:t>CID</w:t>
            </w:r>
          </w:p>
        </w:tc>
        <w:tc>
          <w:tcPr>
            <w:tcW w:w="1066" w:type="dxa"/>
            <w:hideMark/>
          </w:tcPr>
          <w:p w14:paraId="46A5B1F6" w14:textId="0E20D945" w:rsidR="00F80992" w:rsidRPr="00AA43B9" w:rsidRDefault="00F80992" w:rsidP="00AA43B9">
            <w:pPr>
              <w:rPr>
                <w:b/>
                <w:bCs/>
                <w:sz w:val="20"/>
              </w:rPr>
            </w:pPr>
            <w:proofErr w:type="spellStart"/>
            <w:r w:rsidRPr="00AA43B9">
              <w:rPr>
                <w:b/>
                <w:bCs/>
                <w:sz w:val="20"/>
              </w:rPr>
              <w:t>Page</w:t>
            </w:r>
            <w:r w:rsidR="00AA43B9" w:rsidRPr="00AA43B9">
              <w:rPr>
                <w:b/>
                <w:bCs/>
                <w:sz w:val="20"/>
              </w:rPr>
              <w:t>.Line</w:t>
            </w:r>
            <w:proofErr w:type="spellEnd"/>
          </w:p>
        </w:tc>
        <w:tc>
          <w:tcPr>
            <w:tcW w:w="2897" w:type="dxa"/>
            <w:hideMark/>
          </w:tcPr>
          <w:p w14:paraId="390D4BAD" w14:textId="77777777" w:rsidR="00F80992" w:rsidRPr="00AA43B9" w:rsidRDefault="00F80992">
            <w:pPr>
              <w:rPr>
                <w:b/>
                <w:bCs/>
                <w:sz w:val="20"/>
              </w:rPr>
            </w:pPr>
            <w:r w:rsidRPr="00AA43B9">
              <w:rPr>
                <w:b/>
                <w:bCs/>
                <w:sz w:val="20"/>
              </w:rPr>
              <w:t>Comment</w:t>
            </w:r>
          </w:p>
        </w:tc>
        <w:tc>
          <w:tcPr>
            <w:tcW w:w="1831" w:type="dxa"/>
            <w:hideMark/>
          </w:tcPr>
          <w:p w14:paraId="4E1CF7F9" w14:textId="77777777" w:rsidR="00F80992" w:rsidRPr="00AA43B9" w:rsidRDefault="00F80992">
            <w:pPr>
              <w:rPr>
                <w:b/>
                <w:bCs/>
                <w:sz w:val="20"/>
              </w:rPr>
            </w:pPr>
            <w:r w:rsidRPr="00AA43B9">
              <w:rPr>
                <w:b/>
                <w:bCs/>
                <w:sz w:val="20"/>
              </w:rPr>
              <w:t>Proposed Change</w:t>
            </w:r>
          </w:p>
        </w:tc>
        <w:tc>
          <w:tcPr>
            <w:tcW w:w="2374" w:type="dxa"/>
            <w:hideMark/>
          </w:tcPr>
          <w:p w14:paraId="4861FA47" w14:textId="77777777" w:rsidR="00F80992" w:rsidRPr="00AA43B9" w:rsidRDefault="00F80992">
            <w:pPr>
              <w:rPr>
                <w:b/>
                <w:bCs/>
                <w:sz w:val="20"/>
              </w:rPr>
            </w:pPr>
            <w:r w:rsidRPr="00AA43B9">
              <w:rPr>
                <w:b/>
                <w:bCs/>
                <w:sz w:val="20"/>
              </w:rPr>
              <w:t>Resolution</w:t>
            </w:r>
          </w:p>
        </w:tc>
        <w:tc>
          <w:tcPr>
            <w:tcW w:w="1269" w:type="dxa"/>
            <w:hideMark/>
          </w:tcPr>
          <w:p w14:paraId="71CB4211" w14:textId="77777777" w:rsidR="00F80992" w:rsidRPr="00AA43B9" w:rsidRDefault="00F80992">
            <w:pPr>
              <w:rPr>
                <w:b/>
                <w:bCs/>
                <w:sz w:val="20"/>
              </w:rPr>
            </w:pPr>
            <w:r w:rsidRPr="00AA43B9">
              <w:rPr>
                <w:b/>
                <w:bCs/>
                <w:sz w:val="20"/>
              </w:rPr>
              <w:t>Comment Group</w:t>
            </w:r>
          </w:p>
        </w:tc>
      </w:tr>
      <w:tr w:rsidR="0050720F" w:rsidRPr="00AA43B9" w14:paraId="1DCA81A7" w14:textId="77777777" w:rsidTr="00B35DB6">
        <w:trPr>
          <w:trHeight w:val="1056"/>
        </w:trPr>
        <w:tc>
          <w:tcPr>
            <w:tcW w:w="764" w:type="dxa"/>
            <w:hideMark/>
          </w:tcPr>
          <w:p w14:paraId="6455CEEF" w14:textId="77777777" w:rsidR="00F80992" w:rsidRPr="00AA43B9" w:rsidRDefault="00F80992" w:rsidP="00F80992">
            <w:pPr>
              <w:rPr>
                <w:sz w:val="20"/>
              </w:rPr>
            </w:pPr>
            <w:r w:rsidRPr="00AA43B9">
              <w:rPr>
                <w:sz w:val="20"/>
              </w:rPr>
              <w:t>11323</w:t>
            </w:r>
          </w:p>
        </w:tc>
        <w:tc>
          <w:tcPr>
            <w:tcW w:w="1066" w:type="dxa"/>
            <w:hideMark/>
          </w:tcPr>
          <w:p w14:paraId="4AF084EF" w14:textId="335DFE0E" w:rsidR="00F80992" w:rsidRPr="00AA43B9" w:rsidRDefault="00F80992">
            <w:pPr>
              <w:rPr>
                <w:sz w:val="20"/>
              </w:rPr>
            </w:pPr>
            <w:r w:rsidRPr="00AA43B9">
              <w:rPr>
                <w:sz w:val="20"/>
              </w:rPr>
              <w:t>255.44</w:t>
            </w:r>
          </w:p>
        </w:tc>
        <w:tc>
          <w:tcPr>
            <w:tcW w:w="2897" w:type="dxa"/>
            <w:hideMark/>
          </w:tcPr>
          <w:p w14:paraId="1A2AA81F" w14:textId="77777777" w:rsidR="00F80992" w:rsidRPr="00AA43B9" w:rsidRDefault="00F80992">
            <w:pPr>
              <w:rPr>
                <w:sz w:val="20"/>
              </w:rPr>
            </w:pPr>
            <w:r w:rsidRPr="00AA43B9">
              <w:rPr>
                <w:sz w:val="20"/>
              </w:rPr>
              <w:t>The statement is confusing. Is it either, or both? Does it apply to all values? And should it be a note?</w:t>
            </w:r>
          </w:p>
        </w:tc>
        <w:tc>
          <w:tcPr>
            <w:tcW w:w="1831" w:type="dxa"/>
            <w:hideMark/>
          </w:tcPr>
          <w:p w14:paraId="71806A7A" w14:textId="77777777" w:rsidR="00F80992" w:rsidRPr="00AA43B9" w:rsidRDefault="00F80992">
            <w:pPr>
              <w:rPr>
                <w:sz w:val="20"/>
              </w:rPr>
            </w:pPr>
            <w:r w:rsidRPr="00AA43B9">
              <w:rPr>
                <w:sz w:val="20"/>
              </w:rPr>
              <w:t>As in comment.</w:t>
            </w:r>
          </w:p>
        </w:tc>
        <w:tc>
          <w:tcPr>
            <w:tcW w:w="2374" w:type="dxa"/>
            <w:hideMark/>
          </w:tcPr>
          <w:p w14:paraId="4F87366D" w14:textId="77777777" w:rsidR="00F80992" w:rsidRPr="00AA43B9" w:rsidRDefault="00AD7E65">
            <w:pPr>
              <w:rPr>
                <w:sz w:val="20"/>
                <w:lang w:eastAsia="ko-KR"/>
              </w:rPr>
            </w:pPr>
            <w:r w:rsidRPr="00AA43B9">
              <w:rPr>
                <w:rFonts w:hint="eastAsia"/>
                <w:sz w:val="20"/>
                <w:lang w:eastAsia="ko-KR"/>
              </w:rPr>
              <w:t>Revised.</w:t>
            </w:r>
          </w:p>
          <w:p w14:paraId="70B40650" w14:textId="77777777" w:rsidR="00AD7E65" w:rsidRDefault="00AD7E65">
            <w:pPr>
              <w:rPr>
                <w:sz w:val="20"/>
                <w:lang w:eastAsia="ko-KR"/>
              </w:rPr>
            </w:pPr>
          </w:p>
          <w:p w14:paraId="3B35B336" w14:textId="09CA6E51" w:rsidR="00E5279A" w:rsidRPr="00AA43B9" w:rsidRDefault="004360D7">
            <w:pPr>
              <w:rPr>
                <w:sz w:val="20"/>
                <w:lang w:eastAsia="ko-KR"/>
              </w:rPr>
            </w:pPr>
            <w:r>
              <w:rPr>
                <w:rFonts w:hint="eastAsia"/>
                <w:sz w:val="20"/>
                <w:lang w:eastAsia="ko-KR"/>
              </w:rPr>
              <w:t xml:space="preserve">Agree </w:t>
            </w:r>
            <w:r>
              <w:rPr>
                <w:sz w:val="20"/>
                <w:lang w:eastAsia="ko-KR"/>
              </w:rPr>
              <w:t>in principal</w:t>
            </w:r>
            <w:r w:rsidR="00E5279A">
              <w:rPr>
                <w:rFonts w:hint="eastAsia"/>
                <w:sz w:val="20"/>
                <w:lang w:eastAsia="ko-KR"/>
              </w:rPr>
              <w:t>.</w:t>
            </w:r>
          </w:p>
          <w:p w14:paraId="6681B385" w14:textId="38C6F11C" w:rsidR="00AD7E65" w:rsidRPr="00AA43B9" w:rsidRDefault="00AD7E65" w:rsidP="00124CF4">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11-18/0</w:t>
            </w:r>
            <w:r w:rsidR="00124CF4">
              <w:rPr>
                <w:bCs/>
                <w:sz w:val="20"/>
                <w:lang w:val="en-US" w:eastAsia="ko-KR"/>
              </w:rPr>
              <w:t>108</w:t>
            </w:r>
            <w:r w:rsidRPr="00AA43B9">
              <w:rPr>
                <w:bCs/>
                <w:sz w:val="20"/>
                <w:lang w:val="en-US" w:eastAsia="ko-KR"/>
              </w:rPr>
              <w:t>r0 under 11323</w:t>
            </w:r>
            <w:r w:rsidR="00AF5418">
              <w:rPr>
                <w:bCs/>
                <w:sz w:val="20"/>
                <w:lang w:val="en-US" w:eastAsia="ko-KR"/>
              </w:rPr>
              <w:t>.</w:t>
            </w:r>
          </w:p>
        </w:tc>
        <w:tc>
          <w:tcPr>
            <w:tcW w:w="1269" w:type="dxa"/>
            <w:hideMark/>
          </w:tcPr>
          <w:p w14:paraId="18D0D00F" w14:textId="77777777" w:rsidR="00F80992" w:rsidRPr="00AA43B9" w:rsidRDefault="00F80992">
            <w:pPr>
              <w:rPr>
                <w:sz w:val="20"/>
              </w:rPr>
            </w:pPr>
            <w:r w:rsidRPr="00AA43B9">
              <w:rPr>
                <w:sz w:val="20"/>
              </w:rPr>
              <w:t>MU operation</w:t>
            </w:r>
          </w:p>
        </w:tc>
      </w:tr>
      <w:tr w:rsidR="0050720F" w:rsidRPr="00AA43B9" w14:paraId="28B17152" w14:textId="77777777" w:rsidTr="00B35DB6">
        <w:trPr>
          <w:trHeight w:val="792"/>
        </w:trPr>
        <w:tc>
          <w:tcPr>
            <w:tcW w:w="764" w:type="dxa"/>
            <w:hideMark/>
          </w:tcPr>
          <w:p w14:paraId="7CDCB1F7" w14:textId="113FD622" w:rsidR="00F80992" w:rsidRPr="00AA43B9" w:rsidRDefault="00F80992" w:rsidP="00F80992">
            <w:pPr>
              <w:rPr>
                <w:sz w:val="20"/>
              </w:rPr>
            </w:pPr>
            <w:r w:rsidRPr="00AA43B9">
              <w:rPr>
                <w:sz w:val="20"/>
              </w:rPr>
              <w:t>11324</w:t>
            </w:r>
          </w:p>
        </w:tc>
        <w:tc>
          <w:tcPr>
            <w:tcW w:w="1066" w:type="dxa"/>
            <w:hideMark/>
          </w:tcPr>
          <w:p w14:paraId="39A449D1" w14:textId="37E83A33" w:rsidR="00F80992" w:rsidRPr="00AA43B9" w:rsidRDefault="00F80992">
            <w:pPr>
              <w:rPr>
                <w:sz w:val="20"/>
              </w:rPr>
            </w:pPr>
            <w:r w:rsidRPr="00AA43B9">
              <w:rPr>
                <w:sz w:val="20"/>
              </w:rPr>
              <w:t>255.44</w:t>
            </w:r>
          </w:p>
        </w:tc>
        <w:tc>
          <w:tcPr>
            <w:tcW w:w="2897" w:type="dxa"/>
            <w:hideMark/>
          </w:tcPr>
          <w:p w14:paraId="08C83FEB" w14:textId="77777777" w:rsidR="00F80992" w:rsidRPr="00AA43B9" w:rsidRDefault="00F80992">
            <w:pPr>
              <w:rPr>
                <w:sz w:val="20"/>
              </w:rPr>
            </w:pPr>
            <w:r w:rsidRPr="00AA43B9">
              <w:rPr>
                <w:sz w:val="20"/>
              </w:rPr>
              <w:t>What does the STA that sets the UL MU Disable bit to 1? Does it still send BSRs?</w:t>
            </w:r>
          </w:p>
        </w:tc>
        <w:tc>
          <w:tcPr>
            <w:tcW w:w="1831" w:type="dxa"/>
            <w:hideMark/>
          </w:tcPr>
          <w:p w14:paraId="0548C529" w14:textId="77777777" w:rsidR="00F80992" w:rsidRPr="00AA43B9" w:rsidRDefault="00F80992">
            <w:pPr>
              <w:rPr>
                <w:sz w:val="20"/>
              </w:rPr>
            </w:pPr>
            <w:r w:rsidRPr="00AA43B9">
              <w:rPr>
                <w:sz w:val="20"/>
              </w:rPr>
              <w:t>As in comment.</w:t>
            </w:r>
          </w:p>
        </w:tc>
        <w:tc>
          <w:tcPr>
            <w:tcW w:w="2374" w:type="dxa"/>
            <w:hideMark/>
          </w:tcPr>
          <w:p w14:paraId="5FAC65D6" w14:textId="77777777" w:rsidR="00F80992" w:rsidRDefault="00581A84">
            <w:pPr>
              <w:rPr>
                <w:sz w:val="20"/>
                <w:lang w:eastAsia="ko-KR"/>
              </w:rPr>
            </w:pPr>
            <w:r>
              <w:rPr>
                <w:rFonts w:hint="eastAsia"/>
                <w:sz w:val="20"/>
                <w:lang w:eastAsia="ko-KR"/>
              </w:rPr>
              <w:t>Revised.</w:t>
            </w:r>
          </w:p>
          <w:p w14:paraId="69EBBC21" w14:textId="77777777" w:rsidR="00581A84" w:rsidRDefault="00581A84">
            <w:pPr>
              <w:rPr>
                <w:sz w:val="20"/>
                <w:lang w:eastAsia="ko-KR"/>
              </w:rPr>
            </w:pPr>
          </w:p>
          <w:p w14:paraId="14B91E02" w14:textId="491E07FD" w:rsidR="00581A84" w:rsidRDefault="00581A84" w:rsidP="00BA6660">
            <w:pPr>
              <w:rPr>
                <w:sz w:val="20"/>
                <w:lang w:eastAsia="ko-KR"/>
              </w:rPr>
            </w:pPr>
            <w:r>
              <w:rPr>
                <w:sz w:val="20"/>
                <w:lang w:eastAsia="ko-KR"/>
              </w:rPr>
              <w:t xml:space="preserve">An AP </w:t>
            </w:r>
            <w:r w:rsidR="00BA6660">
              <w:rPr>
                <w:sz w:val="20"/>
                <w:lang w:eastAsia="ko-KR"/>
              </w:rPr>
              <w:t>should</w:t>
            </w:r>
            <w:r>
              <w:rPr>
                <w:sz w:val="20"/>
                <w:lang w:eastAsia="ko-KR"/>
              </w:rPr>
              <w:t xml:space="preserve"> not send a BSRP Trigger frame containing a STAID </w:t>
            </w:r>
            <w:r w:rsidR="00BA6660">
              <w:rPr>
                <w:sz w:val="20"/>
                <w:lang w:eastAsia="ko-KR"/>
              </w:rPr>
              <w:t>whose</w:t>
            </w:r>
            <w:r>
              <w:rPr>
                <w:sz w:val="20"/>
                <w:lang w:eastAsia="ko-KR"/>
              </w:rPr>
              <w:t xml:space="preserve"> sets the UL MU Disable bit to 1.</w:t>
            </w:r>
          </w:p>
          <w:p w14:paraId="4D512737" w14:textId="77777777" w:rsidR="00BA6660" w:rsidRDefault="00BA6660" w:rsidP="00BA6660">
            <w:pPr>
              <w:rPr>
                <w:sz w:val="20"/>
                <w:lang w:eastAsia="ko-KR"/>
              </w:rPr>
            </w:pPr>
            <w:r>
              <w:rPr>
                <w:rFonts w:hint="eastAsia"/>
                <w:sz w:val="20"/>
                <w:lang w:eastAsia="ko-KR"/>
              </w:rPr>
              <w:t xml:space="preserve">Unsolicited BSR is not disallowed to the STA that </w:t>
            </w:r>
            <w:r>
              <w:rPr>
                <w:sz w:val="20"/>
                <w:lang w:eastAsia="ko-KR"/>
              </w:rPr>
              <w:t>sets the UL MU Disable bit to 1.</w:t>
            </w:r>
          </w:p>
          <w:p w14:paraId="53C05E81" w14:textId="0B003515" w:rsidR="00BA6660" w:rsidRPr="00AA43B9" w:rsidRDefault="00BA6660" w:rsidP="00BA6660">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 xml:space="preserve">r0 </w:t>
            </w:r>
            <w:r w:rsidRPr="00AA43B9">
              <w:rPr>
                <w:bCs/>
                <w:sz w:val="20"/>
                <w:lang w:val="en-US" w:eastAsia="ko-KR"/>
              </w:rPr>
              <w:t>under 1132</w:t>
            </w:r>
            <w:r>
              <w:rPr>
                <w:bCs/>
                <w:sz w:val="20"/>
                <w:lang w:val="en-US" w:eastAsia="ko-KR"/>
              </w:rPr>
              <w:t>4</w:t>
            </w:r>
            <w:r w:rsidR="00AF5418">
              <w:rPr>
                <w:bCs/>
                <w:sz w:val="20"/>
                <w:lang w:val="en-US" w:eastAsia="ko-KR"/>
              </w:rPr>
              <w:t>.</w:t>
            </w:r>
          </w:p>
        </w:tc>
        <w:tc>
          <w:tcPr>
            <w:tcW w:w="1269" w:type="dxa"/>
            <w:hideMark/>
          </w:tcPr>
          <w:p w14:paraId="15F665F0" w14:textId="77777777" w:rsidR="00F80992" w:rsidRPr="00AA43B9" w:rsidRDefault="00F80992">
            <w:pPr>
              <w:rPr>
                <w:sz w:val="20"/>
              </w:rPr>
            </w:pPr>
            <w:r w:rsidRPr="00AA43B9">
              <w:rPr>
                <w:sz w:val="20"/>
              </w:rPr>
              <w:t>MU operation</w:t>
            </w:r>
          </w:p>
        </w:tc>
      </w:tr>
      <w:tr w:rsidR="0050720F" w:rsidRPr="00AA43B9" w14:paraId="181CB73F" w14:textId="77777777" w:rsidTr="00B35DB6">
        <w:trPr>
          <w:trHeight w:val="1056"/>
        </w:trPr>
        <w:tc>
          <w:tcPr>
            <w:tcW w:w="764" w:type="dxa"/>
            <w:hideMark/>
          </w:tcPr>
          <w:p w14:paraId="3A55150E" w14:textId="3D5A3C60" w:rsidR="00F80992" w:rsidRPr="00AA43B9" w:rsidRDefault="00F80992" w:rsidP="00F80992">
            <w:pPr>
              <w:rPr>
                <w:sz w:val="20"/>
              </w:rPr>
            </w:pPr>
            <w:r w:rsidRPr="00AA43B9">
              <w:rPr>
                <w:sz w:val="20"/>
              </w:rPr>
              <w:t>11325</w:t>
            </w:r>
          </w:p>
        </w:tc>
        <w:tc>
          <w:tcPr>
            <w:tcW w:w="1066" w:type="dxa"/>
            <w:hideMark/>
          </w:tcPr>
          <w:p w14:paraId="6D1591C0" w14:textId="630D8B92" w:rsidR="00F80992" w:rsidRPr="00AA43B9" w:rsidRDefault="00F80992">
            <w:pPr>
              <w:rPr>
                <w:sz w:val="20"/>
              </w:rPr>
            </w:pPr>
            <w:r w:rsidRPr="00AA43B9">
              <w:rPr>
                <w:sz w:val="20"/>
              </w:rPr>
              <w:t>255.58</w:t>
            </w:r>
          </w:p>
        </w:tc>
        <w:tc>
          <w:tcPr>
            <w:tcW w:w="2897" w:type="dxa"/>
            <w:hideMark/>
          </w:tcPr>
          <w:p w14:paraId="6AD4AC33" w14:textId="77777777" w:rsidR="00F80992" w:rsidRPr="00AA43B9" w:rsidRDefault="00F80992">
            <w:pPr>
              <w:rPr>
                <w:sz w:val="20"/>
              </w:rPr>
            </w:pPr>
            <w:r w:rsidRPr="00AA43B9">
              <w:rPr>
                <w:sz w:val="20"/>
              </w:rPr>
              <w:t>Same observation. The statement is confusing. Is it either, or both? Does it apply to all values</w:t>
            </w:r>
            <w:proofErr w:type="gramStart"/>
            <w:r w:rsidRPr="00AA43B9">
              <w:rPr>
                <w:sz w:val="20"/>
              </w:rPr>
              <w:t>?.</w:t>
            </w:r>
            <w:proofErr w:type="gramEnd"/>
          </w:p>
        </w:tc>
        <w:tc>
          <w:tcPr>
            <w:tcW w:w="1831" w:type="dxa"/>
            <w:hideMark/>
          </w:tcPr>
          <w:p w14:paraId="7BDF114B" w14:textId="77777777" w:rsidR="00F80992" w:rsidRPr="00AA43B9" w:rsidRDefault="00F80992">
            <w:pPr>
              <w:rPr>
                <w:sz w:val="20"/>
              </w:rPr>
            </w:pPr>
            <w:r w:rsidRPr="00AA43B9">
              <w:rPr>
                <w:sz w:val="20"/>
              </w:rPr>
              <w:t>As in comment.</w:t>
            </w:r>
          </w:p>
        </w:tc>
        <w:tc>
          <w:tcPr>
            <w:tcW w:w="2374" w:type="dxa"/>
            <w:hideMark/>
          </w:tcPr>
          <w:p w14:paraId="0098ADCF" w14:textId="77777777" w:rsidR="004C122F" w:rsidRDefault="004C122F" w:rsidP="004C122F">
            <w:pPr>
              <w:rPr>
                <w:sz w:val="20"/>
                <w:lang w:eastAsia="ko-KR"/>
              </w:rPr>
            </w:pPr>
            <w:r>
              <w:rPr>
                <w:rFonts w:hint="eastAsia"/>
                <w:sz w:val="20"/>
                <w:lang w:eastAsia="ko-KR"/>
              </w:rPr>
              <w:t>Revised.</w:t>
            </w:r>
          </w:p>
          <w:p w14:paraId="10287A96" w14:textId="77777777" w:rsidR="004C122F" w:rsidRDefault="004C122F">
            <w:pPr>
              <w:rPr>
                <w:sz w:val="20"/>
                <w:lang w:eastAsia="ko-KR"/>
              </w:rPr>
            </w:pPr>
          </w:p>
          <w:p w14:paraId="5C6CC32E" w14:textId="77777777" w:rsidR="00F80992" w:rsidRDefault="004C122F" w:rsidP="00AF5418">
            <w:pPr>
              <w:rPr>
                <w:sz w:val="20"/>
                <w:lang w:eastAsia="ko-KR"/>
              </w:rPr>
            </w:pPr>
            <w:r>
              <w:rPr>
                <w:rFonts w:hint="eastAsia"/>
                <w:sz w:val="20"/>
                <w:lang w:eastAsia="ko-KR"/>
              </w:rPr>
              <w:t xml:space="preserve">Both </w:t>
            </w:r>
            <w:r>
              <w:rPr>
                <w:sz w:val="20"/>
                <w:lang w:eastAsia="ko-KR"/>
              </w:rPr>
              <w:t>c</w:t>
            </w:r>
            <w:r w:rsidR="00AF5418">
              <w:rPr>
                <w:sz w:val="20"/>
                <w:lang w:eastAsia="ko-KR"/>
              </w:rPr>
              <w:t>an be applied, and the value other than 255 can be set.</w:t>
            </w:r>
          </w:p>
          <w:p w14:paraId="37A75253" w14:textId="21197B0D" w:rsidR="00AF5418" w:rsidRPr="00AA43B9" w:rsidRDefault="00AF5418" w:rsidP="00AF5418">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 xml:space="preserve">r0 </w:t>
            </w:r>
            <w:r w:rsidRPr="00AA43B9">
              <w:rPr>
                <w:bCs/>
                <w:sz w:val="20"/>
                <w:lang w:val="en-US" w:eastAsia="ko-KR"/>
              </w:rPr>
              <w:t>under 1132</w:t>
            </w:r>
            <w:r>
              <w:rPr>
                <w:bCs/>
                <w:sz w:val="20"/>
                <w:lang w:val="en-US" w:eastAsia="ko-KR"/>
              </w:rPr>
              <w:t>5.</w:t>
            </w:r>
          </w:p>
        </w:tc>
        <w:tc>
          <w:tcPr>
            <w:tcW w:w="1269" w:type="dxa"/>
            <w:hideMark/>
          </w:tcPr>
          <w:p w14:paraId="290DF92B" w14:textId="77777777" w:rsidR="00F80992" w:rsidRPr="00AA43B9" w:rsidRDefault="00F80992">
            <w:pPr>
              <w:rPr>
                <w:sz w:val="20"/>
              </w:rPr>
            </w:pPr>
            <w:r w:rsidRPr="00AA43B9">
              <w:rPr>
                <w:sz w:val="20"/>
              </w:rPr>
              <w:t>MU operation</w:t>
            </w:r>
          </w:p>
        </w:tc>
      </w:tr>
      <w:tr w:rsidR="0050720F" w:rsidRPr="00AA43B9" w14:paraId="58E6F580" w14:textId="77777777" w:rsidTr="00B35DB6">
        <w:trPr>
          <w:trHeight w:val="1848"/>
        </w:trPr>
        <w:tc>
          <w:tcPr>
            <w:tcW w:w="764" w:type="dxa"/>
            <w:hideMark/>
          </w:tcPr>
          <w:p w14:paraId="20AEB073" w14:textId="5388B3AC" w:rsidR="00F80992" w:rsidRPr="00AA43B9" w:rsidRDefault="00F80992" w:rsidP="00F80992">
            <w:pPr>
              <w:rPr>
                <w:sz w:val="20"/>
              </w:rPr>
            </w:pPr>
            <w:r w:rsidRPr="00AA43B9">
              <w:rPr>
                <w:sz w:val="20"/>
              </w:rPr>
              <w:t>11499</w:t>
            </w:r>
          </w:p>
        </w:tc>
        <w:tc>
          <w:tcPr>
            <w:tcW w:w="1066" w:type="dxa"/>
            <w:hideMark/>
          </w:tcPr>
          <w:p w14:paraId="68B3E6F8" w14:textId="19B0401A" w:rsidR="00F80992" w:rsidRPr="00AA43B9" w:rsidRDefault="00F80992">
            <w:pPr>
              <w:rPr>
                <w:sz w:val="20"/>
              </w:rPr>
            </w:pPr>
            <w:r w:rsidRPr="00AA43B9">
              <w:rPr>
                <w:sz w:val="20"/>
              </w:rPr>
              <w:t>254.49</w:t>
            </w:r>
          </w:p>
        </w:tc>
        <w:tc>
          <w:tcPr>
            <w:tcW w:w="2897" w:type="dxa"/>
            <w:hideMark/>
          </w:tcPr>
          <w:p w14:paraId="0BB56EA7" w14:textId="77777777" w:rsidR="00F80992" w:rsidRPr="00AA43B9" w:rsidRDefault="00F80992">
            <w:pPr>
              <w:rPr>
                <w:sz w:val="20"/>
              </w:rPr>
            </w:pPr>
            <w:r w:rsidRPr="00AA43B9">
              <w:rPr>
                <w:sz w:val="20"/>
              </w:rPr>
              <w:t>The Queue size High and Queue Size All in the BSR Control is poorly designed. It doesn't provide sufficient information of UL OFDMA/MIMO scheduling. Need a better design.</w:t>
            </w:r>
          </w:p>
        </w:tc>
        <w:tc>
          <w:tcPr>
            <w:tcW w:w="1831" w:type="dxa"/>
            <w:hideMark/>
          </w:tcPr>
          <w:p w14:paraId="4A62A4C1" w14:textId="77777777" w:rsidR="00F80992" w:rsidRPr="00AA43B9" w:rsidRDefault="00F80992">
            <w:pPr>
              <w:rPr>
                <w:sz w:val="20"/>
              </w:rPr>
            </w:pPr>
            <w:r w:rsidRPr="00AA43B9">
              <w:rPr>
                <w:sz w:val="20"/>
              </w:rPr>
              <w:t>as in the comment</w:t>
            </w:r>
          </w:p>
        </w:tc>
        <w:tc>
          <w:tcPr>
            <w:tcW w:w="2374" w:type="dxa"/>
            <w:hideMark/>
          </w:tcPr>
          <w:p w14:paraId="7FA55D1A" w14:textId="77777777" w:rsidR="00F80992" w:rsidRDefault="009870BB">
            <w:pPr>
              <w:rPr>
                <w:sz w:val="20"/>
                <w:lang w:eastAsia="ko-KR"/>
              </w:rPr>
            </w:pPr>
            <w:r>
              <w:rPr>
                <w:rFonts w:hint="eastAsia"/>
                <w:sz w:val="20"/>
                <w:lang w:eastAsia="ko-KR"/>
              </w:rPr>
              <w:t>Rejected.</w:t>
            </w:r>
          </w:p>
          <w:p w14:paraId="207E8DD1" w14:textId="77777777" w:rsidR="009870BB" w:rsidRDefault="009870BB">
            <w:pPr>
              <w:rPr>
                <w:sz w:val="20"/>
                <w:lang w:eastAsia="ko-KR"/>
              </w:rPr>
            </w:pPr>
          </w:p>
          <w:p w14:paraId="5AB4A89C" w14:textId="6C2F933D" w:rsidR="009870BB" w:rsidRDefault="00DA74EB">
            <w:pPr>
              <w:rPr>
                <w:sz w:val="20"/>
                <w:lang w:eastAsia="ko-KR"/>
              </w:rPr>
            </w:pPr>
            <w:r>
              <w:rPr>
                <w:sz w:val="20"/>
                <w:lang w:eastAsia="ko-KR"/>
              </w:rPr>
              <w:t xml:space="preserve">The </w:t>
            </w:r>
            <w:r>
              <w:rPr>
                <w:rFonts w:hint="eastAsia"/>
                <w:sz w:val="20"/>
                <w:lang w:eastAsia="ko-KR"/>
              </w:rPr>
              <w:t>Q</w:t>
            </w:r>
            <w:r>
              <w:rPr>
                <w:sz w:val="20"/>
                <w:lang w:eastAsia="ko-KR"/>
              </w:rPr>
              <w:t>ueue Size High value is useful for an AP to set the value of the Preferred AC subfield in a Trigger frame, and the Queue Size All value is useful for an AP to determine the RU size and HE TB PPDU length. They provide sufficient information for UL MU scheduling.</w:t>
            </w:r>
          </w:p>
          <w:p w14:paraId="455760C5" w14:textId="6E44A682" w:rsidR="00DA74EB" w:rsidRPr="00AA43B9" w:rsidRDefault="00DA74EB">
            <w:pPr>
              <w:rPr>
                <w:sz w:val="20"/>
                <w:lang w:eastAsia="ko-KR"/>
              </w:rPr>
            </w:pPr>
          </w:p>
        </w:tc>
        <w:tc>
          <w:tcPr>
            <w:tcW w:w="1269" w:type="dxa"/>
            <w:hideMark/>
          </w:tcPr>
          <w:p w14:paraId="44284B8B" w14:textId="77777777" w:rsidR="00F80992" w:rsidRPr="00AA43B9" w:rsidRDefault="00F80992">
            <w:pPr>
              <w:rPr>
                <w:sz w:val="20"/>
              </w:rPr>
            </w:pPr>
            <w:r w:rsidRPr="00AA43B9">
              <w:rPr>
                <w:sz w:val="20"/>
              </w:rPr>
              <w:lastRenderedPageBreak/>
              <w:t>MU operation</w:t>
            </w:r>
          </w:p>
        </w:tc>
      </w:tr>
      <w:tr w:rsidR="0050720F" w:rsidRPr="00AA43B9" w14:paraId="7BFA6F78" w14:textId="77777777" w:rsidTr="00B35DB6">
        <w:trPr>
          <w:trHeight w:val="1056"/>
        </w:trPr>
        <w:tc>
          <w:tcPr>
            <w:tcW w:w="764" w:type="dxa"/>
            <w:hideMark/>
          </w:tcPr>
          <w:p w14:paraId="2F651FD2" w14:textId="5FB54B5A" w:rsidR="00F80992" w:rsidRPr="00AA43B9" w:rsidRDefault="00F80992" w:rsidP="00F80992">
            <w:pPr>
              <w:rPr>
                <w:sz w:val="20"/>
              </w:rPr>
            </w:pPr>
            <w:r w:rsidRPr="00AA43B9">
              <w:rPr>
                <w:sz w:val="20"/>
              </w:rPr>
              <w:t>12145</w:t>
            </w:r>
          </w:p>
        </w:tc>
        <w:tc>
          <w:tcPr>
            <w:tcW w:w="1066" w:type="dxa"/>
            <w:hideMark/>
          </w:tcPr>
          <w:p w14:paraId="5582797B" w14:textId="1997D3AE" w:rsidR="00F80992" w:rsidRPr="00AA43B9" w:rsidRDefault="00F80992">
            <w:pPr>
              <w:rPr>
                <w:sz w:val="20"/>
              </w:rPr>
            </w:pPr>
            <w:r w:rsidRPr="00AA43B9">
              <w:rPr>
                <w:sz w:val="20"/>
              </w:rPr>
              <w:t>255.61</w:t>
            </w:r>
          </w:p>
        </w:tc>
        <w:tc>
          <w:tcPr>
            <w:tcW w:w="2897" w:type="dxa"/>
            <w:hideMark/>
          </w:tcPr>
          <w:p w14:paraId="56955F21" w14:textId="77777777" w:rsidR="00F80992" w:rsidRPr="00AA43B9" w:rsidRDefault="00F80992">
            <w:pPr>
              <w:rPr>
                <w:sz w:val="20"/>
              </w:rPr>
            </w:pPr>
            <w:r w:rsidRPr="00AA43B9">
              <w:rPr>
                <w:sz w:val="20"/>
              </w:rPr>
              <w:t>Change "the BSRP A-MPDU Aggregation field" to "BSRP BQRP A-MPDU Aggregation field"</w:t>
            </w:r>
          </w:p>
        </w:tc>
        <w:tc>
          <w:tcPr>
            <w:tcW w:w="1831" w:type="dxa"/>
            <w:hideMark/>
          </w:tcPr>
          <w:p w14:paraId="3B6F526D" w14:textId="77777777" w:rsidR="00F80992" w:rsidRPr="00AA43B9" w:rsidRDefault="00F80992">
            <w:pPr>
              <w:rPr>
                <w:sz w:val="20"/>
              </w:rPr>
            </w:pPr>
            <w:r w:rsidRPr="00AA43B9">
              <w:rPr>
                <w:sz w:val="20"/>
              </w:rPr>
              <w:t>as comment</w:t>
            </w:r>
          </w:p>
        </w:tc>
        <w:tc>
          <w:tcPr>
            <w:tcW w:w="2374" w:type="dxa"/>
            <w:hideMark/>
          </w:tcPr>
          <w:p w14:paraId="37F100EA" w14:textId="77777777" w:rsidR="00F80992" w:rsidRDefault="0050720F" w:rsidP="0050720F">
            <w:pPr>
              <w:rPr>
                <w:sz w:val="20"/>
                <w:lang w:eastAsia="ko-KR"/>
              </w:rPr>
            </w:pPr>
            <w:r>
              <w:rPr>
                <w:sz w:val="20"/>
                <w:lang w:eastAsia="ko-KR"/>
              </w:rPr>
              <w:t>Revised.</w:t>
            </w:r>
          </w:p>
          <w:p w14:paraId="33BCD5B8" w14:textId="77777777" w:rsidR="0050720F" w:rsidRDefault="0050720F" w:rsidP="0050720F">
            <w:pPr>
              <w:rPr>
                <w:sz w:val="20"/>
                <w:lang w:eastAsia="ko-KR"/>
              </w:rPr>
            </w:pPr>
          </w:p>
          <w:p w14:paraId="00633FB3" w14:textId="77777777" w:rsidR="0050720F" w:rsidRDefault="006713F0" w:rsidP="0050720F">
            <w:pPr>
              <w:rPr>
                <w:sz w:val="20"/>
                <w:lang w:eastAsia="ko-KR"/>
              </w:rPr>
            </w:pPr>
            <w:r>
              <w:rPr>
                <w:rFonts w:hint="eastAsia"/>
                <w:sz w:val="20"/>
                <w:lang w:eastAsia="ko-KR"/>
              </w:rPr>
              <w:t>Agree in principal.</w:t>
            </w:r>
          </w:p>
          <w:p w14:paraId="68E3C1A6" w14:textId="2DF2562A" w:rsidR="006713F0" w:rsidRDefault="006713F0" w:rsidP="0050720F">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 xml:space="preserve">r0 </w:t>
            </w:r>
            <w:r w:rsidRPr="00AA43B9">
              <w:rPr>
                <w:bCs/>
                <w:sz w:val="20"/>
                <w:lang w:val="en-US" w:eastAsia="ko-KR"/>
              </w:rPr>
              <w:t>under 1</w:t>
            </w:r>
            <w:r>
              <w:rPr>
                <w:bCs/>
                <w:sz w:val="20"/>
                <w:lang w:val="en-US" w:eastAsia="ko-KR"/>
              </w:rPr>
              <w:t>2145.</w:t>
            </w:r>
          </w:p>
          <w:p w14:paraId="38B9E67B" w14:textId="596FFAAF" w:rsidR="006713F0" w:rsidRPr="00AA43B9" w:rsidRDefault="006713F0" w:rsidP="0050720F">
            <w:pPr>
              <w:rPr>
                <w:sz w:val="20"/>
                <w:lang w:eastAsia="ko-KR"/>
              </w:rPr>
            </w:pPr>
          </w:p>
        </w:tc>
        <w:tc>
          <w:tcPr>
            <w:tcW w:w="1269" w:type="dxa"/>
            <w:hideMark/>
          </w:tcPr>
          <w:p w14:paraId="4ECBD014" w14:textId="77777777" w:rsidR="00F80992" w:rsidRPr="00AA43B9" w:rsidRDefault="00F80992">
            <w:pPr>
              <w:rPr>
                <w:sz w:val="20"/>
              </w:rPr>
            </w:pPr>
            <w:r w:rsidRPr="00AA43B9">
              <w:rPr>
                <w:sz w:val="20"/>
              </w:rPr>
              <w:t>Editorials</w:t>
            </w:r>
          </w:p>
        </w:tc>
      </w:tr>
      <w:tr w:rsidR="0050720F" w:rsidRPr="00AA43B9" w14:paraId="140BB7F1" w14:textId="77777777" w:rsidTr="00B35DB6">
        <w:trPr>
          <w:trHeight w:val="1584"/>
        </w:trPr>
        <w:tc>
          <w:tcPr>
            <w:tcW w:w="764" w:type="dxa"/>
            <w:hideMark/>
          </w:tcPr>
          <w:p w14:paraId="743F4031" w14:textId="7A8F5CB0" w:rsidR="00F80992" w:rsidRPr="00AA43B9" w:rsidRDefault="00F80992" w:rsidP="00F80992">
            <w:pPr>
              <w:rPr>
                <w:sz w:val="20"/>
              </w:rPr>
            </w:pPr>
            <w:r w:rsidRPr="00AA43B9">
              <w:rPr>
                <w:sz w:val="20"/>
              </w:rPr>
              <w:t>12314</w:t>
            </w:r>
          </w:p>
        </w:tc>
        <w:tc>
          <w:tcPr>
            <w:tcW w:w="1066" w:type="dxa"/>
            <w:hideMark/>
          </w:tcPr>
          <w:p w14:paraId="398E7B3B" w14:textId="560725D3" w:rsidR="00F80992" w:rsidRPr="00AA43B9" w:rsidRDefault="00F80992">
            <w:pPr>
              <w:rPr>
                <w:sz w:val="20"/>
              </w:rPr>
            </w:pPr>
            <w:r w:rsidRPr="00AA43B9">
              <w:rPr>
                <w:sz w:val="20"/>
              </w:rPr>
              <w:t>254.48</w:t>
            </w:r>
          </w:p>
        </w:tc>
        <w:tc>
          <w:tcPr>
            <w:tcW w:w="2897" w:type="dxa"/>
            <w:hideMark/>
          </w:tcPr>
          <w:p w14:paraId="5125AC84" w14:textId="77777777" w:rsidR="00F80992" w:rsidRPr="00AA43B9" w:rsidRDefault="00F80992">
            <w:pPr>
              <w:rPr>
                <w:sz w:val="20"/>
              </w:rPr>
            </w:pPr>
            <w:r w:rsidRPr="00AA43B9">
              <w:rPr>
                <w:sz w:val="20"/>
              </w:rPr>
              <w:t>The section on buffer status feedback operation for UL MU should describe the possibility to use NDP feedback report procedure to make a resource request</w:t>
            </w:r>
          </w:p>
        </w:tc>
        <w:tc>
          <w:tcPr>
            <w:tcW w:w="1831" w:type="dxa"/>
            <w:hideMark/>
          </w:tcPr>
          <w:p w14:paraId="2D5817A6" w14:textId="77777777" w:rsidR="00F80992" w:rsidRPr="00AA43B9" w:rsidRDefault="00F80992">
            <w:pPr>
              <w:rPr>
                <w:sz w:val="20"/>
              </w:rPr>
            </w:pPr>
            <w:r w:rsidRPr="00AA43B9">
              <w:rPr>
                <w:sz w:val="20"/>
              </w:rPr>
              <w:t>Add the option of NDP feedback report with resource request type as an additional complementary solution for buffer status report.</w:t>
            </w:r>
          </w:p>
        </w:tc>
        <w:tc>
          <w:tcPr>
            <w:tcW w:w="2374" w:type="dxa"/>
          </w:tcPr>
          <w:p w14:paraId="35F6DC90" w14:textId="77777777" w:rsidR="00F80992" w:rsidRDefault="004360D7">
            <w:pPr>
              <w:rPr>
                <w:sz w:val="20"/>
                <w:lang w:eastAsia="ko-KR"/>
              </w:rPr>
            </w:pPr>
            <w:r>
              <w:rPr>
                <w:rFonts w:hint="eastAsia"/>
                <w:sz w:val="20"/>
                <w:lang w:eastAsia="ko-KR"/>
              </w:rPr>
              <w:t>Revised.</w:t>
            </w:r>
          </w:p>
          <w:p w14:paraId="54B76C65" w14:textId="77777777" w:rsidR="004360D7" w:rsidRDefault="004360D7">
            <w:pPr>
              <w:rPr>
                <w:sz w:val="20"/>
                <w:lang w:eastAsia="ko-KR"/>
              </w:rPr>
            </w:pPr>
          </w:p>
          <w:p w14:paraId="1BC62E7E" w14:textId="77777777" w:rsidR="004360D7" w:rsidRDefault="004360D7">
            <w:pPr>
              <w:rPr>
                <w:sz w:val="20"/>
                <w:lang w:eastAsia="ko-KR"/>
              </w:rPr>
            </w:pPr>
            <w:r>
              <w:rPr>
                <w:sz w:val="20"/>
                <w:lang w:eastAsia="ko-KR"/>
              </w:rPr>
              <w:t>Agree in principal.</w:t>
            </w:r>
          </w:p>
          <w:p w14:paraId="27901106" w14:textId="70043F37" w:rsidR="004360D7" w:rsidRPr="00AA43B9" w:rsidRDefault="004360D7" w:rsidP="004360D7">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 xml:space="preserve">r0 </w:t>
            </w:r>
            <w:r w:rsidRPr="00AA43B9">
              <w:rPr>
                <w:bCs/>
                <w:sz w:val="20"/>
                <w:lang w:val="en-US" w:eastAsia="ko-KR"/>
              </w:rPr>
              <w:t>under 1</w:t>
            </w:r>
            <w:r>
              <w:rPr>
                <w:bCs/>
                <w:sz w:val="20"/>
                <w:lang w:val="en-US" w:eastAsia="ko-KR"/>
              </w:rPr>
              <w:t>2314.</w:t>
            </w:r>
          </w:p>
        </w:tc>
        <w:tc>
          <w:tcPr>
            <w:tcW w:w="1269" w:type="dxa"/>
            <w:hideMark/>
          </w:tcPr>
          <w:p w14:paraId="5CE9E53A" w14:textId="77777777" w:rsidR="00F80992" w:rsidRPr="00AA43B9" w:rsidRDefault="00F80992">
            <w:pPr>
              <w:rPr>
                <w:sz w:val="20"/>
              </w:rPr>
            </w:pPr>
            <w:r w:rsidRPr="00AA43B9">
              <w:rPr>
                <w:sz w:val="20"/>
              </w:rPr>
              <w:t>MU operation</w:t>
            </w:r>
          </w:p>
        </w:tc>
      </w:tr>
      <w:tr w:rsidR="0050720F" w:rsidRPr="00AA43B9" w14:paraId="590E0247" w14:textId="77777777" w:rsidTr="00B35DB6">
        <w:trPr>
          <w:trHeight w:val="3432"/>
        </w:trPr>
        <w:tc>
          <w:tcPr>
            <w:tcW w:w="764" w:type="dxa"/>
            <w:hideMark/>
          </w:tcPr>
          <w:p w14:paraId="75D17AFE" w14:textId="00609168" w:rsidR="00F80992" w:rsidRPr="00AA43B9" w:rsidRDefault="00F80992" w:rsidP="00F80992">
            <w:pPr>
              <w:rPr>
                <w:sz w:val="20"/>
              </w:rPr>
            </w:pPr>
            <w:r w:rsidRPr="00AA43B9">
              <w:rPr>
                <w:sz w:val="20"/>
              </w:rPr>
              <w:t>13920</w:t>
            </w:r>
          </w:p>
        </w:tc>
        <w:tc>
          <w:tcPr>
            <w:tcW w:w="1066" w:type="dxa"/>
            <w:hideMark/>
          </w:tcPr>
          <w:p w14:paraId="00684C4D" w14:textId="10F53615" w:rsidR="00F80992" w:rsidRPr="00AA43B9" w:rsidRDefault="00F80992">
            <w:pPr>
              <w:rPr>
                <w:sz w:val="20"/>
              </w:rPr>
            </w:pPr>
            <w:r w:rsidRPr="00AA43B9">
              <w:rPr>
                <w:sz w:val="20"/>
              </w:rPr>
              <w:t>255.61</w:t>
            </w:r>
          </w:p>
        </w:tc>
        <w:tc>
          <w:tcPr>
            <w:tcW w:w="2897" w:type="dxa"/>
            <w:hideMark/>
          </w:tcPr>
          <w:p w14:paraId="121C60E7" w14:textId="77777777" w:rsidR="00F80992" w:rsidRPr="00AA43B9" w:rsidRDefault="00F80992">
            <w:pPr>
              <w:rPr>
                <w:sz w:val="20"/>
              </w:rPr>
            </w:pPr>
            <w:r w:rsidRPr="00AA43B9">
              <w:rPr>
                <w:sz w:val="20"/>
              </w:rPr>
              <w:t>"An AP may include a BSRP Trigger frame together with other Control, Data and Management frames in one A-MPDU to a STA if the HE Capabilities element received from the STA has the BSRP A-MPDU Aggregation field equal to 1."</w:t>
            </w:r>
            <w:r w:rsidRPr="00AA43B9">
              <w:rPr>
                <w:sz w:val="20"/>
              </w:rPr>
              <w:br/>
              <w:t>Change "BSRP A-MPDU Aggregation field equal to 1" to "BSRP BQRP A-MPDU Aggregation field equal to 1".</w:t>
            </w:r>
          </w:p>
        </w:tc>
        <w:tc>
          <w:tcPr>
            <w:tcW w:w="1831" w:type="dxa"/>
            <w:hideMark/>
          </w:tcPr>
          <w:p w14:paraId="65BE343D" w14:textId="77777777" w:rsidR="00F80992" w:rsidRPr="00AA43B9" w:rsidRDefault="00F80992">
            <w:pPr>
              <w:rPr>
                <w:sz w:val="20"/>
              </w:rPr>
            </w:pPr>
            <w:r w:rsidRPr="00AA43B9">
              <w:rPr>
                <w:sz w:val="20"/>
              </w:rPr>
              <w:t>Change "BSRP A-MPDU Aggregation field equal to 1" to "BSRP BQRP A-MPDU Aggregation field equal to 1".</w:t>
            </w:r>
          </w:p>
        </w:tc>
        <w:tc>
          <w:tcPr>
            <w:tcW w:w="2374" w:type="dxa"/>
            <w:hideMark/>
          </w:tcPr>
          <w:p w14:paraId="7CEEC9FD" w14:textId="6FC7E5D2" w:rsidR="006713F0" w:rsidRDefault="006713F0">
            <w:pPr>
              <w:rPr>
                <w:sz w:val="20"/>
                <w:lang w:eastAsia="ko-KR"/>
              </w:rPr>
            </w:pPr>
            <w:r>
              <w:rPr>
                <w:rFonts w:hint="eastAsia"/>
                <w:sz w:val="20"/>
                <w:lang w:eastAsia="ko-KR"/>
              </w:rPr>
              <w:t>Revised.</w:t>
            </w:r>
          </w:p>
          <w:p w14:paraId="62C88D51" w14:textId="77777777" w:rsidR="006713F0" w:rsidRDefault="006713F0">
            <w:pPr>
              <w:rPr>
                <w:sz w:val="20"/>
                <w:lang w:eastAsia="ko-KR"/>
              </w:rPr>
            </w:pPr>
          </w:p>
          <w:p w14:paraId="7E1CFFC8" w14:textId="31F7517B" w:rsidR="00F80992" w:rsidRDefault="006713F0">
            <w:pPr>
              <w:rPr>
                <w:sz w:val="20"/>
                <w:lang w:eastAsia="ko-KR"/>
              </w:rPr>
            </w:pPr>
            <w:r>
              <w:rPr>
                <w:rFonts w:hint="eastAsia"/>
                <w:sz w:val="20"/>
                <w:lang w:eastAsia="ko-KR"/>
              </w:rPr>
              <w:t>Sam</w:t>
            </w:r>
            <w:r>
              <w:rPr>
                <w:sz w:val="20"/>
                <w:lang w:eastAsia="ko-KR"/>
              </w:rPr>
              <w:t>e as CID#12145.</w:t>
            </w:r>
          </w:p>
          <w:p w14:paraId="0FAED913" w14:textId="2F42608C" w:rsidR="006713F0" w:rsidRDefault="006713F0" w:rsidP="006713F0">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 xml:space="preserve">r0 </w:t>
            </w:r>
            <w:r w:rsidRPr="00AA43B9">
              <w:rPr>
                <w:bCs/>
                <w:sz w:val="20"/>
                <w:lang w:val="en-US" w:eastAsia="ko-KR"/>
              </w:rPr>
              <w:t>under 1</w:t>
            </w:r>
            <w:r>
              <w:rPr>
                <w:bCs/>
                <w:sz w:val="20"/>
                <w:lang w:val="en-US" w:eastAsia="ko-KR"/>
              </w:rPr>
              <w:t>2145.</w:t>
            </w:r>
          </w:p>
          <w:p w14:paraId="4CE6FC73" w14:textId="42E24926" w:rsidR="006713F0" w:rsidRPr="006713F0" w:rsidRDefault="006713F0">
            <w:pPr>
              <w:rPr>
                <w:sz w:val="20"/>
                <w:lang w:eastAsia="ko-KR"/>
              </w:rPr>
            </w:pPr>
          </w:p>
        </w:tc>
        <w:tc>
          <w:tcPr>
            <w:tcW w:w="1269" w:type="dxa"/>
            <w:hideMark/>
          </w:tcPr>
          <w:p w14:paraId="546F9E05" w14:textId="77777777" w:rsidR="00F80992" w:rsidRPr="00AA43B9" w:rsidRDefault="00F80992">
            <w:pPr>
              <w:rPr>
                <w:sz w:val="20"/>
              </w:rPr>
            </w:pPr>
            <w:r w:rsidRPr="00AA43B9">
              <w:rPr>
                <w:sz w:val="20"/>
              </w:rPr>
              <w:t>Editorials</w:t>
            </w:r>
          </w:p>
        </w:tc>
      </w:tr>
      <w:tr w:rsidR="0050720F" w:rsidRPr="00AA43B9" w14:paraId="4DA9B801" w14:textId="77777777" w:rsidTr="00B35DB6">
        <w:trPr>
          <w:trHeight w:val="6600"/>
        </w:trPr>
        <w:tc>
          <w:tcPr>
            <w:tcW w:w="764" w:type="dxa"/>
            <w:hideMark/>
          </w:tcPr>
          <w:p w14:paraId="097A3D2E" w14:textId="398D98B6" w:rsidR="00F80992" w:rsidRPr="00AA43B9" w:rsidRDefault="00F80992" w:rsidP="00F80992">
            <w:pPr>
              <w:rPr>
                <w:sz w:val="20"/>
              </w:rPr>
            </w:pPr>
            <w:r w:rsidRPr="00AA43B9">
              <w:rPr>
                <w:sz w:val="20"/>
              </w:rPr>
              <w:lastRenderedPageBreak/>
              <w:t>13921</w:t>
            </w:r>
          </w:p>
        </w:tc>
        <w:tc>
          <w:tcPr>
            <w:tcW w:w="1066" w:type="dxa"/>
            <w:hideMark/>
          </w:tcPr>
          <w:p w14:paraId="3189C9F4" w14:textId="2A287C6D" w:rsidR="00F80992" w:rsidRPr="00AA43B9" w:rsidRDefault="00F80992">
            <w:pPr>
              <w:rPr>
                <w:sz w:val="20"/>
              </w:rPr>
            </w:pPr>
            <w:r w:rsidRPr="00AA43B9">
              <w:rPr>
                <w:sz w:val="20"/>
              </w:rPr>
              <w:t>255.63</w:t>
            </w:r>
          </w:p>
        </w:tc>
        <w:tc>
          <w:tcPr>
            <w:tcW w:w="2897" w:type="dxa"/>
            <w:hideMark/>
          </w:tcPr>
          <w:p w14:paraId="679C10C4" w14:textId="77777777" w:rsidR="00F80992" w:rsidRPr="00AA43B9" w:rsidRDefault="00F80992">
            <w:pPr>
              <w:rPr>
                <w:sz w:val="20"/>
              </w:rPr>
            </w:pPr>
            <w:r w:rsidRPr="00AA43B9">
              <w:rPr>
                <w:sz w:val="20"/>
              </w:rPr>
              <w:t>"If a STA receives a BSRP Trigger frame aggregated with Control, Data and Management frames that solicits an acknowledgement, the response A-MPDU shall contain MPDUs in the order described in Table 9-425 (A-MPDU contents in the data enabled immediate response context)."</w:t>
            </w:r>
            <w:r w:rsidRPr="00AA43B9">
              <w:rPr>
                <w:sz w:val="20"/>
              </w:rPr>
              <w:br/>
              <w:t>It is conflicted with the following sentence.</w:t>
            </w:r>
            <w:r w:rsidRPr="00AA43B9">
              <w:rPr>
                <w:sz w:val="20"/>
              </w:rPr>
              <w:br/>
              <w:t xml:space="preserve">"The HE STA shall not solicit an immediate response for the frames carried in the HE TB PPDU (e.g., by setting the </w:t>
            </w:r>
            <w:proofErr w:type="spellStart"/>
            <w:r w:rsidRPr="00AA43B9">
              <w:rPr>
                <w:sz w:val="20"/>
              </w:rPr>
              <w:t>Ack</w:t>
            </w:r>
            <w:proofErr w:type="spellEnd"/>
            <w:r w:rsidRPr="00AA43B9">
              <w:rPr>
                <w:sz w:val="20"/>
              </w:rPr>
              <w:t xml:space="preserve"> Policy subfield of the frame to Normal </w:t>
            </w:r>
            <w:proofErr w:type="spellStart"/>
            <w:r w:rsidRPr="00AA43B9">
              <w:rPr>
                <w:sz w:val="20"/>
              </w:rPr>
              <w:t>Ack</w:t>
            </w:r>
            <w:proofErr w:type="spellEnd"/>
            <w:r w:rsidRPr="00AA43B9">
              <w:rPr>
                <w:sz w:val="20"/>
              </w:rPr>
              <w:t xml:space="preserve"> or Implicit Block </w:t>
            </w:r>
            <w:proofErr w:type="spellStart"/>
            <w:r w:rsidRPr="00AA43B9">
              <w:rPr>
                <w:sz w:val="20"/>
              </w:rPr>
              <w:t>Ack</w:t>
            </w:r>
            <w:proofErr w:type="spellEnd"/>
            <w:r w:rsidRPr="00AA43B9">
              <w:rPr>
                <w:sz w:val="20"/>
              </w:rPr>
              <w:t xml:space="preserve"> Request)."</w:t>
            </w:r>
            <w:r w:rsidRPr="00AA43B9">
              <w:rPr>
                <w:sz w:val="20"/>
              </w:rPr>
              <w:br/>
              <w:t>The response A-MPDU shall not be based on Table 9-425 (A-MPDU contents in the data enabled immediate response context).</w:t>
            </w:r>
          </w:p>
        </w:tc>
        <w:tc>
          <w:tcPr>
            <w:tcW w:w="1831" w:type="dxa"/>
            <w:hideMark/>
          </w:tcPr>
          <w:p w14:paraId="693C2942" w14:textId="77777777" w:rsidR="00F80992" w:rsidRPr="00AA43B9" w:rsidRDefault="00F80992">
            <w:pPr>
              <w:rPr>
                <w:sz w:val="20"/>
              </w:rPr>
            </w:pPr>
            <w:r w:rsidRPr="00AA43B9">
              <w:rPr>
                <w:sz w:val="20"/>
              </w:rPr>
              <w:t>Change "Table 9-425 (A-MPDU contents in the data enabled immediate response context)" to "Table 9-428--A-MPDU contents MPDUs in the control response context".</w:t>
            </w:r>
          </w:p>
        </w:tc>
        <w:tc>
          <w:tcPr>
            <w:tcW w:w="2374" w:type="dxa"/>
            <w:hideMark/>
          </w:tcPr>
          <w:p w14:paraId="4407C50F" w14:textId="6C4418BA" w:rsidR="00F80992" w:rsidRPr="00AA43B9" w:rsidRDefault="009E1DD3">
            <w:pPr>
              <w:rPr>
                <w:sz w:val="20"/>
                <w:lang w:eastAsia="ko-KR"/>
              </w:rPr>
            </w:pPr>
            <w:r>
              <w:rPr>
                <w:rFonts w:hint="eastAsia"/>
                <w:sz w:val="20"/>
                <w:lang w:eastAsia="ko-KR"/>
              </w:rPr>
              <w:t>Accepted.</w:t>
            </w:r>
          </w:p>
        </w:tc>
        <w:tc>
          <w:tcPr>
            <w:tcW w:w="1269" w:type="dxa"/>
            <w:hideMark/>
          </w:tcPr>
          <w:p w14:paraId="791FA27E" w14:textId="77777777" w:rsidR="00F80992" w:rsidRPr="00AA43B9" w:rsidRDefault="00F80992">
            <w:pPr>
              <w:rPr>
                <w:sz w:val="20"/>
              </w:rPr>
            </w:pPr>
            <w:r w:rsidRPr="00AA43B9">
              <w:rPr>
                <w:sz w:val="20"/>
              </w:rPr>
              <w:t>MU operation</w:t>
            </w:r>
          </w:p>
        </w:tc>
      </w:tr>
      <w:tr w:rsidR="0050720F" w:rsidRPr="00AA43B9" w14:paraId="1A14F97F" w14:textId="77777777" w:rsidTr="00B35DB6">
        <w:trPr>
          <w:trHeight w:val="264"/>
        </w:trPr>
        <w:tc>
          <w:tcPr>
            <w:tcW w:w="764" w:type="dxa"/>
            <w:hideMark/>
          </w:tcPr>
          <w:p w14:paraId="0304DE80" w14:textId="77777777" w:rsidR="00F80992" w:rsidRPr="00AA43B9" w:rsidRDefault="00F80992" w:rsidP="00F80992">
            <w:pPr>
              <w:rPr>
                <w:sz w:val="20"/>
              </w:rPr>
            </w:pPr>
            <w:r w:rsidRPr="00AA43B9">
              <w:rPr>
                <w:sz w:val="20"/>
              </w:rPr>
              <w:t>14265</w:t>
            </w:r>
          </w:p>
        </w:tc>
        <w:tc>
          <w:tcPr>
            <w:tcW w:w="1066" w:type="dxa"/>
            <w:hideMark/>
          </w:tcPr>
          <w:p w14:paraId="6CD889B2" w14:textId="6E3A3ACC" w:rsidR="00F80992" w:rsidRPr="00AA43B9" w:rsidRDefault="00F80992">
            <w:pPr>
              <w:rPr>
                <w:sz w:val="20"/>
              </w:rPr>
            </w:pPr>
            <w:r w:rsidRPr="00AA43B9">
              <w:rPr>
                <w:sz w:val="20"/>
              </w:rPr>
              <w:t>255.13</w:t>
            </w:r>
          </w:p>
        </w:tc>
        <w:tc>
          <w:tcPr>
            <w:tcW w:w="2897" w:type="dxa"/>
            <w:hideMark/>
          </w:tcPr>
          <w:p w14:paraId="66147CA6" w14:textId="77777777" w:rsidR="00F80992" w:rsidRPr="00AA43B9" w:rsidRDefault="00F80992">
            <w:pPr>
              <w:rPr>
                <w:sz w:val="20"/>
              </w:rPr>
            </w:pPr>
            <w:r w:rsidRPr="00AA43B9">
              <w:rPr>
                <w:sz w:val="20"/>
              </w:rPr>
              <w:t>No period in L13 and L17.</w:t>
            </w:r>
          </w:p>
        </w:tc>
        <w:tc>
          <w:tcPr>
            <w:tcW w:w="1831" w:type="dxa"/>
            <w:hideMark/>
          </w:tcPr>
          <w:p w14:paraId="3AFEE072" w14:textId="77777777" w:rsidR="00F80992" w:rsidRPr="00AA43B9" w:rsidRDefault="00F80992">
            <w:pPr>
              <w:rPr>
                <w:sz w:val="20"/>
              </w:rPr>
            </w:pPr>
            <w:r w:rsidRPr="00AA43B9">
              <w:rPr>
                <w:sz w:val="20"/>
              </w:rPr>
              <w:t>As commented.</w:t>
            </w:r>
          </w:p>
        </w:tc>
        <w:tc>
          <w:tcPr>
            <w:tcW w:w="2374" w:type="dxa"/>
            <w:hideMark/>
          </w:tcPr>
          <w:p w14:paraId="0B757B27" w14:textId="77777777" w:rsidR="00F80992" w:rsidRDefault="009E1DD3">
            <w:pPr>
              <w:rPr>
                <w:sz w:val="20"/>
                <w:lang w:eastAsia="ko-KR"/>
              </w:rPr>
            </w:pPr>
            <w:r>
              <w:rPr>
                <w:rFonts w:hint="eastAsia"/>
                <w:sz w:val="20"/>
                <w:lang w:eastAsia="ko-KR"/>
              </w:rPr>
              <w:t>Revised.</w:t>
            </w:r>
          </w:p>
          <w:p w14:paraId="33E0C2F9" w14:textId="77777777" w:rsidR="009E1DD3" w:rsidRDefault="009E1DD3">
            <w:pPr>
              <w:rPr>
                <w:sz w:val="20"/>
                <w:lang w:eastAsia="ko-KR"/>
              </w:rPr>
            </w:pPr>
          </w:p>
          <w:p w14:paraId="1F0AC88D" w14:textId="088196C8" w:rsidR="009E1DD3" w:rsidRDefault="009E1DD3">
            <w:pPr>
              <w:rPr>
                <w:sz w:val="20"/>
                <w:lang w:eastAsia="ko-KR"/>
              </w:rPr>
            </w:pPr>
            <w:r>
              <w:rPr>
                <w:rFonts w:hint="eastAsia"/>
                <w:sz w:val="20"/>
                <w:lang w:eastAsia="ko-KR"/>
              </w:rPr>
              <w:t>Add periods in L13 and L17.</w:t>
            </w:r>
          </w:p>
          <w:p w14:paraId="7BBC792C" w14:textId="77777777" w:rsidR="009E1DD3" w:rsidRDefault="009E1DD3">
            <w:pPr>
              <w:rPr>
                <w:sz w:val="20"/>
                <w:lang w:eastAsia="ko-KR"/>
              </w:rPr>
            </w:pPr>
          </w:p>
          <w:p w14:paraId="414BE06B" w14:textId="368298BD" w:rsidR="009E1DD3" w:rsidRDefault="009E1DD3" w:rsidP="009E1DD3">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 xml:space="preserve">r0 </w:t>
            </w:r>
            <w:bookmarkStart w:id="0" w:name="_GoBack"/>
            <w:bookmarkEnd w:id="0"/>
            <w:r w:rsidRPr="00AA43B9">
              <w:rPr>
                <w:bCs/>
                <w:sz w:val="20"/>
                <w:lang w:val="en-US" w:eastAsia="ko-KR"/>
              </w:rPr>
              <w:t xml:space="preserve">under </w:t>
            </w:r>
            <w:r>
              <w:rPr>
                <w:bCs/>
                <w:sz w:val="20"/>
                <w:lang w:val="en-US" w:eastAsia="ko-KR"/>
              </w:rPr>
              <w:t>14265.</w:t>
            </w:r>
          </w:p>
          <w:p w14:paraId="5EF53DB8" w14:textId="77777777" w:rsidR="009E1DD3" w:rsidRPr="009E1DD3" w:rsidRDefault="009E1DD3">
            <w:pPr>
              <w:rPr>
                <w:sz w:val="20"/>
                <w:lang w:eastAsia="ko-KR"/>
              </w:rPr>
            </w:pPr>
          </w:p>
        </w:tc>
        <w:tc>
          <w:tcPr>
            <w:tcW w:w="1269" w:type="dxa"/>
            <w:hideMark/>
          </w:tcPr>
          <w:p w14:paraId="014DA08D" w14:textId="77777777" w:rsidR="00F80992" w:rsidRPr="00AA43B9" w:rsidRDefault="00F80992">
            <w:pPr>
              <w:rPr>
                <w:sz w:val="20"/>
              </w:rPr>
            </w:pPr>
            <w:r w:rsidRPr="00AA43B9">
              <w:rPr>
                <w:sz w:val="20"/>
              </w:rPr>
              <w:t>Editorials</w:t>
            </w:r>
          </w:p>
        </w:tc>
      </w:tr>
      <w:tr w:rsidR="0050720F" w:rsidRPr="00AA43B9" w14:paraId="2A68A767" w14:textId="77777777" w:rsidTr="00B35DB6">
        <w:trPr>
          <w:trHeight w:val="1848"/>
        </w:trPr>
        <w:tc>
          <w:tcPr>
            <w:tcW w:w="764" w:type="dxa"/>
            <w:hideMark/>
          </w:tcPr>
          <w:p w14:paraId="31B4406D" w14:textId="35024A14" w:rsidR="00F80992" w:rsidRPr="00AA43B9" w:rsidRDefault="00F80992" w:rsidP="00F80992">
            <w:pPr>
              <w:rPr>
                <w:sz w:val="20"/>
              </w:rPr>
            </w:pPr>
            <w:r w:rsidRPr="00AA43B9">
              <w:rPr>
                <w:sz w:val="20"/>
              </w:rPr>
              <w:t>14324</w:t>
            </w:r>
          </w:p>
        </w:tc>
        <w:tc>
          <w:tcPr>
            <w:tcW w:w="1066" w:type="dxa"/>
            <w:hideMark/>
          </w:tcPr>
          <w:p w14:paraId="6B1858EB" w14:textId="4AEE9A75" w:rsidR="00F80992" w:rsidRPr="00AA43B9" w:rsidRDefault="00F80992">
            <w:pPr>
              <w:rPr>
                <w:sz w:val="20"/>
              </w:rPr>
            </w:pPr>
            <w:r w:rsidRPr="00AA43B9">
              <w:rPr>
                <w:sz w:val="20"/>
              </w:rPr>
              <w:t>254.49</w:t>
            </w:r>
          </w:p>
        </w:tc>
        <w:tc>
          <w:tcPr>
            <w:tcW w:w="2897" w:type="dxa"/>
            <w:hideMark/>
          </w:tcPr>
          <w:p w14:paraId="59326FB4" w14:textId="77777777" w:rsidR="00F80992" w:rsidRPr="00AA43B9" w:rsidRDefault="00F80992">
            <w:pPr>
              <w:rPr>
                <w:sz w:val="20"/>
              </w:rPr>
            </w:pPr>
            <w:r w:rsidRPr="00AA43B9">
              <w:rPr>
                <w:sz w:val="20"/>
              </w:rPr>
              <w:t>The Queue size High and Queue Size All in the BSR Control is poorly designed. It doesn't provide sufficient information of UL OFDMA/MIMO scheduling. Need a better design.</w:t>
            </w:r>
          </w:p>
        </w:tc>
        <w:tc>
          <w:tcPr>
            <w:tcW w:w="1831" w:type="dxa"/>
            <w:hideMark/>
          </w:tcPr>
          <w:p w14:paraId="7EF433CA" w14:textId="77777777" w:rsidR="00F80992" w:rsidRPr="00AA43B9" w:rsidRDefault="00F80992">
            <w:pPr>
              <w:rPr>
                <w:sz w:val="20"/>
              </w:rPr>
            </w:pPr>
            <w:r w:rsidRPr="00AA43B9">
              <w:rPr>
                <w:sz w:val="20"/>
              </w:rPr>
              <w:t>as in the comment</w:t>
            </w:r>
          </w:p>
        </w:tc>
        <w:tc>
          <w:tcPr>
            <w:tcW w:w="2374" w:type="dxa"/>
            <w:hideMark/>
          </w:tcPr>
          <w:p w14:paraId="2FE2212B" w14:textId="77777777" w:rsidR="009E1DD3" w:rsidRDefault="009E1DD3" w:rsidP="009E1DD3">
            <w:pPr>
              <w:rPr>
                <w:sz w:val="20"/>
                <w:lang w:eastAsia="ko-KR"/>
              </w:rPr>
            </w:pPr>
            <w:r>
              <w:rPr>
                <w:rFonts w:hint="eastAsia"/>
                <w:sz w:val="20"/>
                <w:lang w:eastAsia="ko-KR"/>
              </w:rPr>
              <w:t>Rejected.</w:t>
            </w:r>
          </w:p>
          <w:p w14:paraId="111F34C2" w14:textId="77777777" w:rsidR="009E1DD3" w:rsidRDefault="009E1DD3" w:rsidP="009E1DD3">
            <w:pPr>
              <w:rPr>
                <w:sz w:val="20"/>
                <w:lang w:eastAsia="ko-KR"/>
              </w:rPr>
            </w:pPr>
          </w:p>
          <w:p w14:paraId="7537AA8C" w14:textId="77777777" w:rsidR="009E1DD3" w:rsidRDefault="009E1DD3" w:rsidP="009E1DD3">
            <w:pPr>
              <w:rPr>
                <w:sz w:val="20"/>
                <w:lang w:eastAsia="ko-KR"/>
              </w:rPr>
            </w:pPr>
            <w:r>
              <w:rPr>
                <w:sz w:val="20"/>
                <w:lang w:eastAsia="ko-KR"/>
              </w:rPr>
              <w:t xml:space="preserve">The </w:t>
            </w:r>
            <w:r>
              <w:rPr>
                <w:rFonts w:hint="eastAsia"/>
                <w:sz w:val="20"/>
                <w:lang w:eastAsia="ko-KR"/>
              </w:rPr>
              <w:t>Q</w:t>
            </w:r>
            <w:r>
              <w:rPr>
                <w:sz w:val="20"/>
                <w:lang w:eastAsia="ko-KR"/>
              </w:rPr>
              <w:t>ueue Size High value is useful for an AP to set the value of the Preferred AC subfield in a Trigger frame, and the Queue Size All value is useful for an AP to determine the RU size and HE TB PPDU length. They provide sufficient information for UL MU scheduling.</w:t>
            </w:r>
          </w:p>
          <w:p w14:paraId="7973BFB2" w14:textId="77777777" w:rsidR="00F80992" w:rsidRPr="00AA43B9" w:rsidRDefault="00F80992">
            <w:pPr>
              <w:rPr>
                <w:sz w:val="20"/>
              </w:rPr>
            </w:pPr>
          </w:p>
        </w:tc>
        <w:tc>
          <w:tcPr>
            <w:tcW w:w="1269" w:type="dxa"/>
            <w:hideMark/>
          </w:tcPr>
          <w:p w14:paraId="688DFE7B" w14:textId="77777777" w:rsidR="00F80992" w:rsidRPr="00AA43B9" w:rsidRDefault="00F80992">
            <w:pPr>
              <w:rPr>
                <w:sz w:val="20"/>
              </w:rPr>
            </w:pPr>
            <w:r w:rsidRPr="00AA43B9">
              <w:rPr>
                <w:sz w:val="20"/>
              </w:rPr>
              <w:t>MU operation</w:t>
            </w:r>
          </w:p>
        </w:tc>
      </w:tr>
    </w:tbl>
    <w:p w14:paraId="70F24CEC" w14:textId="77777777" w:rsidR="002E5287" w:rsidRPr="00F80992" w:rsidRDefault="002E5287" w:rsidP="0047110F"/>
    <w:p w14:paraId="298D48D8" w14:textId="77777777" w:rsidR="00391A1F" w:rsidRDefault="00391A1F" w:rsidP="00BF600D">
      <w:pPr>
        <w:pStyle w:val="SP1274089"/>
        <w:spacing w:before="240"/>
        <w:jc w:val="both"/>
        <w:rPr>
          <w:rStyle w:val="SC12323589"/>
          <w:lang w:eastAsia="ko-KR"/>
        </w:rPr>
      </w:pPr>
    </w:p>
    <w:p w14:paraId="2C305C57" w14:textId="77777777" w:rsidR="00391A1F" w:rsidRDefault="00391A1F" w:rsidP="00391A1F">
      <w:pPr>
        <w:rPr>
          <w:i/>
          <w:u w:val="single"/>
        </w:rPr>
      </w:pPr>
      <w:r w:rsidRPr="00F0664C">
        <w:rPr>
          <w:b/>
          <w:u w:val="single"/>
        </w:rPr>
        <w:t>Discussion:</w:t>
      </w:r>
      <w:r w:rsidRPr="0043413E">
        <w:rPr>
          <w:i/>
          <w:u w:val="single"/>
        </w:rPr>
        <w:t xml:space="preserve"> None.</w:t>
      </w:r>
    </w:p>
    <w:p w14:paraId="56532F39" w14:textId="77777777" w:rsidR="00391A1F" w:rsidRDefault="00391A1F" w:rsidP="00391A1F">
      <w:pPr>
        <w:rPr>
          <w:u w:val="single"/>
        </w:rPr>
      </w:pPr>
    </w:p>
    <w:p w14:paraId="64A621A3" w14:textId="77777777" w:rsidR="00391A1F" w:rsidRDefault="00391A1F" w:rsidP="00391A1F">
      <w:pPr>
        <w:pStyle w:val="ae"/>
        <w:ind w:left="0"/>
        <w:rPr>
          <w:rFonts w:eastAsiaTheme="minorEastAsia"/>
          <w:u w:val="single"/>
          <w:lang w:eastAsia="ko-KR"/>
        </w:rPr>
      </w:pPr>
    </w:p>
    <w:p w14:paraId="040FEE0F" w14:textId="77777777" w:rsidR="00430C40" w:rsidRDefault="00430C40" w:rsidP="00430C40">
      <w:pPr>
        <w:rPr>
          <w:u w:val="single"/>
          <w:lang w:eastAsia="ko-KR"/>
        </w:rPr>
      </w:pPr>
      <w:r>
        <w:rPr>
          <w:b/>
          <w:u w:val="single"/>
        </w:rPr>
        <w:lastRenderedPageBreak/>
        <w:t>Propose</w:t>
      </w:r>
      <w:r>
        <w:rPr>
          <w:b/>
          <w:u w:val="single"/>
          <w:lang w:eastAsia="ko-KR"/>
        </w:rPr>
        <w:t>:</w:t>
      </w:r>
    </w:p>
    <w:p w14:paraId="722C5AE9" w14:textId="62879346" w:rsidR="00430C40" w:rsidRDefault="00430C40" w:rsidP="00430C40">
      <w:pPr>
        <w:rPr>
          <w:lang w:eastAsia="ko-KR"/>
        </w:rPr>
      </w:pPr>
      <w:r>
        <w:rPr>
          <w:lang w:eastAsia="ko-KR"/>
        </w:rPr>
        <w:t xml:space="preserve">Revised for CID </w:t>
      </w:r>
      <w:r w:rsidR="005512AE">
        <w:rPr>
          <w:lang w:eastAsia="ko-KR"/>
        </w:rPr>
        <w:t xml:space="preserve">11323, 11324, 11325, 11499, 12145, 12314, 13920, 13921, 14265, 14324 </w:t>
      </w:r>
      <w:r>
        <w:rPr>
          <w:lang w:eastAsia="ko-KR"/>
        </w:rPr>
        <w:t>per discussion a</w:t>
      </w:r>
      <w:r w:rsidR="00DC6FB7">
        <w:rPr>
          <w:lang w:eastAsia="ko-KR"/>
        </w:rPr>
        <w:t>nd editing instructions in 11-1</w:t>
      </w:r>
      <w:r w:rsidR="005512AE">
        <w:rPr>
          <w:lang w:eastAsia="ko-KR"/>
        </w:rPr>
        <w:t>8</w:t>
      </w:r>
      <w:r>
        <w:rPr>
          <w:lang w:eastAsia="ko-KR"/>
        </w:rPr>
        <w:t>/</w:t>
      </w:r>
      <w:r w:rsidR="00DC6FB7">
        <w:rPr>
          <w:lang w:eastAsia="ko-KR"/>
        </w:rPr>
        <w:t>0xxxr</w:t>
      </w:r>
      <w:r>
        <w:rPr>
          <w:lang w:eastAsia="ko-KR"/>
        </w:rPr>
        <w:t>0.</w:t>
      </w:r>
    </w:p>
    <w:p w14:paraId="2AA895F4" w14:textId="77777777" w:rsidR="00430C40" w:rsidRDefault="00430C40" w:rsidP="00430C40">
      <w:pPr>
        <w:pStyle w:val="ae"/>
        <w:ind w:left="0"/>
        <w:rPr>
          <w:rFonts w:eastAsiaTheme="minorEastAsia"/>
          <w:u w:val="single"/>
          <w:lang w:eastAsia="ko-KR"/>
        </w:rPr>
      </w:pPr>
    </w:p>
    <w:p w14:paraId="208D8E7B" w14:textId="61F3087B" w:rsidR="00430C40" w:rsidRDefault="00430C40" w:rsidP="00430C40">
      <w:pPr>
        <w:rPr>
          <w:b/>
          <w:i/>
          <w:lang w:eastAsia="ko-KR"/>
        </w:rPr>
      </w:pPr>
      <w:proofErr w:type="spellStart"/>
      <w:r>
        <w:rPr>
          <w:b/>
          <w:i/>
          <w:lang w:eastAsia="ko-KR"/>
        </w:rPr>
        <w:t>TGax</w:t>
      </w:r>
      <w:proofErr w:type="spellEnd"/>
      <w:r>
        <w:rPr>
          <w:b/>
          <w:i/>
          <w:lang w:eastAsia="ko-KR"/>
        </w:rPr>
        <w:t xml:space="preserve"> editor: Modify the sentence on page </w:t>
      </w:r>
      <w:r w:rsidR="005512AE">
        <w:rPr>
          <w:b/>
          <w:i/>
          <w:lang w:eastAsia="ko-KR"/>
        </w:rPr>
        <w:t>254</w:t>
      </w:r>
      <w:r>
        <w:rPr>
          <w:b/>
          <w:i/>
          <w:lang w:eastAsia="ko-KR"/>
        </w:rPr>
        <w:t xml:space="preserve"> line </w:t>
      </w:r>
      <w:r w:rsidR="005512AE">
        <w:rPr>
          <w:b/>
          <w:i/>
          <w:lang w:eastAsia="ko-KR"/>
        </w:rPr>
        <w:t>49</w:t>
      </w:r>
      <w:r>
        <w:rPr>
          <w:b/>
          <w:i/>
          <w:lang w:eastAsia="ko-KR"/>
        </w:rPr>
        <w:t xml:space="preserve"> as the following:</w:t>
      </w:r>
    </w:p>
    <w:p w14:paraId="1B57DE28" w14:textId="77777777" w:rsidR="00AD7E65" w:rsidRDefault="00AD7E65" w:rsidP="00430C40">
      <w:pPr>
        <w:rPr>
          <w:b/>
          <w:i/>
          <w:lang w:eastAsia="ko-KR"/>
        </w:rPr>
      </w:pPr>
    </w:p>
    <w:p w14:paraId="14F27276" w14:textId="341DC8BF" w:rsidR="00AD7E65" w:rsidRDefault="00AD7E65" w:rsidP="00430C40">
      <w:pPr>
        <w:rPr>
          <w:b/>
          <w:bCs/>
          <w:sz w:val="20"/>
        </w:rPr>
      </w:pPr>
      <w:r>
        <w:rPr>
          <w:b/>
          <w:bCs/>
          <w:sz w:val="20"/>
        </w:rPr>
        <w:t>27.5.3.6 HE buffer status feedback operation for UL MU</w:t>
      </w:r>
    </w:p>
    <w:p w14:paraId="75AB23D8" w14:textId="77777777" w:rsidR="00AD7E65" w:rsidRDefault="00AD7E65" w:rsidP="00430C40">
      <w:pPr>
        <w:rPr>
          <w:b/>
          <w:bCs/>
          <w:sz w:val="20"/>
        </w:rPr>
      </w:pPr>
    </w:p>
    <w:p w14:paraId="418B1B37" w14:textId="62BA08B3" w:rsidR="00AD7E65" w:rsidRPr="00032328" w:rsidRDefault="00AD7E65" w:rsidP="00430C40">
      <w:pPr>
        <w:rPr>
          <w:color w:val="A6A6A6" w:themeColor="background1" w:themeShade="A6"/>
          <w:sz w:val="20"/>
        </w:rPr>
      </w:pPr>
      <w:r w:rsidRPr="00032328">
        <w:rPr>
          <w:color w:val="A6A6A6" w:themeColor="background1" w:themeShade="A6"/>
          <w:sz w:val="20"/>
        </w:rPr>
        <w:t xml:space="preserve">A non-AP STA delivers buffer status reports (BSRs) to assist its AP in allocating UL MU resources. The non-AP STA can either implicitly deliver BSRs in the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Control field or BSR Control field of any frame transmitted to the AP (unsolicited BSR) or explicitly deliver BSRs in any frame sent to the AP in response to a BSRP Trigger frame (solicited BSR).</w:t>
      </w:r>
    </w:p>
    <w:p w14:paraId="15ECA0DC" w14:textId="77777777" w:rsidR="00AD7E65" w:rsidRPr="00032328" w:rsidRDefault="00AD7E65" w:rsidP="00430C40">
      <w:pPr>
        <w:rPr>
          <w:color w:val="A6A6A6" w:themeColor="background1" w:themeShade="A6"/>
          <w:sz w:val="20"/>
        </w:rPr>
      </w:pPr>
    </w:p>
    <w:p w14:paraId="31E3C5A1" w14:textId="42C5B461" w:rsidR="00AD7E65" w:rsidRPr="00032328" w:rsidRDefault="00AD7E65" w:rsidP="00430C40">
      <w:pPr>
        <w:rPr>
          <w:color w:val="A6A6A6" w:themeColor="background1" w:themeShade="A6"/>
          <w:sz w:val="20"/>
        </w:rPr>
      </w:pPr>
      <w:r w:rsidRPr="00032328">
        <w:rPr>
          <w:color w:val="A6A6A6" w:themeColor="background1" w:themeShade="A6"/>
          <w:sz w:val="20"/>
        </w:rPr>
        <w:t xml:space="preserve">A non-AP STA reports its buffer status (unsolicited BSR) to the AP to which it is associated using either the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Control field or the BSR Control field of frames it transmits as defined below:</w:t>
      </w:r>
    </w:p>
    <w:p w14:paraId="734EAA2A" w14:textId="77777777" w:rsidR="00AD7E65" w:rsidRPr="00032328" w:rsidRDefault="00AD7E65" w:rsidP="00430C40">
      <w:pPr>
        <w:rPr>
          <w:color w:val="A6A6A6" w:themeColor="background1" w:themeShade="A6"/>
          <w:sz w:val="20"/>
        </w:rPr>
      </w:pPr>
    </w:p>
    <w:p w14:paraId="35A5C4FB" w14:textId="35300AA4" w:rsidR="00AD7E65" w:rsidRPr="00032328" w:rsidRDefault="00AD7E65" w:rsidP="00430C40">
      <w:pPr>
        <w:rPr>
          <w:color w:val="A6A6A6" w:themeColor="background1" w:themeShade="A6"/>
          <w:sz w:val="20"/>
        </w:rPr>
      </w:pPr>
      <w:r w:rsidRPr="00032328">
        <w:rPr>
          <w:color w:val="A6A6A6" w:themeColor="background1" w:themeShade="A6"/>
          <w:sz w:val="20"/>
        </w:rPr>
        <w:t xml:space="preserve">— The HE STA shall report the buffer status for a given TID in the Queue Size subfield of the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Control field in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Data or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Null frames it transmits; except that the STA may set the Queue Size subfield to 255 to indicate an unknown/unspecified BSR for that TID.</w:t>
      </w:r>
    </w:p>
    <w:p w14:paraId="0F14F951" w14:textId="0310B5AB" w:rsidR="00AD7E65" w:rsidRPr="00032328" w:rsidRDefault="00AD7E65" w:rsidP="00430C40">
      <w:pPr>
        <w:rPr>
          <w:color w:val="A6A6A6" w:themeColor="background1" w:themeShade="A6"/>
          <w:sz w:val="20"/>
        </w:rPr>
      </w:pPr>
      <w:r w:rsidRPr="00032328">
        <w:rPr>
          <w:color w:val="A6A6A6" w:themeColor="background1" w:themeShade="A6"/>
          <w:sz w:val="20"/>
        </w:rPr>
        <w:t xml:space="preserve">• The HE STA may aggregate multiple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Data frames or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Null frames in an A-MPDU to report the buffer status for different TIDs. The HE STA shall follow the A-MPDU aggregation rules defined in 27.10.4 (multi-TID A-MPDU and </w:t>
      </w:r>
      <w:proofErr w:type="spellStart"/>
      <w:r w:rsidRPr="00032328">
        <w:rPr>
          <w:color w:val="A6A6A6" w:themeColor="background1" w:themeShade="A6"/>
          <w:sz w:val="20"/>
        </w:rPr>
        <w:t>ack</w:t>
      </w:r>
      <w:proofErr w:type="spellEnd"/>
      <w:r w:rsidRPr="00032328">
        <w:rPr>
          <w:color w:val="A6A6A6" w:themeColor="background1" w:themeShade="A6"/>
          <w:sz w:val="20"/>
        </w:rPr>
        <w:t xml:space="preserve">-enabled A-MPDU) for aggregating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Data frames with multiple TIDs. The HE STA does not follow the rules defined in 27.10.4 (multi-TID A-MPDU and </w:t>
      </w:r>
      <w:proofErr w:type="spellStart"/>
      <w:r w:rsidRPr="00032328">
        <w:rPr>
          <w:color w:val="A6A6A6" w:themeColor="background1" w:themeShade="A6"/>
          <w:sz w:val="20"/>
        </w:rPr>
        <w:t>ack</w:t>
      </w:r>
      <w:proofErr w:type="spellEnd"/>
      <w:r w:rsidRPr="00032328">
        <w:rPr>
          <w:color w:val="A6A6A6" w:themeColor="background1" w:themeShade="A6"/>
          <w:sz w:val="20"/>
        </w:rPr>
        <w:t xml:space="preserve">-enabled A-MPDU) for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Null frames whose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Policy subfield is No Ack.</w:t>
      </w:r>
    </w:p>
    <w:p w14:paraId="33162322" w14:textId="77777777" w:rsidR="00AD7E65" w:rsidRPr="00032328" w:rsidRDefault="00AD7E65" w:rsidP="00430C40">
      <w:pPr>
        <w:rPr>
          <w:color w:val="A6A6A6" w:themeColor="background1" w:themeShade="A6"/>
          <w:lang w:val="en-US" w:eastAsia="ko-KR"/>
        </w:rPr>
      </w:pPr>
    </w:p>
    <w:p w14:paraId="3F156A5F" w14:textId="677B1887" w:rsidR="00AD7E65" w:rsidRPr="00032328" w:rsidRDefault="00AD7E65" w:rsidP="00430C40">
      <w:pPr>
        <w:rPr>
          <w:color w:val="A6A6A6" w:themeColor="background1" w:themeShade="A6"/>
          <w:sz w:val="20"/>
        </w:rPr>
      </w:pPr>
      <w:r w:rsidRPr="00032328">
        <w:rPr>
          <w:color w:val="A6A6A6" w:themeColor="background1" w:themeShade="A6"/>
          <w:sz w:val="20"/>
        </w:rPr>
        <w:t>— The HE STA may report the buffer status in the BSR Control field of frames it transmits if the AP has indicated its support in the BSR Support subfield of its HE Capabilities element; otherwise the STA shall not report the buffer status in the BSR Control field.</w:t>
      </w:r>
    </w:p>
    <w:p w14:paraId="48FDEF2F" w14:textId="2F3CEE05" w:rsidR="00AD7E65" w:rsidRPr="00032328" w:rsidRDefault="00AD7E65" w:rsidP="00430C40">
      <w:pPr>
        <w:rPr>
          <w:color w:val="A6A6A6" w:themeColor="background1" w:themeShade="A6"/>
          <w:sz w:val="20"/>
        </w:rPr>
      </w:pPr>
      <w:r w:rsidRPr="009E1DD3">
        <w:rPr>
          <w:sz w:val="20"/>
        </w:rPr>
        <w:t>• The HE STA shall report the buffer status for its preferred AC, indicated by the ACI High subfield, in the Queue Size High subfield of the BSR Control field; except that the STA may set the Queue Size High subfield to 255 to indicate an unknown/unspecified BSR for that AC</w:t>
      </w:r>
      <w:proofErr w:type="gramStart"/>
      <w:r w:rsidR="009E1DD3" w:rsidRPr="009E1DD3">
        <w:rPr>
          <w:color w:val="FF0000"/>
          <w:sz w:val="20"/>
          <w:u w:val="single"/>
        </w:rPr>
        <w:t>.</w:t>
      </w:r>
      <w:r w:rsidR="009E1DD3" w:rsidRPr="009E1DD3">
        <w:rPr>
          <w:color w:val="70AD47" w:themeColor="accent6"/>
          <w:sz w:val="20"/>
        </w:rPr>
        <w:t>(</w:t>
      </w:r>
      <w:proofErr w:type="gramEnd"/>
      <w:r w:rsidR="009E1DD3" w:rsidRPr="009E1DD3">
        <w:rPr>
          <w:color w:val="70AD47" w:themeColor="accent6"/>
          <w:sz w:val="20"/>
        </w:rPr>
        <w:t>#14265)</w:t>
      </w:r>
      <w:r w:rsidRPr="009E1DD3">
        <w:rPr>
          <w:color w:val="A6A6A6" w:themeColor="background1" w:themeShade="A6"/>
          <w:sz w:val="20"/>
        </w:rPr>
        <w:t xml:space="preserve"> </w:t>
      </w:r>
    </w:p>
    <w:p w14:paraId="39FDBF9A" w14:textId="77777777" w:rsidR="009E1DD3" w:rsidRPr="00032328" w:rsidRDefault="00AD7E65" w:rsidP="009E1DD3">
      <w:pPr>
        <w:rPr>
          <w:color w:val="A6A6A6" w:themeColor="background1" w:themeShade="A6"/>
          <w:sz w:val="20"/>
        </w:rPr>
      </w:pPr>
      <w:r w:rsidRPr="009E1DD3">
        <w:rPr>
          <w:sz w:val="20"/>
        </w:rPr>
        <w:t>• The HE STA shall report the buffer status for all ACs, indicated by the ACI Bitmap subfield, in the Queue Size All subfield of the BSR Control field; except that the STA may set the Queue Size All subfield to 255 to indicate an unknown/unspecified BSR for those ACs</w:t>
      </w:r>
      <w:proofErr w:type="gramStart"/>
      <w:r w:rsidR="009E1DD3" w:rsidRPr="009E1DD3">
        <w:rPr>
          <w:color w:val="FF0000"/>
          <w:sz w:val="20"/>
          <w:u w:val="single"/>
        </w:rPr>
        <w:t>.</w:t>
      </w:r>
      <w:r w:rsidR="009E1DD3" w:rsidRPr="009E1DD3">
        <w:rPr>
          <w:color w:val="70AD47" w:themeColor="accent6"/>
          <w:sz w:val="20"/>
        </w:rPr>
        <w:t>(</w:t>
      </w:r>
      <w:proofErr w:type="gramEnd"/>
      <w:r w:rsidR="009E1DD3" w:rsidRPr="009E1DD3">
        <w:rPr>
          <w:color w:val="70AD47" w:themeColor="accent6"/>
          <w:sz w:val="20"/>
        </w:rPr>
        <w:t>#14265)</w:t>
      </w:r>
      <w:r w:rsidR="009E1DD3" w:rsidRPr="009E1DD3">
        <w:rPr>
          <w:color w:val="A6A6A6" w:themeColor="background1" w:themeShade="A6"/>
          <w:sz w:val="20"/>
        </w:rPr>
        <w:t xml:space="preserve"> </w:t>
      </w:r>
    </w:p>
    <w:p w14:paraId="7868DFD6" w14:textId="49CB34FA" w:rsidR="00AD7E65" w:rsidRPr="00032328" w:rsidRDefault="00AD7E65" w:rsidP="00430C40">
      <w:pPr>
        <w:rPr>
          <w:color w:val="A6A6A6" w:themeColor="background1" w:themeShade="A6"/>
          <w:sz w:val="20"/>
        </w:rPr>
      </w:pPr>
      <w:r w:rsidRPr="00032328">
        <w:rPr>
          <w:color w:val="A6A6A6" w:themeColor="background1" w:themeShade="A6"/>
          <w:sz w:val="20"/>
        </w:rPr>
        <w:t>• The HE STA shall set the Delta TID subfield according to Table 9-18e (Delta TID subfield encoding), and the Scaling Factor subfield as defined in 9.2.4.6.4.5 (BSR Control).</w:t>
      </w:r>
    </w:p>
    <w:p w14:paraId="13BC2BAC" w14:textId="77777777" w:rsidR="00AD7E65" w:rsidRPr="00032328" w:rsidRDefault="00AD7E65" w:rsidP="00430C40">
      <w:pPr>
        <w:rPr>
          <w:color w:val="A6A6A6" w:themeColor="background1" w:themeShade="A6"/>
          <w:sz w:val="20"/>
        </w:rPr>
      </w:pPr>
    </w:p>
    <w:p w14:paraId="1502466B" w14:textId="77777777" w:rsidR="00AD7E65" w:rsidRPr="00032328" w:rsidRDefault="00AD7E65" w:rsidP="00430C40">
      <w:pPr>
        <w:rPr>
          <w:color w:val="A6A6A6" w:themeColor="background1" w:themeShade="A6"/>
          <w:sz w:val="18"/>
          <w:szCs w:val="18"/>
        </w:rPr>
      </w:pPr>
      <w:r w:rsidRPr="00032328">
        <w:rPr>
          <w:color w:val="A6A6A6" w:themeColor="background1" w:themeShade="A6"/>
          <w:sz w:val="18"/>
          <w:szCs w:val="18"/>
        </w:rPr>
        <w:t xml:space="preserve">NOTE 1—The STA can send an unsolicited BSR in response certain Trigger frames except MU-RTS and BSRP (with or without random access RUs, as defined in 27.5.3.3 (STA </w:t>
      </w:r>
      <w:proofErr w:type="spellStart"/>
      <w:r w:rsidRPr="00032328">
        <w:rPr>
          <w:color w:val="A6A6A6" w:themeColor="background1" w:themeShade="A6"/>
          <w:sz w:val="18"/>
          <w:szCs w:val="18"/>
        </w:rPr>
        <w:t>behavior</w:t>
      </w:r>
      <w:proofErr w:type="spellEnd"/>
      <w:r w:rsidRPr="00032328">
        <w:rPr>
          <w:color w:val="A6A6A6" w:themeColor="background1" w:themeShade="A6"/>
          <w:sz w:val="18"/>
          <w:szCs w:val="18"/>
        </w:rPr>
        <w:t xml:space="preserve"> for UL MU operation) and in 27.5.5 (UL </w:t>
      </w:r>
      <w:proofErr w:type="spellStart"/>
      <w:r w:rsidRPr="00032328">
        <w:rPr>
          <w:color w:val="A6A6A6" w:themeColor="background1" w:themeShade="A6"/>
          <w:sz w:val="18"/>
          <w:szCs w:val="18"/>
        </w:rPr>
        <w:t>OFDMAbased</w:t>
      </w:r>
      <w:proofErr w:type="spellEnd"/>
      <w:r w:rsidRPr="00032328">
        <w:rPr>
          <w:color w:val="A6A6A6" w:themeColor="background1" w:themeShade="A6"/>
          <w:sz w:val="18"/>
          <w:szCs w:val="18"/>
        </w:rPr>
        <w:t xml:space="preserve"> random access (UORA))) or it can send the unsolicited BSR after accessing the WM using EDCA. </w:t>
      </w:r>
    </w:p>
    <w:p w14:paraId="1F2E66E7" w14:textId="77777777" w:rsidR="00AD7E65" w:rsidRPr="00032328" w:rsidRDefault="00AD7E65" w:rsidP="00430C40">
      <w:pPr>
        <w:rPr>
          <w:color w:val="A6A6A6" w:themeColor="background1" w:themeShade="A6"/>
          <w:sz w:val="18"/>
          <w:szCs w:val="18"/>
        </w:rPr>
      </w:pPr>
    </w:p>
    <w:p w14:paraId="34E4240D" w14:textId="13542C26" w:rsidR="00AD7E65" w:rsidRPr="00032328" w:rsidRDefault="00AD7E65" w:rsidP="00430C40">
      <w:pPr>
        <w:rPr>
          <w:color w:val="A6A6A6" w:themeColor="background1" w:themeShade="A6"/>
          <w:sz w:val="18"/>
          <w:szCs w:val="18"/>
        </w:rPr>
      </w:pPr>
      <w:r w:rsidRPr="00032328">
        <w:rPr>
          <w:color w:val="A6A6A6" w:themeColor="background1" w:themeShade="A6"/>
          <w:sz w:val="18"/>
          <w:szCs w:val="18"/>
        </w:rPr>
        <w:t xml:space="preserve">NOTE 2—The STA can include both the </w:t>
      </w:r>
      <w:proofErr w:type="spellStart"/>
      <w:r w:rsidRPr="00032328">
        <w:rPr>
          <w:color w:val="A6A6A6" w:themeColor="background1" w:themeShade="A6"/>
          <w:sz w:val="18"/>
          <w:szCs w:val="18"/>
        </w:rPr>
        <w:t>QoS</w:t>
      </w:r>
      <w:proofErr w:type="spellEnd"/>
      <w:r w:rsidRPr="00032328">
        <w:rPr>
          <w:color w:val="A6A6A6" w:themeColor="background1" w:themeShade="A6"/>
          <w:sz w:val="18"/>
          <w:szCs w:val="18"/>
        </w:rPr>
        <w:t xml:space="preserve"> Control and the BSR Control field in the same frame. In this case it can set the Queue Size subfield of either field to a value of 255 or have both fields carry the same value in the Queue Size subfield.</w:t>
      </w:r>
    </w:p>
    <w:p w14:paraId="522E6F21" w14:textId="77777777" w:rsidR="00AD7E65" w:rsidRPr="00032328" w:rsidRDefault="00AD7E65" w:rsidP="00430C40">
      <w:pPr>
        <w:rPr>
          <w:color w:val="A6A6A6" w:themeColor="background1" w:themeShade="A6"/>
          <w:sz w:val="18"/>
          <w:szCs w:val="18"/>
        </w:rPr>
      </w:pPr>
    </w:p>
    <w:p w14:paraId="67A27EA4" w14:textId="77777777" w:rsidR="00AD7E65" w:rsidRPr="00032328" w:rsidRDefault="00AD7E65" w:rsidP="00430C40">
      <w:pPr>
        <w:rPr>
          <w:color w:val="A6A6A6" w:themeColor="background1" w:themeShade="A6"/>
          <w:sz w:val="20"/>
        </w:rPr>
      </w:pPr>
      <w:r w:rsidRPr="00032328">
        <w:rPr>
          <w:color w:val="A6A6A6" w:themeColor="background1" w:themeShade="A6"/>
          <w:sz w:val="20"/>
        </w:rPr>
        <w:t xml:space="preserve">An AP can also solicit one or more associated non-AP STAs for their BSR(s) by sending a BSRP Trigger frame (see 9.3.1.23 (Trigger frame format)). The non-AP STA responds (solicited BSR) as defined below: </w:t>
      </w:r>
    </w:p>
    <w:p w14:paraId="43AE0FEC" w14:textId="77777777" w:rsidR="001C736F" w:rsidRPr="00032328" w:rsidRDefault="001C736F" w:rsidP="00430C40">
      <w:pPr>
        <w:rPr>
          <w:color w:val="A6A6A6" w:themeColor="background1" w:themeShade="A6"/>
          <w:sz w:val="20"/>
        </w:rPr>
      </w:pPr>
    </w:p>
    <w:p w14:paraId="625B098B" w14:textId="77777777" w:rsidR="00AD7E65" w:rsidRPr="00032328" w:rsidRDefault="00AD7E65" w:rsidP="00430C40">
      <w:pPr>
        <w:rPr>
          <w:color w:val="A6A6A6" w:themeColor="background1" w:themeShade="A6"/>
          <w:sz w:val="20"/>
        </w:rPr>
      </w:pPr>
      <w:r w:rsidRPr="00032328">
        <w:rPr>
          <w:color w:val="A6A6A6" w:themeColor="background1" w:themeShade="A6"/>
          <w:sz w:val="20"/>
        </w:rPr>
        <w:t xml:space="preserve">— The STA that receives a BSRP Trigger frame shall follow the rules defined in 27.5.3.3 (STA </w:t>
      </w:r>
      <w:proofErr w:type="spellStart"/>
      <w:r w:rsidRPr="00032328">
        <w:rPr>
          <w:color w:val="A6A6A6" w:themeColor="background1" w:themeShade="A6"/>
          <w:sz w:val="20"/>
        </w:rPr>
        <w:t>behav-ior</w:t>
      </w:r>
      <w:proofErr w:type="spellEnd"/>
      <w:r w:rsidRPr="00032328">
        <w:rPr>
          <w:color w:val="A6A6A6" w:themeColor="background1" w:themeShade="A6"/>
          <w:sz w:val="20"/>
        </w:rPr>
        <w:t xml:space="preserve"> for UL MU operation) to generate the HE TB PPDU when the Trigger frame contains the 12 LSBs of the STA's AID in any of the User Info fields; otherwise if the STA's buffers are not empty and the STA supports the UL OFDMA-based random access procedure, it may follow the rules defined in 27.5.5 (UL OFDMA-based random access (UORA)) to gain access to a random access RU and generate the HE TB PPDU when the Trigger frame contains one or more random access </w:t>
      </w:r>
      <w:proofErr w:type="spellStart"/>
      <w:r w:rsidRPr="00032328">
        <w:rPr>
          <w:color w:val="A6A6A6" w:themeColor="background1" w:themeShade="A6"/>
          <w:sz w:val="20"/>
        </w:rPr>
        <w:t>RUs.</w:t>
      </w:r>
      <w:proofErr w:type="spellEnd"/>
      <w:r w:rsidRPr="00032328">
        <w:rPr>
          <w:color w:val="A6A6A6" w:themeColor="background1" w:themeShade="A6"/>
          <w:sz w:val="20"/>
        </w:rPr>
        <w:t xml:space="preserve"> </w:t>
      </w:r>
    </w:p>
    <w:p w14:paraId="0D11E094" w14:textId="77777777" w:rsidR="005512AE" w:rsidRDefault="005512AE" w:rsidP="00430C40">
      <w:pPr>
        <w:rPr>
          <w:sz w:val="20"/>
        </w:rPr>
      </w:pPr>
    </w:p>
    <w:p w14:paraId="1F037C7D" w14:textId="77777777" w:rsidR="00AD7E65" w:rsidRDefault="00AD7E65" w:rsidP="00430C40">
      <w:pPr>
        <w:rPr>
          <w:sz w:val="20"/>
        </w:rPr>
      </w:pPr>
      <w:r>
        <w:rPr>
          <w:sz w:val="20"/>
        </w:rPr>
        <w:t xml:space="preserve">— The STA shall include in the HE TB PPDU one or more </w:t>
      </w:r>
      <w:proofErr w:type="spellStart"/>
      <w:r>
        <w:rPr>
          <w:sz w:val="20"/>
        </w:rPr>
        <w:t>QoS</w:t>
      </w:r>
      <w:proofErr w:type="spellEnd"/>
      <w:r>
        <w:rPr>
          <w:sz w:val="20"/>
        </w:rPr>
        <w:t xml:space="preserve"> Null frames containing one or more of the following: </w:t>
      </w:r>
    </w:p>
    <w:p w14:paraId="154C4D8E" w14:textId="77777777" w:rsidR="00AD7E65" w:rsidRDefault="00AD7E65" w:rsidP="00430C40">
      <w:pPr>
        <w:rPr>
          <w:sz w:val="20"/>
        </w:rPr>
      </w:pPr>
      <w:r>
        <w:rPr>
          <w:sz w:val="20"/>
        </w:rPr>
        <w:t xml:space="preserve">• The </w:t>
      </w:r>
      <w:proofErr w:type="spellStart"/>
      <w:r>
        <w:rPr>
          <w:sz w:val="20"/>
        </w:rPr>
        <w:t>QoS</w:t>
      </w:r>
      <w:proofErr w:type="spellEnd"/>
      <w:r>
        <w:rPr>
          <w:sz w:val="20"/>
        </w:rPr>
        <w:t xml:space="preserve"> Control field(s) with Queue Size subfields for each of the TIDs for which the STA has buffer status to report to the AP. </w:t>
      </w:r>
    </w:p>
    <w:p w14:paraId="044AE5E4" w14:textId="09AEAD2E" w:rsidR="00AD7E65" w:rsidRDefault="00AD7E65" w:rsidP="00430C40">
      <w:pPr>
        <w:rPr>
          <w:sz w:val="20"/>
        </w:rPr>
      </w:pPr>
      <w:r>
        <w:rPr>
          <w:sz w:val="20"/>
        </w:rPr>
        <w:lastRenderedPageBreak/>
        <w:t>• The BSR Control field with the Queue Size All subfield indicating the queue size for all the ACs, indicated by the ACI Bitmap subfield, for which the STA has buffer status to report to the AP when the AP has indicated its support in the BSR Support subf</w:t>
      </w:r>
      <w:r w:rsidR="00B306E7">
        <w:rPr>
          <w:sz w:val="20"/>
        </w:rPr>
        <w:t>ield of its HE Capabilities ele</w:t>
      </w:r>
      <w:r>
        <w:rPr>
          <w:sz w:val="20"/>
        </w:rPr>
        <w:t xml:space="preserve">ment. The STA shall set Delta TID, SF, ACI High and Queue Size High subfields of the BSR Control field as defined in 9.2.4.6.4.5 (BSR Control). </w:t>
      </w:r>
    </w:p>
    <w:p w14:paraId="1DE59F02" w14:textId="77777777" w:rsidR="005512AE" w:rsidRPr="00C278F8" w:rsidRDefault="005512AE" w:rsidP="00430C40">
      <w:pPr>
        <w:rPr>
          <w:color w:val="FF0000"/>
          <w:sz w:val="18"/>
          <w:szCs w:val="18"/>
          <w:u w:val="single"/>
        </w:rPr>
      </w:pPr>
    </w:p>
    <w:p w14:paraId="0B9BA66C" w14:textId="0802EF1B" w:rsidR="009B18F7" w:rsidRPr="009B18F7" w:rsidRDefault="009B18F7" w:rsidP="009B18F7">
      <w:pPr>
        <w:rPr>
          <w:color w:val="A6A6A6" w:themeColor="background1" w:themeShade="A6"/>
          <w:sz w:val="18"/>
          <w:szCs w:val="18"/>
          <w:u w:val="single"/>
        </w:rPr>
      </w:pPr>
      <w:r>
        <w:rPr>
          <w:color w:val="FF0000"/>
          <w:sz w:val="18"/>
          <w:szCs w:val="18"/>
          <w:u w:val="single"/>
        </w:rPr>
        <w:t xml:space="preserve">NOTE </w:t>
      </w:r>
      <w:r w:rsidRPr="009B18F7">
        <w:rPr>
          <w:color w:val="FF0000"/>
          <w:sz w:val="18"/>
          <w:szCs w:val="18"/>
          <w:u w:val="single"/>
        </w:rPr>
        <w:t>—</w:t>
      </w:r>
      <w:r w:rsidR="00C278F8" w:rsidRPr="00C278F8">
        <w:rPr>
          <w:color w:val="FF0000"/>
          <w:sz w:val="18"/>
          <w:szCs w:val="18"/>
          <w:u w:val="single"/>
        </w:rPr>
        <w:t xml:space="preserve"> Similar to unsolicited BSR, </w:t>
      </w:r>
      <w:r w:rsidR="00C278F8">
        <w:rPr>
          <w:color w:val="FF0000"/>
          <w:sz w:val="18"/>
          <w:szCs w:val="18"/>
          <w:u w:val="single"/>
        </w:rPr>
        <w:t>t</w:t>
      </w:r>
      <w:r w:rsidRPr="009B18F7">
        <w:rPr>
          <w:color w:val="FF0000"/>
          <w:sz w:val="18"/>
          <w:szCs w:val="18"/>
          <w:u w:val="single"/>
        </w:rPr>
        <w:t xml:space="preserve">he STA can include both the </w:t>
      </w:r>
      <w:proofErr w:type="spellStart"/>
      <w:r w:rsidRPr="009B18F7">
        <w:rPr>
          <w:color w:val="FF0000"/>
          <w:sz w:val="18"/>
          <w:szCs w:val="18"/>
          <w:u w:val="single"/>
        </w:rPr>
        <w:t>QoS</w:t>
      </w:r>
      <w:proofErr w:type="spellEnd"/>
      <w:r w:rsidRPr="009B18F7">
        <w:rPr>
          <w:color w:val="FF0000"/>
          <w:sz w:val="18"/>
          <w:szCs w:val="18"/>
          <w:u w:val="single"/>
        </w:rPr>
        <w:t xml:space="preserve"> Control and the BSR Control field in the same </w:t>
      </w:r>
      <w:proofErr w:type="spellStart"/>
      <w:r w:rsidR="00B306E7">
        <w:rPr>
          <w:color w:val="FF0000"/>
          <w:sz w:val="18"/>
          <w:szCs w:val="18"/>
          <w:u w:val="single"/>
        </w:rPr>
        <w:t>QoS</w:t>
      </w:r>
      <w:proofErr w:type="spellEnd"/>
      <w:r w:rsidR="00B306E7">
        <w:rPr>
          <w:color w:val="FF0000"/>
          <w:sz w:val="18"/>
          <w:szCs w:val="18"/>
          <w:u w:val="single"/>
        </w:rPr>
        <w:t xml:space="preserve"> Null </w:t>
      </w:r>
      <w:r w:rsidRPr="009B18F7">
        <w:rPr>
          <w:color w:val="FF0000"/>
          <w:sz w:val="18"/>
          <w:szCs w:val="18"/>
          <w:u w:val="single"/>
        </w:rPr>
        <w:t>frame</w:t>
      </w:r>
      <w:r w:rsidR="000F31E4">
        <w:rPr>
          <w:color w:val="FF0000"/>
          <w:sz w:val="18"/>
          <w:szCs w:val="18"/>
          <w:u w:val="single"/>
        </w:rPr>
        <w:t xml:space="preserve"> in response to the BSRP Trigger frame</w:t>
      </w:r>
      <w:r w:rsidRPr="009B18F7">
        <w:rPr>
          <w:color w:val="FF0000"/>
          <w:sz w:val="18"/>
          <w:szCs w:val="18"/>
          <w:u w:val="single"/>
        </w:rPr>
        <w:t>. In this case</w:t>
      </w:r>
      <w:r w:rsidR="00AF5418">
        <w:rPr>
          <w:color w:val="FF0000"/>
          <w:sz w:val="18"/>
          <w:szCs w:val="18"/>
          <w:u w:val="single"/>
        </w:rPr>
        <w:t>,</w:t>
      </w:r>
      <w:r w:rsidRPr="009B18F7">
        <w:rPr>
          <w:color w:val="FF0000"/>
          <w:sz w:val="18"/>
          <w:szCs w:val="18"/>
          <w:u w:val="single"/>
        </w:rPr>
        <w:t xml:space="preserve"> it can set the Queue Size subfield of either field to a value of 255 or have both fields carry the same value in the Queue Size subfield</w:t>
      </w:r>
      <w:proofErr w:type="gramStart"/>
      <w:r w:rsidRPr="009B18F7">
        <w:rPr>
          <w:color w:val="FF0000"/>
          <w:sz w:val="18"/>
          <w:szCs w:val="18"/>
          <w:u w:val="single"/>
        </w:rPr>
        <w:t>.</w:t>
      </w:r>
      <w:r w:rsidR="00C278F8" w:rsidRPr="00C278F8">
        <w:rPr>
          <w:color w:val="70AD47" w:themeColor="accent6"/>
          <w:sz w:val="18"/>
          <w:szCs w:val="18"/>
        </w:rPr>
        <w:t>(</w:t>
      </w:r>
      <w:proofErr w:type="gramEnd"/>
      <w:r w:rsidR="00C278F8" w:rsidRPr="00C278F8">
        <w:rPr>
          <w:color w:val="70AD47" w:themeColor="accent6"/>
          <w:sz w:val="18"/>
          <w:szCs w:val="18"/>
        </w:rPr>
        <w:t>#11323)</w:t>
      </w:r>
    </w:p>
    <w:p w14:paraId="4B0C68C6" w14:textId="77777777" w:rsidR="001C736F" w:rsidRPr="009B18F7" w:rsidRDefault="001C736F" w:rsidP="00430C40">
      <w:pPr>
        <w:rPr>
          <w:sz w:val="20"/>
        </w:rPr>
      </w:pPr>
    </w:p>
    <w:p w14:paraId="7539D1C6" w14:textId="77777777" w:rsidR="00AD7E65" w:rsidRPr="00032328" w:rsidRDefault="00AD7E65" w:rsidP="00430C40">
      <w:pPr>
        <w:rPr>
          <w:color w:val="A6A6A6" w:themeColor="background1" w:themeShade="A6"/>
          <w:sz w:val="20"/>
        </w:rPr>
      </w:pPr>
      <w:r w:rsidRPr="00032328">
        <w:rPr>
          <w:color w:val="A6A6A6" w:themeColor="background1" w:themeShade="A6"/>
          <w:sz w:val="20"/>
        </w:rPr>
        <w:t xml:space="preserve">— The HE STA shall not solicit an immediate response for the frames carried in the HE TB PPDU (e.g., by setting the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Policy subfield of the frame to Normal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or Implicit Block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Request). </w:t>
      </w:r>
    </w:p>
    <w:p w14:paraId="14A876E3" w14:textId="77777777" w:rsidR="005512AE" w:rsidRPr="00032328" w:rsidRDefault="005512AE" w:rsidP="00430C40">
      <w:pPr>
        <w:rPr>
          <w:color w:val="A6A6A6" w:themeColor="background1" w:themeShade="A6"/>
          <w:sz w:val="18"/>
          <w:szCs w:val="18"/>
        </w:rPr>
      </w:pPr>
    </w:p>
    <w:p w14:paraId="4FC749ED" w14:textId="5953D107" w:rsidR="005512AE" w:rsidRPr="00AF5418" w:rsidRDefault="00AD7E65" w:rsidP="00430C40">
      <w:pPr>
        <w:rPr>
          <w:sz w:val="18"/>
          <w:szCs w:val="18"/>
        </w:rPr>
      </w:pPr>
      <w:r w:rsidRPr="00AF5418">
        <w:rPr>
          <w:sz w:val="18"/>
          <w:szCs w:val="18"/>
        </w:rPr>
        <w:t xml:space="preserve">NOTE—Similar to unsolicited BSR, the STA can set Queue Sizes in either </w:t>
      </w:r>
      <w:proofErr w:type="spellStart"/>
      <w:r w:rsidRPr="00AF5418">
        <w:rPr>
          <w:sz w:val="18"/>
          <w:szCs w:val="18"/>
        </w:rPr>
        <w:t>QoS</w:t>
      </w:r>
      <w:proofErr w:type="spellEnd"/>
      <w:r w:rsidRPr="00AF5418">
        <w:rPr>
          <w:sz w:val="18"/>
          <w:szCs w:val="18"/>
        </w:rPr>
        <w:t xml:space="preserve"> Control or BSR Control field</w:t>
      </w:r>
      <w:r w:rsidR="00AF5418">
        <w:rPr>
          <w:sz w:val="18"/>
          <w:szCs w:val="18"/>
        </w:rPr>
        <w:t xml:space="preserve"> </w:t>
      </w:r>
      <w:r w:rsidR="00AF5418" w:rsidRPr="00AF5418">
        <w:rPr>
          <w:color w:val="FF0000"/>
          <w:sz w:val="18"/>
          <w:szCs w:val="18"/>
          <w:u w:val="single"/>
        </w:rPr>
        <w:t xml:space="preserve">or </w:t>
      </w:r>
      <w:proofErr w:type="gramStart"/>
      <w:r w:rsidR="00AF5418" w:rsidRPr="00AF5418">
        <w:rPr>
          <w:color w:val="FF0000"/>
          <w:sz w:val="18"/>
          <w:szCs w:val="18"/>
          <w:u w:val="single"/>
        </w:rPr>
        <w:t>both</w:t>
      </w:r>
      <w:r w:rsidR="00AF5418" w:rsidRPr="00C278F8">
        <w:rPr>
          <w:color w:val="70AD47" w:themeColor="accent6"/>
          <w:sz w:val="18"/>
          <w:szCs w:val="18"/>
        </w:rPr>
        <w:t>(</w:t>
      </w:r>
      <w:proofErr w:type="gramEnd"/>
      <w:r w:rsidR="00AF5418" w:rsidRPr="00C278F8">
        <w:rPr>
          <w:color w:val="70AD47" w:themeColor="accent6"/>
          <w:sz w:val="18"/>
          <w:szCs w:val="18"/>
        </w:rPr>
        <w:t>#1132</w:t>
      </w:r>
      <w:r w:rsidR="00AF5418">
        <w:rPr>
          <w:color w:val="70AD47" w:themeColor="accent6"/>
          <w:sz w:val="18"/>
          <w:szCs w:val="18"/>
        </w:rPr>
        <w:t>5</w:t>
      </w:r>
      <w:r w:rsidR="00AF5418" w:rsidRPr="00C278F8">
        <w:rPr>
          <w:color w:val="70AD47" w:themeColor="accent6"/>
          <w:sz w:val="18"/>
          <w:szCs w:val="18"/>
        </w:rPr>
        <w:t>)</w:t>
      </w:r>
      <w:r w:rsidR="00AF5418">
        <w:rPr>
          <w:color w:val="70AD47" w:themeColor="accent6"/>
          <w:sz w:val="18"/>
          <w:szCs w:val="18"/>
        </w:rPr>
        <w:t xml:space="preserve"> </w:t>
      </w:r>
      <w:r w:rsidRPr="00AF5418">
        <w:rPr>
          <w:color w:val="FF0000"/>
          <w:sz w:val="18"/>
          <w:szCs w:val="18"/>
        </w:rPr>
        <w:t xml:space="preserve"> </w:t>
      </w:r>
      <w:r w:rsidRPr="00AF5418">
        <w:rPr>
          <w:sz w:val="18"/>
          <w:szCs w:val="18"/>
        </w:rPr>
        <w:t>to 255 to indicate unknown/unspecified BSR</w:t>
      </w:r>
      <w:r w:rsidR="00AF5418" w:rsidRPr="00AF5418">
        <w:rPr>
          <w:sz w:val="18"/>
          <w:szCs w:val="18"/>
        </w:rPr>
        <w:t xml:space="preserve"> </w:t>
      </w:r>
      <w:r w:rsidR="00AF5418" w:rsidRPr="00AF5418">
        <w:rPr>
          <w:color w:val="FF0000"/>
          <w:sz w:val="18"/>
          <w:szCs w:val="18"/>
          <w:u w:val="single"/>
        </w:rPr>
        <w:t>or to other value</w:t>
      </w:r>
      <w:r w:rsidR="00AF5418" w:rsidRPr="00C278F8">
        <w:rPr>
          <w:color w:val="70AD47" w:themeColor="accent6"/>
          <w:sz w:val="18"/>
          <w:szCs w:val="18"/>
        </w:rPr>
        <w:t>(#1132</w:t>
      </w:r>
      <w:r w:rsidR="00AF5418">
        <w:rPr>
          <w:color w:val="70AD47" w:themeColor="accent6"/>
          <w:sz w:val="18"/>
          <w:szCs w:val="18"/>
        </w:rPr>
        <w:t>5</w:t>
      </w:r>
      <w:r w:rsidR="00AF5418" w:rsidRPr="00C278F8">
        <w:rPr>
          <w:color w:val="70AD47" w:themeColor="accent6"/>
          <w:sz w:val="18"/>
          <w:szCs w:val="18"/>
        </w:rPr>
        <w:t>)</w:t>
      </w:r>
      <w:r w:rsidR="00AF5418">
        <w:rPr>
          <w:color w:val="70AD47" w:themeColor="accent6"/>
          <w:sz w:val="18"/>
          <w:szCs w:val="18"/>
        </w:rPr>
        <w:t xml:space="preserve"> </w:t>
      </w:r>
      <w:r w:rsidRPr="00AF5418">
        <w:rPr>
          <w:sz w:val="18"/>
          <w:szCs w:val="18"/>
        </w:rPr>
        <w:t xml:space="preserve">for a TID, AC or all AC. </w:t>
      </w:r>
    </w:p>
    <w:p w14:paraId="67D9413C" w14:textId="77777777" w:rsidR="005512AE" w:rsidRDefault="005512AE" w:rsidP="00430C40">
      <w:pPr>
        <w:rPr>
          <w:color w:val="A6A6A6" w:themeColor="background1" w:themeShade="A6"/>
          <w:sz w:val="18"/>
          <w:szCs w:val="18"/>
        </w:rPr>
      </w:pPr>
    </w:p>
    <w:p w14:paraId="25FCC7E2" w14:textId="4C285B08" w:rsidR="00BA6660" w:rsidRPr="00BA6660" w:rsidRDefault="00BA6660" w:rsidP="00430C40">
      <w:pPr>
        <w:rPr>
          <w:color w:val="FF0000"/>
          <w:sz w:val="18"/>
          <w:szCs w:val="18"/>
          <w:u w:val="single"/>
        </w:rPr>
      </w:pPr>
      <w:r w:rsidRPr="00BA6660">
        <w:rPr>
          <w:color w:val="FF0000"/>
          <w:sz w:val="18"/>
          <w:szCs w:val="18"/>
          <w:u w:val="single"/>
        </w:rPr>
        <w:t>NOTE—An AP should not send a BSRP Trigger frame c</w:t>
      </w:r>
      <w:r w:rsidR="00EC4F8D">
        <w:rPr>
          <w:color w:val="FF0000"/>
          <w:sz w:val="18"/>
          <w:szCs w:val="18"/>
          <w:u w:val="single"/>
        </w:rPr>
        <w:t>ontaining a 12 LSBs of the</w:t>
      </w:r>
      <w:r w:rsidRPr="00BA6660">
        <w:rPr>
          <w:color w:val="FF0000"/>
          <w:sz w:val="18"/>
          <w:szCs w:val="18"/>
          <w:u w:val="single"/>
        </w:rPr>
        <w:t xml:space="preserve"> AID </w:t>
      </w:r>
      <w:r w:rsidR="00EC4F8D">
        <w:rPr>
          <w:color w:val="FF0000"/>
          <w:sz w:val="18"/>
          <w:szCs w:val="18"/>
          <w:u w:val="single"/>
        </w:rPr>
        <w:t xml:space="preserve">of </w:t>
      </w:r>
      <w:r w:rsidR="00EC4F8D">
        <w:rPr>
          <w:rFonts w:hint="eastAsia"/>
          <w:color w:val="FF0000"/>
          <w:sz w:val="18"/>
          <w:szCs w:val="18"/>
          <w:u w:val="single"/>
          <w:lang w:eastAsia="ko-KR"/>
        </w:rPr>
        <w:t>t</w:t>
      </w:r>
      <w:r w:rsidR="00EC4F8D">
        <w:rPr>
          <w:color w:val="FF0000"/>
          <w:sz w:val="18"/>
          <w:szCs w:val="18"/>
          <w:u w:val="single"/>
          <w:lang w:eastAsia="ko-KR"/>
        </w:rPr>
        <w:t xml:space="preserve">hat the STA </w:t>
      </w:r>
      <w:r w:rsidRPr="00BA6660">
        <w:rPr>
          <w:color w:val="FF0000"/>
          <w:sz w:val="18"/>
          <w:szCs w:val="18"/>
          <w:u w:val="single"/>
        </w:rPr>
        <w:t>sets the UL MU Disable bit to 1.</w:t>
      </w:r>
      <w:r w:rsidRPr="00BA6660">
        <w:rPr>
          <w:color w:val="70AD47" w:themeColor="accent6"/>
          <w:sz w:val="18"/>
          <w:szCs w:val="18"/>
        </w:rPr>
        <w:t xml:space="preserve"> </w:t>
      </w:r>
      <w:r w:rsidRPr="00C278F8">
        <w:rPr>
          <w:color w:val="70AD47" w:themeColor="accent6"/>
          <w:sz w:val="18"/>
          <w:szCs w:val="18"/>
        </w:rPr>
        <w:t>(#1132</w:t>
      </w:r>
      <w:r>
        <w:rPr>
          <w:color w:val="70AD47" w:themeColor="accent6"/>
          <w:sz w:val="18"/>
          <w:szCs w:val="18"/>
        </w:rPr>
        <w:t>4</w:t>
      </w:r>
      <w:r w:rsidRPr="00C278F8">
        <w:rPr>
          <w:color w:val="70AD47" w:themeColor="accent6"/>
          <w:sz w:val="18"/>
          <w:szCs w:val="18"/>
        </w:rPr>
        <w:t>)</w:t>
      </w:r>
    </w:p>
    <w:p w14:paraId="1D050964" w14:textId="77777777" w:rsidR="00BA6660" w:rsidRPr="00032328" w:rsidRDefault="00BA6660" w:rsidP="00430C40">
      <w:pPr>
        <w:rPr>
          <w:color w:val="A6A6A6" w:themeColor="background1" w:themeShade="A6"/>
          <w:sz w:val="18"/>
          <w:szCs w:val="18"/>
        </w:rPr>
      </w:pPr>
    </w:p>
    <w:p w14:paraId="5A6A1C34" w14:textId="1A95469F" w:rsidR="00AD7E65" w:rsidRDefault="00AD7E65" w:rsidP="00430C40">
      <w:pPr>
        <w:rPr>
          <w:color w:val="A6A6A6" w:themeColor="background1" w:themeShade="A6"/>
          <w:sz w:val="20"/>
        </w:rPr>
      </w:pPr>
      <w:r w:rsidRPr="006713F0">
        <w:rPr>
          <w:sz w:val="20"/>
        </w:rPr>
        <w:t>An AP may include a BSRP Trigger frame together with other Control, Data and Management frames in one A-MPDU to a STA if the HE Capabilities element received from the STA has the BSRP</w:t>
      </w:r>
      <w:r w:rsidR="006713F0" w:rsidRPr="006713F0">
        <w:rPr>
          <w:sz w:val="20"/>
        </w:rPr>
        <w:t xml:space="preserve"> </w:t>
      </w:r>
      <w:r w:rsidR="006713F0" w:rsidRPr="006713F0">
        <w:rPr>
          <w:color w:val="FF0000"/>
          <w:sz w:val="20"/>
          <w:u w:val="single"/>
        </w:rPr>
        <w:t>BQRP</w:t>
      </w:r>
      <w:r w:rsidR="006713F0" w:rsidRPr="004360D7">
        <w:rPr>
          <w:color w:val="70AD47" w:themeColor="accent6"/>
          <w:sz w:val="20"/>
        </w:rPr>
        <w:t>(#12</w:t>
      </w:r>
      <w:r w:rsidR="006713F0">
        <w:rPr>
          <w:color w:val="70AD47" w:themeColor="accent6"/>
          <w:sz w:val="20"/>
        </w:rPr>
        <w:t>145</w:t>
      </w:r>
      <w:r w:rsidR="006713F0" w:rsidRPr="004360D7">
        <w:rPr>
          <w:color w:val="70AD47" w:themeColor="accent6"/>
          <w:sz w:val="20"/>
        </w:rPr>
        <w:t>)</w:t>
      </w:r>
      <w:r w:rsidR="006713F0">
        <w:rPr>
          <w:color w:val="70AD47" w:themeColor="accent6"/>
          <w:sz w:val="20"/>
        </w:rPr>
        <w:t>(#13920)</w:t>
      </w:r>
      <w:r w:rsidRPr="006713F0">
        <w:rPr>
          <w:color w:val="FF0000"/>
          <w:sz w:val="20"/>
        </w:rPr>
        <w:t xml:space="preserve"> </w:t>
      </w:r>
      <w:r w:rsidR="006713F0">
        <w:rPr>
          <w:sz w:val="20"/>
        </w:rPr>
        <w:t>A-MPDU Aggrega</w:t>
      </w:r>
      <w:r w:rsidRPr="006713F0">
        <w:rPr>
          <w:sz w:val="20"/>
        </w:rPr>
        <w:t xml:space="preserve">tion field equal to 1. </w:t>
      </w:r>
      <w:r w:rsidRPr="00032328">
        <w:rPr>
          <w:color w:val="A6A6A6" w:themeColor="background1" w:themeShade="A6"/>
          <w:sz w:val="20"/>
        </w:rPr>
        <w:t>If a STA receives a BSRP Trigger frame aggregated with Control, Data and Manage-</w:t>
      </w:r>
      <w:proofErr w:type="spellStart"/>
      <w:r w:rsidRPr="00032328">
        <w:rPr>
          <w:color w:val="A6A6A6" w:themeColor="background1" w:themeShade="A6"/>
          <w:sz w:val="20"/>
        </w:rPr>
        <w:t>ment</w:t>
      </w:r>
      <w:proofErr w:type="spellEnd"/>
      <w:r w:rsidRPr="00032328">
        <w:rPr>
          <w:color w:val="A6A6A6" w:themeColor="background1" w:themeShade="A6"/>
          <w:sz w:val="20"/>
        </w:rPr>
        <w:t xml:space="preserve"> frames that solicits an acknowledgement, the response A-MPDU shall contain MPDUs in the order described in Table 9-425 (A-MPDU contents in the data enabled immediate response context).</w:t>
      </w:r>
    </w:p>
    <w:p w14:paraId="4CE47EE5" w14:textId="77777777" w:rsidR="004360D7" w:rsidRPr="006713F0" w:rsidRDefault="004360D7" w:rsidP="00430C40">
      <w:pPr>
        <w:rPr>
          <w:color w:val="A6A6A6" w:themeColor="background1" w:themeShade="A6"/>
          <w:sz w:val="20"/>
        </w:rPr>
      </w:pPr>
    </w:p>
    <w:p w14:paraId="74E4FE71" w14:textId="603A5DB7" w:rsidR="004360D7" w:rsidRPr="004360D7" w:rsidRDefault="004360D7" w:rsidP="00430C40">
      <w:pPr>
        <w:rPr>
          <w:color w:val="FF0000"/>
          <w:sz w:val="20"/>
          <w:u w:val="single"/>
          <w:lang w:val="en-US" w:eastAsia="ko-KR"/>
        </w:rPr>
      </w:pPr>
      <w:r w:rsidRPr="004360D7">
        <w:rPr>
          <w:color w:val="FF0000"/>
          <w:sz w:val="20"/>
          <w:u w:val="single"/>
          <w:lang w:val="en-US" w:eastAsia="ko-KR"/>
        </w:rPr>
        <w:t xml:space="preserve">NDP feedback report procedure </w:t>
      </w:r>
      <w:r>
        <w:rPr>
          <w:color w:val="FF0000"/>
          <w:sz w:val="20"/>
          <w:u w:val="single"/>
          <w:lang w:val="en-US" w:eastAsia="ko-KR"/>
        </w:rPr>
        <w:t>described in 27.5.6 can be used for the buffer status feedback operation.</w:t>
      </w:r>
      <w:r w:rsidR="00B35DB6">
        <w:rPr>
          <w:color w:val="FF0000"/>
          <w:sz w:val="20"/>
          <w:u w:val="single"/>
          <w:lang w:val="en-US" w:eastAsia="ko-KR"/>
        </w:rPr>
        <w:t xml:space="preserve"> After receiving the NDP feedback report from </w:t>
      </w:r>
      <w:r w:rsidR="008F50C1">
        <w:rPr>
          <w:color w:val="FF0000"/>
          <w:sz w:val="20"/>
          <w:u w:val="single"/>
          <w:lang w:val="en-US" w:eastAsia="ko-KR"/>
        </w:rPr>
        <w:t xml:space="preserve">one or more </w:t>
      </w:r>
      <w:r w:rsidR="00B35DB6">
        <w:rPr>
          <w:color w:val="FF0000"/>
          <w:sz w:val="20"/>
          <w:u w:val="single"/>
          <w:lang w:val="en-US" w:eastAsia="ko-KR"/>
        </w:rPr>
        <w:t xml:space="preserve">STAs, the AP should send a BSRP Trigger frame to get more precise </w:t>
      </w:r>
      <w:r w:rsidR="000C4812">
        <w:rPr>
          <w:color w:val="FF0000"/>
          <w:sz w:val="20"/>
          <w:u w:val="single"/>
          <w:lang w:val="en-US" w:eastAsia="ko-KR"/>
        </w:rPr>
        <w:t>buffer status information</w:t>
      </w:r>
      <w:r w:rsidR="008F50C1">
        <w:rPr>
          <w:color w:val="FF0000"/>
          <w:sz w:val="20"/>
          <w:u w:val="single"/>
          <w:lang w:val="en-US" w:eastAsia="ko-KR"/>
        </w:rPr>
        <w:t xml:space="preserve"> from the STAs</w:t>
      </w:r>
      <w:proofErr w:type="gramStart"/>
      <w:r w:rsidR="000C4812">
        <w:rPr>
          <w:color w:val="FF0000"/>
          <w:sz w:val="20"/>
          <w:u w:val="single"/>
          <w:lang w:val="en-US" w:eastAsia="ko-KR"/>
        </w:rPr>
        <w:t>.</w:t>
      </w:r>
      <w:r w:rsidRPr="004360D7">
        <w:rPr>
          <w:color w:val="70AD47" w:themeColor="accent6"/>
          <w:sz w:val="20"/>
        </w:rPr>
        <w:t>(</w:t>
      </w:r>
      <w:proofErr w:type="gramEnd"/>
      <w:r w:rsidRPr="004360D7">
        <w:rPr>
          <w:color w:val="70AD47" w:themeColor="accent6"/>
          <w:sz w:val="20"/>
        </w:rPr>
        <w:t>#123</w:t>
      </w:r>
      <w:r>
        <w:rPr>
          <w:color w:val="70AD47" w:themeColor="accent6"/>
          <w:sz w:val="20"/>
        </w:rPr>
        <w:t>14</w:t>
      </w:r>
      <w:r w:rsidRPr="004360D7">
        <w:rPr>
          <w:color w:val="70AD47" w:themeColor="accent6"/>
          <w:sz w:val="20"/>
        </w:rPr>
        <w:t>)</w:t>
      </w:r>
    </w:p>
    <w:sectPr w:rsidR="004360D7" w:rsidRPr="004360D7"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7C2F2" w14:textId="77777777" w:rsidR="00F546FF" w:rsidRDefault="00F546FF">
      <w:r>
        <w:separator/>
      </w:r>
    </w:p>
  </w:endnote>
  <w:endnote w:type="continuationSeparator" w:id="0">
    <w:p w14:paraId="37B21413" w14:textId="77777777" w:rsidR="00F546FF" w:rsidRDefault="00F5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124CF4">
      <w:rPr>
        <w:noProof/>
      </w:rPr>
      <w:t>3</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D2211" w14:textId="77777777" w:rsidR="00F546FF" w:rsidRDefault="00F546FF">
      <w:r>
        <w:separator/>
      </w:r>
    </w:p>
  </w:footnote>
  <w:footnote w:type="continuationSeparator" w:id="0">
    <w:p w14:paraId="388A34A5" w14:textId="77777777" w:rsidR="00F546FF" w:rsidRDefault="00F54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39D8D1EE" w:rsidR="0013066F" w:rsidRDefault="00A80838" w:rsidP="00732A32">
    <w:pPr>
      <w:pStyle w:val="a4"/>
      <w:tabs>
        <w:tab w:val="clear" w:pos="6480"/>
        <w:tab w:val="center" w:pos="4680"/>
        <w:tab w:val="right" w:pos="9360"/>
      </w:tabs>
    </w:pPr>
    <w:r>
      <w:rPr>
        <w:lang w:eastAsia="ko-KR"/>
      </w:rPr>
      <w:t>January</w:t>
    </w:r>
    <w:fldSimple w:instr=" KEYWORDS  \* MERGEFORMAT ">
      <w:r w:rsidR="0013066F">
        <w:t xml:space="preserve"> 201</w:t>
      </w:r>
    </w:fldSimple>
    <w:r>
      <w:t>8</w:t>
    </w:r>
    <w:r w:rsidR="0013066F">
      <w:tab/>
    </w:r>
    <w:r w:rsidR="0013066F">
      <w:tab/>
    </w:r>
    <w:fldSimple w:instr=" TITLE  \* MERGEFORMAT ">
      <w:r w:rsidR="0013066F">
        <w:t>doc.: IEEE 802.11-1</w:t>
      </w:r>
      <w:r>
        <w:t>8</w:t>
      </w:r>
      <w:r w:rsidR="0013066F">
        <w:t>/</w:t>
      </w:r>
      <w:r w:rsidR="00355E83">
        <w:t>0</w:t>
      </w:r>
      <w:r w:rsidR="00124CF4">
        <w:t>108</w:t>
      </w:r>
      <w:r w:rsidR="0013066F">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6"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11009"/>
    <w:rsid w:val="00012150"/>
    <w:rsid w:val="00013ABD"/>
    <w:rsid w:val="00013C43"/>
    <w:rsid w:val="00015F03"/>
    <w:rsid w:val="00017517"/>
    <w:rsid w:val="00017B78"/>
    <w:rsid w:val="00021FBC"/>
    <w:rsid w:val="0002639C"/>
    <w:rsid w:val="0003211C"/>
    <w:rsid w:val="00032328"/>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F08"/>
    <w:rsid w:val="000C285F"/>
    <w:rsid w:val="000C4812"/>
    <w:rsid w:val="000C5A1D"/>
    <w:rsid w:val="000D11B6"/>
    <w:rsid w:val="000D180D"/>
    <w:rsid w:val="000D3B65"/>
    <w:rsid w:val="000D43F8"/>
    <w:rsid w:val="000D4C9E"/>
    <w:rsid w:val="000E151D"/>
    <w:rsid w:val="000F1E06"/>
    <w:rsid w:val="000F31E4"/>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4CF4"/>
    <w:rsid w:val="00126F7A"/>
    <w:rsid w:val="00127344"/>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C41DA"/>
    <w:rsid w:val="001C736F"/>
    <w:rsid w:val="001D25A0"/>
    <w:rsid w:val="001D3204"/>
    <w:rsid w:val="001D4CD9"/>
    <w:rsid w:val="001D6175"/>
    <w:rsid w:val="001D723B"/>
    <w:rsid w:val="001E0249"/>
    <w:rsid w:val="001E3BE4"/>
    <w:rsid w:val="001E47B8"/>
    <w:rsid w:val="001F376F"/>
    <w:rsid w:val="001F514A"/>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1646"/>
    <w:rsid w:val="00244FE5"/>
    <w:rsid w:val="0024706A"/>
    <w:rsid w:val="0024787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12897"/>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E83"/>
    <w:rsid w:val="00360C64"/>
    <w:rsid w:val="00361221"/>
    <w:rsid w:val="0036165C"/>
    <w:rsid w:val="00361A7D"/>
    <w:rsid w:val="00363B8D"/>
    <w:rsid w:val="00370D13"/>
    <w:rsid w:val="00373CC1"/>
    <w:rsid w:val="00375604"/>
    <w:rsid w:val="00375F40"/>
    <w:rsid w:val="0037683B"/>
    <w:rsid w:val="0037754C"/>
    <w:rsid w:val="00377BA5"/>
    <w:rsid w:val="003817BE"/>
    <w:rsid w:val="003839B8"/>
    <w:rsid w:val="0038640A"/>
    <w:rsid w:val="0039032E"/>
    <w:rsid w:val="00391A1F"/>
    <w:rsid w:val="003923E9"/>
    <w:rsid w:val="00392A99"/>
    <w:rsid w:val="0039564A"/>
    <w:rsid w:val="003A2858"/>
    <w:rsid w:val="003A42E0"/>
    <w:rsid w:val="003A74B1"/>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17BB5"/>
    <w:rsid w:val="0042009A"/>
    <w:rsid w:val="004222E0"/>
    <w:rsid w:val="00423877"/>
    <w:rsid w:val="00424110"/>
    <w:rsid w:val="00424588"/>
    <w:rsid w:val="00426089"/>
    <w:rsid w:val="00430C40"/>
    <w:rsid w:val="00431DA6"/>
    <w:rsid w:val="0043535E"/>
    <w:rsid w:val="004360D7"/>
    <w:rsid w:val="00441E7C"/>
    <w:rsid w:val="00441EEC"/>
    <w:rsid w:val="00442037"/>
    <w:rsid w:val="004427B8"/>
    <w:rsid w:val="00442A1F"/>
    <w:rsid w:val="00442AB9"/>
    <w:rsid w:val="00444B38"/>
    <w:rsid w:val="004465F3"/>
    <w:rsid w:val="00446628"/>
    <w:rsid w:val="00451A60"/>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B08C7"/>
    <w:rsid w:val="004B2B82"/>
    <w:rsid w:val="004C0C4E"/>
    <w:rsid w:val="004C122F"/>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2AE3"/>
    <w:rsid w:val="004F0D8B"/>
    <w:rsid w:val="004F23DC"/>
    <w:rsid w:val="004F42A4"/>
    <w:rsid w:val="004F6AFF"/>
    <w:rsid w:val="004F7463"/>
    <w:rsid w:val="004F7ACE"/>
    <w:rsid w:val="00506864"/>
    <w:rsid w:val="0050720F"/>
    <w:rsid w:val="00510387"/>
    <w:rsid w:val="005108BF"/>
    <w:rsid w:val="00510FF3"/>
    <w:rsid w:val="00511421"/>
    <w:rsid w:val="0051324F"/>
    <w:rsid w:val="0051368F"/>
    <w:rsid w:val="005164D7"/>
    <w:rsid w:val="00516A55"/>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743D"/>
    <w:rsid w:val="00547756"/>
    <w:rsid w:val="00547AEE"/>
    <w:rsid w:val="005500DD"/>
    <w:rsid w:val="005512AE"/>
    <w:rsid w:val="00552778"/>
    <w:rsid w:val="005546A8"/>
    <w:rsid w:val="005555E4"/>
    <w:rsid w:val="00555978"/>
    <w:rsid w:val="00560867"/>
    <w:rsid w:val="005666D9"/>
    <w:rsid w:val="00566705"/>
    <w:rsid w:val="00566D11"/>
    <w:rsid w:val="0056750B"/>
    <w:rsid w:val="0057392F"/>
    <w:rsid w:val="0057495D"/>
    <w:rsid w:val="00577F01"/>
    <w:rsid w:val="00581A84"/>
    <w:rsid w:val="00585E89"/>
    <w:rsid w:val="00590896"/>
    <w:rsid w:val="005915A7"/>
    <w:rsid w:val="0059503B"/>
    <w:rsid w:val="00596F7C"/>
    <w:rsid w:val="005A0ED7"/>
    <w:rsid w:val="005A0FA8"/>
    <w:rsid w:val="005A232A"/>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3702"/>
    <w:rsid w:val="006B6F80"/>
    <w:rsid w:val="006B7611"/>
    <w:rsid w:val="006C0727"/>
    <w:rsid w:val="006C2BA6"/>
    <w:rsid w:val="006D25FA"/>
    <w:rsid w:val="006D43A9"/>
    <w:rsid w:val="006D5182"/>
    <w:rsid w:val="006D61F5"/>
    <w:rsid w:val="006E145F"/>
    <w:rsid w:val="006F2890"/>
    <w:rsid w:val="006F3D3D"/>
    <w:rsid w:val="006F4200"/>
    <w:rsid w:val="006F7D0B"/>
    <w:rsid w:val="00700B6A"/>
    <w:rsid w:val="0070100C"/>
    <w:rsid w:val="00702377"/>
    <w:rsid w:val="00704203"/>
    <w:rsid w:val="00704746"/>
    <w:rsid w:val="00705081"/>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A7D"/>
    <w:rsid w:val="00762AF1"/>
    <w:rsid w:val="00770572"/>
    <w:rsid w:val="007722F4"/>
    <w:rsid w:val="00774F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F71"/>
    <w:rsid w:val="007D49FE"/>
    <w:rsid w:val="007E65AA"/>
    <w:rsid w:val="008023E1"/>
    <w:rsid w:val="008026FC"/>
    <w:rsid w:val="008050EC"/>
    <w:rsid w:val="00807234"/>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6955"/>
    <w:rsid w:val="008F1369"/>
    <w:rsid w:val="008F50C1"/>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A235C"/>
    <w:rsid w:val="009A7F20"/>
    <w:rsid w:val="009B0CBB"/>
    <w:rsid w:val="009B18F7"/>
    <w:rsid w:val="009B5811"/>
    <w:rsid w:val="009B7B8C"/>
    <w:rsid w:val="009C20E2"/>
    <w:rsid w:val="009C42B5"/>
    <w:rsid w:val="009C7A5B"/>
    <w:rsid w:val="009D280D"/>
    <w:rsid w:val="009D30B7"/>
    <w:rsid w:val="009D5A16"/>
    <w:rsid w:val="009D75C1"/>
    <w:rsid w:val="009E05BF"/>
    <w:rsid w:val="009E1DD3"/>
    <w:rsid w:val="009E3337"/>
    <w:rsid w:val="009E4398"/>
    <w:rsid w:val="009E4B28"/>
    <w:rsid w:val="009E6B96"/>
    <w:rsid w:val="009F37A9"/>
    <w:rsid w:val="009F470D"/>
    <w:rsid w:val="009F6E7A"/>
    <w:rsid w:val="009F73E5"/>
    <w:rsid w:val="00A00F1D"/>
    <w:rsid w:val="00A01155"/>
    <w:rsid w:val="00A01B3C"/>
    <w:rsid w:val="00A01CB9"/>
    <w:rsid w:val="00A03A1C"/>
    <w:rsid w:val="00A07C53"/>
    <w:rsid w:val="00A10AB7"/>
    <w:rsid w:val="00A12423"/>
    <w:rsid w:val="00A148DF"/>
    <w:rsid w:val="00A14FA0"/>
    <w:rsid w:val="00A16FA1"/>
    <w:rsid w:val="00A17721"/>
    <w:rsid w:val="00A2037F"/>
    <w:rsid w:val="00A20A75"/>
    <w:rsid w:val="00A20B6C"/>
    <w:rsid w:val="00A21CCE"/>
    <w:rsid w:val="00A24C44"/>
    <w:rsid w:val="00A27C0B"/>
    <w:rsid w:val="00A303C6"/>
    <w:rsid w:val="00A32ED6"/>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006"/>
    <w:rsid w:val="00AA427C"/>
    <w:rsid w:val="00AA43B9"/>
    <w:rsid w:val="00AA75F4"/>
    <w:rsid w:val="00AB15FE"/>
    <w:rsid w:val="00AB57DA"/>
    <w:rsid w:val="00AB7D1B"/>
    <w:rsid w:val="00AC0BF3"/>
    <w:rsid w:val="00AC2BAD"/>
    <w:rsid w:val="00AC32D5"/>
    <w:rsid w:val="00AC3EDC"/>
    <w:rsid w:val="00AD38C4"/>
    <w:rsid w:val="00AD7E65"/>
    <w:rsid w:val="00AE3516"/>
    <w:rsid w:val="00AE56C0"/>
    <w:rsid w:val="00AF2C8F"/>
    <w:rsid w:val="00AF5418"/>
    <w:rsid w:val="00B03E1F"/>
    <w:rsid w:val="00B04997"/>
    <w:rsid w:val="00B05022"/>
    <w:rsid w:val="00B110E4"/>
    <w:rsid w:val="00B12457"/>
    <w:rsid w:val="00B12FE8"/>
    <w:rsid w:val="00B13640"/>
    <w:rsid w:val="00B14F5F"/>
    <w:rsid w:val="00B206AF"/>
    <w:rsid w:val="00B208F8"/>
    <w:rsid w:val="00B24394"/>
    <w:rsid w:val="00B25B88"/>
    <w:rsid w:val="00B274C7"/>
    <w:rsid w:val="00B27989"/>
    <w:rsid w:val="00B27DA8"/>
    <w:rsid w:val="00B306E7"/>
    <w:rsid w:val="00B3220F"/>
    <w:rsid w:val="00B332CF"/>
    <w:rsid w:val="00B34500"/>
    <w:rsid w:val="00B347EF"/>
    <w:rsid w:val="00B34F50"/>
    <w:rsid w:val="00B35058"/>
    <w:rsid w:val="00B35A23"/>
    <w:rsid w:val="00B35DB6"/>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26FD"/>
    <w:rsid w:val="00B76BFB"/>
    <w:rsid w:val="00B7781F"/>
    <w:rsid w:val="00B80455"/>
    <w:rsid w:val="00B80B85"/>
    <w:rsid w:val="00B82C30"/>
    <w:rsid w:val="00B835E9"/>
    <w:rsid w:val="00B84EF2"/>
    <w:rsid w:val="00B900B9"/>
    <w:rsid w:val="00B947B7"/>
    <w:rsid w:val="00B948BC"/>
    <w:rsid w:val="00B949F0"/>
    <w:rsid w:val="00B95E90"/>
    <w:rsid w:val="00B960E8"/>
    <w:rsid w:val="00B96246"/>
    <w:rsid w:val="00BA4274"/>
    <w:rsid w:val="00BA4F8A"/>
    <w:rsid w:val="00BA5962"/>
    <w:rsid w:val="00BA6660"/>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8F8"/>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808DA"/>
    <w:rsid w:val="00C818D7"/>
    <w:rsid w:val="00C822FB"/>
    <w:rsid w:val="00C823FA"/>
    <w:rsid w:val="00C82D24"/>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A74EB"/>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E01B84"/>
    <w:rsid w:val="00E01E2C"/>
    <w:rsid w:val="00E0564D"/>
    <w:rsid w:val="00E05C55"/>
    <w:rsid w:val="00E069DB"/>
    <w:rsid w:val="00E12F50"/>
    <w:rsid w:val="00E15205"/>
    <w:rsid w:val="00E156F1"/>
    <w:rsid w:val="00E160D0"/>
    <w:rsid w:val="00E16BE5"/>
    <w:rsid w:val="00E173BB"/>
    <w:rsid w:val="00E20B6A"/>
    <w:rsid w:val="00E210A1"/>
    <w:rsid w:val="00E21EDD"/>
    <w:rsid w:val="00E24EC6"/>
    <w:rsid w:val="00E30CF5"/>
    <w:rsid w:val="00E3225D"/>
    <w:rsid w:val="00E32BB8"/>
    <w:rsid w:val="00E34670"/>
    <w:rsid w:val="00E37C64"/>
    <w:rsid w:val="00E40B07"/>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2CBB"/>
    <w:rsid w:val="00E7565D"/>
    <w:rsid w:val="00E825EF"/>
    <w:rsid w:val="00E845EF"/>
    <w:rsid w:val="00E85024"/>
    <w:rsid w:val="00E92CE6"/>
    <w:rsid w:val="00EA1146"/>
    <w:rsid w:val="00EA1B76"/>
    <w:rsid w:val="00EA23D6"/>
    <w:rsid w:val="00EA6B47"/>
    <w:rsid w:val="00EB2CD0"/>
    <w:rsid w:val="00EB30F6"/>
    <w:rsid w:val="00EB6EFD"/>
    <w:rsid w:val="00EB7D49"/>
    <w:rsid w:val="00EC0864"/>
    <w:rsid w:val="00EC1DCD"/>
    <w:rsid w:val="00EC1E9D"/>
    <w:rsid w:val="00EC4F8D"/>
    <w:rsid w:val="00EC5A85"/>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F04210"/>
    <w:rsid w:val="00F05298"/>
    <w:rsid w:val="00F05C8A"/>
    <w:rsid w:val="00F106FA"/>
    <w:rsid w:val="00F1357E"/>
    <w:rsid w:val="00F155EB"/>
    <w:rsid w:val="00F20390"/>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6FF"/>
    <w:rsid w:val="00F54DA7"/>
    <w:rsid w:val="00F55FC4"/>
    <w:rsid w:val="00F57301"/>
    <w:rsid w:val="00F60B3A"/>
    <w:rsid w:val="00F61EB1"/>
    <w:rsid w:val="00F639BA"/>
    <w:rsid w:val="00F67D85"/>
    <w:rsid w:val="00F70066"/>
    <w:rsid w:val="00F70910"/>
    <w:rsid w:val="00F7439A"/>
    <w:rsid w:val="00F745D5"/>
    <w:rsid w:val="00F75356"/>
    <w:rsid w:val="00F76336"/>
    <w:rsid w:val="00F775C9"/>
    <w:rsid w:val="00F80992"/>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47759A3-EAB4-4E20-8974-5706D591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6</Pages>
  <Words>1686</Words>
  <Characters>9611</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4</cp:revision>
  <cp:lastPrinted>2016-01-08T21:12:00Z</cp:lastPrinted>
  <dcterms:created xsi:type="dcterms:W3CDTF">2018-01-04T00:37:00Z</dcterms:created>
  <dcterms:modified xsi:type="dcterms:W3CDTF">2018-01-10T18:27:00Z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