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079"/>
        <w:gridCol w:w="1607"/>
        <w:gridCol w:w="1559"/>
        <w:gridCol w:w="2635"/>
      </w:tblGrid>
      <w:tr w:rsidR="003F1D4B" w:rsidRPr="003F1D4B" w14:paraId="3C7E59BA" w14:textId="77777777" w:rsidTr="00B04410">
        <w:trPr>
          <w:trHeight w:val="485"/>
          <w:jc w:val="center"/>
        </w:trPr>
        <w:tc>
          <w:tcPr>
            <w:tcW w:w="9576" w:type="dxa"/>
            <w:gridSpan w:val="5"/>
            <w:vAlign w:val="center"/>
          </w:tcPr>
          <w:p w14:paraId="42AE8703" w14:textId="1EF6C030" w:rsidR="00CA09B2" w:rsidRPr="003F1D4B" w:rsidRDefault="00CA09B2" w:rsidP="004D3C38">
            <w:pPr>
              <w:pStyle w:val="T2"/>
            </w:pPr>
            <w:r w:rsidRPr="003F1D4B">
              <w:t>[</w:t>
            </w:r>
            <w:r w:rsidR="001029BF">
              <w:t xml:space="preserve">Draft text </w:t>
            </w:r>
            <w:r w:rsidR="005C4B33">
              <w:t>of ACK</w:t>
            </w:r>
            <w:r w:rsidR="00830A77">
              <w:t>/BA</w:t>
            </w:r>
            <w:r w:rsidR="005C4B33">
              <w:t xml:space="preserve"> transmission </w:t>
            </w:r>
            <w:r w:rsidR="00830A77">
              <w:rPr>
                <w:lang w:eastAsia="zh-CN"/>
              </w:rPr>
              <w:t>in</w:t>
            </w:r>
            <w:r w:rsidR="004D3C38">
              <w:rPr>
                <w:lang w:eastAsia="zh-CN"/>
              </w:rPr>
              <w:t xml:space="preserve"> </w:t>
            </w:r>
            <w:proofErr w:type="spellStart"/>
            <w:r w:rsidR="004D3C38">
              <w:rPr>
                <w:lang w:eastAsia="zh-CN"/>
              </w:rPr>
              <w:t>mmWave</w:t>
            </w:r>
            <w:proofErr w:type="spellEnd"/>
            <w:r w:rsidR="004D3C38">
              <w:rPr>
                <w:lang w:eastAsia="zh-CN"/>
              </w:rPr>
              <w:t xml:space="preserve"> Distribution Networks</w:t>
            </w:r>
            <w:r w:rsidRPr="003F1D4B">
              <w:t>]</w:t>
            </w:r>
            <w:bookmarkStart w:id="0" w:name="_GoBack"/>
            <w:bookmarkEnd w:id="0"/>
          </w:p>
        </w:tc>
      </w:tr>
      <w:tr w:rsidR="003F1D4B" w:rsidRPr="003F1D4B" w14:paraId="331E3A1E" w14:textId="77777777" w:rsidTr="00B04410">
        <w:trPr>
          <w:trHeight w:val="359"/>
          <w:jc w:val="center"/>
        </w:trPr>
        <w:tc>
          <w:tcPr>
            <w:tcW w:w="9576" w:type="dxa"/>
            <w:gridSpan w:val="5"/>
            <w:vAlign w:val="center"/>
          </w:tcPr>
          <w:p w14:paraId="56451407" w14:textId="10D2855F" w:rsidR="00CA09B2" w:rsidRPr="003F1D4B" w:rsidRDefault="00CA09B2" w:rsidP="00AA0535">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830A77">
              <w:rPr>
                <w:b w:val="0"/>
                <w:sz w:val="20"/>
              </w:rPr>
              <w:t>1</w:t>
            </w:r>
            <w:r w:rsidRPr="003F1D4B">
              <w:rPr>
                <w:b w:val="0"/>
                <w:sz w:val="20"/>
              </w:rPr>
              <w:t>-</w:t>
            </w:r>
            <w:r w:rsidR="00790D17">
              <w:rPr>
                <w:b w:val="0"/>
                <w:sz w:val="20"/>
              </w:rPr>
              <w:t>8</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AC5ACA">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2079"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607"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559"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AC5ACA">
        <w:trPr>
          <w:jc w:val="center"/>
        </w:trPr>
        <w:tc>
          <w:tcPr>
            <w:tcW w:w="1696" w:type="dxa"/>
            <w:vAlign w:val="center"/>
          </w:tcPr>
          <w:p w14:paraId="534D5C41" w14:textId="23EE3C89" w:rsidR="00CA09B2" w:rsidRPr="003F1D4B" w:rsidRDefault="007D7E2B" w:rsidP="00606D1D">
            <w:pPr>
              <w:pStyle w:val="T2"/>
              <w:spacing w:after="0"/>
              <w:ind w:left="0" w:right="0"/>
              <w:jc w:val="left"/>
              <w:rPr>
                <w:b w:val="0"/>
                <w:sz w:val="20"/>
              </w:rPr>
            </w:pPr>
            <w:r>
              <w:rPr>
                <w:b w:val="0"/>
                <w:sz w:val="20"/>
              </w:rPr>
              <w:t>Lochan Verma</w:t>
            </w:r>
          </w:p>
        </w:tc>
        <w:tc>
          <w:tcPr>
            <w:tcW w:w="2079" w:type="dxa"/>
            <w:vAlign w:val="center"/>
          </w:tcPr>
          <w:p w14:paraId="59D90686" w14:textId="5B596CCB" w:rsidR="00CA09B2" w:rsidRPr="003F1D4B" w:rsidRDefault="007D7E2B" w:rsidP="00606D1D">
            <w:pPr>
              <w:pStyle w:val="T2"/>
              <w:spacing w:after="0"/>
              <w:ind w:left="0" w:right="0"/>
              <w:jc w:val="left"/>
              <w:rPr>
                <w:b w:val="0"/>
                <w:sz w:val="20"/>
              </w:rPr>
            </w:pPr>
            <w:r>
              <w:rPr>
                <w:b w:val="0"/>
                <w:sz w:val="20"/>
              </w:rPr>
              <w:t>Qualcomm</w:t>
            </w:r>
          </w:p>
        </w:tc>
        <w:tc>
          <w:tcPr>
            <w:tcW w:w="1607" w:type="dxa"/>
            <w:vAlign w:val="center"/>
          </w:tcPr>
          <w:p w14:paraId="75DC2582" w14:textId="77777777" w:rsidR="00CA09B2" w:rsidRPr="003F1D4B" w:rsidRDefault="00CA09B2">
            <w:pPr>
              <w:pStyle w:val="T2"/>
              <w:spacing w:after="0"/>
              <w:ind w:left="0" w:right="0"/>
              <w:rPr>
                <w:b w:val="0"/>
                <w:sz w:val="20"/>
              </w:rPr>
            </w:pPr>
          </w:p>
        </w:tc>
        <w:tc>
          <w:tcPr>
            <w:tcW w:w="1559" w:type="dxa"/>
            <w:vAlign w:val="center"/>
          </w:tcPr>
          <w:p w14:paraId="1997DC79" w14:textId="77777777" w:rsidR="00CA09B2" w:rsidRPr="003F1D4B" w:rsidRDefault="00CA09B2">
            <w:pPr>
              <w:pStyle w:val="T2"/>
              <w:spacing w:after="0"/>
              <w:ind w:left="0" w:right="0"/>
              <w:rPr>
                <w:b w:val="0"/>
                <w:sz w:val="20"/>
              </w:rPr>
            </w:pPr>
          </w:p>
        </w:tc>
        <w:tc>
          <w:tcPr>
            <w:tcW w:w="2635" w:type="dxa"/>
            <w:vAlign w:val="center"/>
          </w:tcPr>
          <w:p w14:paraId="71F1C554" w14:textId="624B00D9" w:rsidR="00CA09B2" w:rsidRPr="00604414" w:rsidRDefault="007D7E2B" w:rsidP="00B04410">
            <w:pPr>
              <w:pStyle w:val="T2"/>
              <w:spacing w:after="0"/>
              <w:ind w:left="0" w:right="0"/>
              <w:jc w:val="left"/>
              <w:rPr>
                <w:b w:val="0"/>
                <w:sz w:val="20"/>
              </w:rPr>
            </w:pPr>
            <w:r>
              <w:rPr>
                <w:b w:val="0"/>
                <w:sz w:val="20"/>
              </w:rPr>
              <w:t>lverma@qti.qualcomm.com</w:t>
            </w:r>
          </w:p>
        </w:tc>
      </w:tr>
      <w:tr w:rsidR="003F1D4B" w:rsidRPr="003F1D4B" w14:paraId="1BF1F254" w14:textId="77777777" w:rsidTr="00AC5ACA">
        <w:trPr>
          <w:jc w:val="center"/>
        </w:trPr>
        <w:tc>
          <w:tcPr>
            <w:tcW w:w="1696" w:type="dxa"/>
            <w:vAlign w:val="center"/>
          </w:tcPr>
          <w:p w14:paraId="2B92E27E" w14:textId="7930A65B" w:rsidR="00CA09B2" w:rsidRPr="003F1D4B" w:rsidRDefault="007D7E2B" w:rsidP="00606D1D">
            <w:pPr>
              <w:pStyle w:val="T2"/>
              <w:spacing w:after="0"/>
              <w:ind w:left="0" w:right="0"/>
              <w:jc w:val="left"/>
              <w:rPr>
                <w:b w:val="0"/>
                <w:sz w:val="20"/>
              </w:rPr>
            </w:pPr>
            <w:r>
              <w:rPr>
                <w:b w:val="0"/>
                <w:sz w:val="20"/>
              </w:rPr>
              <w:t>George Cherian</w:t>
            </w:r>
          </w:p>
        </w:tc>
        <w:tc>
          <w:tcPr>
            <w:tcW w:w="2079" w:type="dxa"/>
            <w:vAlign w:val="center"/>
          </w:tcPr>
          <w:p w14:paraId="3D07C50E" w14:textId="3A9B7BEC" w:rsidR="00CA09B2" w:rsidRPr="003F1D4B" w:rsidRDefault="007D7E2B" w:rsidP="00606D1D">
            <w:pPr>
              <w:pStyle w:val="T2"/>
              <w:spacing w:after="0"/>
              <w:ind w:left="0" w:right="0"/>
              <w:jc w:val="left"/>
              <w:rPr>
                <w:b w:val="0"/>
                <w:sz w:val="20"/>
              </w:rPr>
            </w:pPr>
            <w:r>
              <w:rPr>
                <w:b w:val="0"/>
                <w:sz w:val="20"/>
              </w:rPr>
              <w:t>Qualcomm</w:t>
            </w:r>
          </w:p>
        </w:tc>
        <w:tc>
          <w:tcPr>
            <w:tcW w:w="1607" w:type="dxa"/>
            <w:vAlign w:val="center"/>
          </w:tcPr>
          <w:p w14:paraId="6E1F7649" w14:textId="77777777" w:rsidR="00CA09B2" w:rsidRPr="003F1D4B" w:rsidRDefault="00CA09B2">
            <w:pPr>
              <w:pStyle w:val="T2"/>
              <w:spacing w:after="0"/>
              <w:ind w:left="0" w:right="0"/>
              <w:rPr>
                <w:b w:val="0"/>
                <w:sz w:val="20"/>
              </w:rPr>
            </w:pPr>
          </w:p>
        </w:tc>
        <w:tc>
          <w:tcPr>
            <w:tcW w:w="1559" w:type="dxa"/>
            <w:vAlign w:val="center"/>
          </w:tcPr>
          <w:p w14:paraId="4809C44E" w14:textId="77777777" w:rsidR="00CA09B2" w:rsidRPr="00604414" w:rsidRDefault="00CA09B2">
            <w:pPr>
              <w:pStyle w:val="T2"/>
              <w:spacing w:after="0"/>
              <w:ind w:left="0" w:right="0"/>
              <w:rPr>
                <w:b w:val="0"/>
                <w:sz w:val="20"/>
              </w:rPr>
            </w:pPr>
          </w:p>
        </w:tc>
        <w:tc>
          <w:tcPr>
            <w:tcW w:w="2635" w:type="dxa"/>
            <w:vAlign w:val="center"/>
          </w:tcPr>
          <w:p w14:paraId="39BCD2DB" w14:textId="76DD8B4D" w:rsidR="00CA09B2" w:rsidRPr="00604414" w:rsidRDefault="00EB718C" w:rsidP="00604414">
            <w:pPr>
              <w:pStyle w:val="T2"/>
              <w:spacing w:after="0"/>
              <w:ind w:left="0" w:right="0"/>
              <w:jc w:val="left"/>
              <w:rPr>
                <w:b w:val="0"/>
                <w:sz w:val="20"/>
              </w:rPr>
            </w:pPr>
            <w:r>
              <w:rPr>
                <w:b w:val="0"/>
                <w:sz w:val="20"/>
              </w:rPr>
              <w:t>gcherian@qti.qualcomm.com</w:t>
            </w:r>
          </w:p>
        </w:tc>
      </w:tr>
      <w:tr w:rsidR="006F544B" w:rsidRPr="003F1D4B" w14:paraId="52BFF6A6" w14:textId="77777777" w:rsidTr="00AC5ACA">
        <w:trPr>
          <w:jc w:val="center"/>
        </w:trPr>
        <w:tc>
          <w:tcPr>
            <w:tcW w:w="1696" w:type="dxa"/>
            <w:vAlign w:val="center"/>
          </w:tcPr>
          <w:p w14:paraId="4DE6345E" w14:textId="462D5FFD" w:rsidR="006F544B" w:rsidRPr="003F1D4B" w:rsidRDefault="008217F5" w:rsidP="00606D1D">
            <w:pPr>
              <w:pStyle w:val="T2"/>
              <w:spacing w:after="0"/>
              <w:ind w:left="0" w:right="0"/>
              <w:jc w:val="left"/>
              <w:rPr>
                <w:b w:val="0"/>
                <w:sz w:val="20"/>
              </w:rPr>
            </w:pPr>
            <w:r w:rsidRPr="008217F5">
              <w:rPr>
                <w:b w:val="0"/>
                <w:sz w:val="20"/>
              </w:rPr>
              <w:t>Solomon Trainin</w:t>
            </w:r>
          </w:p>
        </w:tc>
        <w:tc>
          <w:tcPr>
            <w:tcW w:w="2079" w:type="dxa"/>
            <w:vAlign w:val="center"/>
          </w:tcPr>
          <w:p w14:paraId="1373D856" w14:textId="63169BBA" w:rsidR="006F544B" w:rsidRPr="003F1D4B" w:rsidRDefault="008217F5" w:rsidP="00606D1D">
            <w:pPr>
              <w:pStyle w:val="T2"/>
              <w:spacing w:after="0"/>
              <w:ind w:left="0" w:right="0"/>
              <w:jc w:val="left"/>
              <w:rPr>
                <w:b w:val="0"/>
                <w:sz w:val="20"/>
              </w:rPr>
            </w:pPr>
            <w:r>
              <w:rPr>
                <w:b w:val="0"/>
                <w:sz w:val="20"/>
              </w:rPr>
              <w:t>Qualcomm</w:t>
            </w:r>
          </w:p>
        </w:tc>
        <w:tc>
          <w:tcPr>
            <w:tcW w:w="1607" w:type="dxa"/>
            <w:vAlign w:val="center"/>
          </w:tcPr>
          <w:p w14:paraId="5E3F1B14" w14:textId="77777777" w:rsidR="006F544B" w:rsidRPr="003F1D4B" w:rsidRDefault="006F544B">
            <w:pPr>
              <w:pStyle w:val="T2"/>
              <w:spacing w:after="0"/>
              <w:ind w:left="0" w:right="0"/>
              <w:rPr>
                <w:b w:val="0"/>
                <w:sz w:val="20"/>
              </w:rPr>
            </w:pPr>
          </w:p>
        </w:tc>
        <w:tc>
          <w:tcPr>
            <w:tcW w:w="1559" w:type="dxa"/>
            <w:vAlign w:val="center"/>
          </w:tcPr>
          <w:p w14:paraId="35FEC52E" w14:textId="77777777" w:rsidR="006F544B" w:rsidRPr="00604414" w:rsidRDefault="006F544B">
            <w:pPr>
              <w:pStyle w:val="T2"/>
              <w:spacing w:after="0"/>
              <w:ind w:left="0" w:right="0"/>
              <w:rPr>
                <w:b w:val="0"/>
                <w:sz w:val="20"/>
              </w:rPr>
            </w:pPr>
          </w:p>
        </w:tc>
        <w:tc>
          <w:tcPr>
            <w:tcW w:w="2635" w:type="dxa"/>
            <w:vAlign w:val="center"/>
          </w:tcPr>
          <w:p w14:paraId="09DF334E" w14:textId="78E45050" w:rsidR="006F544B" w:rsidRPr="00604414" w:rsidRDefault="00EB718C" w:rsidP="00604414">
            <w:pPr>
              <w:pStyle w:val="T2"/>
              <w:spacing w:after="0"/>
              <w:ind w:left="0" w:right="0"/>
              <w:jc w:val="left"/>
              <w:rPr>
                <w:b w:val="0"/>
                <w:sz w:val="20"/>
              </w:rPr>
            </w:pPr>
            <w:r w:rsidRPr="00EB718C">
              <w:rPr>
                <w:b w:val="0"/>
                <w:sz w:val="20"/>
              </w:rPr>
              <w:t>strainin@qti.qualcomm.com</w:t>
            </w:r>
          </w:p>
        </w:tc>
      </w:tr>
      <w:tr w:rsidR="00AD1B07" w:rsidRPr="003F1D4B" w14:paraId="5E1CD8F2" w14:textId="77777777" w:rsidTr="00AC5ACA">
        <w:trPr>
          <w:jc w:val="center"/>
        </w:trPr>
        <w:tc>
          <w:tcPr>
            <w:tcW w:w="1696" w:type="dxa"/>
            <w:vAlign w:val="center"/>
          </w:tcPr>
          <w:p w14:paraId="7C150C16" w14:textId="4A9C6A5A" w:rsidR="00AD1B07" w:rsidRPr="003F1D4B" w:rsidRDefault="00EB718C" w:rsidP="00606D1D">
            <w:pPr>
              <w:pStyle w:val="T2"/>
              <w:spacing w:after="0"/>
              <w:ind w:left="0" w:right="0"/>
              <w:jc w:val="left"/>
              <w:rPr>
                <w:b w:val="0"/>
                <w:sz w:val="20"/>
              </w:rPr>
            </w:pPr>
            <w:r w:rsidRPr="00EB718C">
              <w:rPr>
                <w:b w:val="0"/>
                <w:sz w:val="20"/>
              </w:rPr>
              <w:t>Carlos Cordeiro</w:t>
            </w:r>
          </w:p>
        </w:tc>
        <w:tc>
          <w:tcPr>
            <w:tcW w:w="2079" w:type="dxa"/>
            <w:vAlign w:val="center"/>
          </w:tcPr>
          <w:p w14:paraId="4E7D94CA" w14:textId="0AF68311" w:rsidR="00AD1B07" w:rsidRPr="003F1D4B" w:rsidRDefault="00EB718C" w:rsidP="00606D1D">
            <w:pPr>
              <w:pStyle w:val="T2"/>
              <w:spacing w:after="0"/>
              <w:ind w:left="0" w:right="0"/>
              <w:jc w:val="left"/>
              <w:rPr>
                <w:b w:val="0"/>
                <w:sz w:val="20"/>
              </w:rPr>
            </w:pPr>
            <w:r>
              <w:rPr>
                <w:b w:val="0"/>
                <w:sz w:val="20"/>
              </w:rPr>
              <w:t>Intel</w:t>
            </w:r>
          </w:p>
        </w:tc>
        <w:tc>
          <w:tcPr>
            <w:tcW w:w="1607" w:type="dxa"/>
            <w:vAlign w:val="center"/>
          </w:tcPr>
          <w:p w14:paraId="42C1D955" w14:textId="77777777" w:rsidR="00AD1B07" w:rsidRPr="003F1D4B" w:rsidRDefault="00AD1B07">
            <w:pPr>
              <w:pStyle w:val="T2"/>
              <w:spacing w:after="0"/>
              <w:ind w:left="0" w:right="0"/>
              <w:rPr>
                <w:b w:val="0"/>
                <w:sz w:val="20"/>
              </w:rPr>
            </w:pPr>
          </w:p>
        </w:tc>
        <w:tc>
          <w:tcPr>
            <w:tcW w:w="1559" w:type="dxa"/>
            <w:vAlign w:val="center"/>
          </w:tcPr>
          <w:p w14:paraId="21BB6474" w14:textId="77777777" w:rsidR="00AD1B07" w:rsidRPr="00604414" w:rsidRDefault="00AD1B07">
            <w:pPr>
              <w:pStyle w:val="T2"/>
              <w:spacing w:after="0"/>
              <w:ind w:left="0" w:right="0"/>
              <w:rPr>
                <w:b w:val="0"/>
                <w:sz w:val="20"/>
              </w:rPr>
            </w:pPr>
          </w:p>
        </w:tc>
        <w:tc>
          <w:tcPr>
            <w:tcW w:w="2635" w:type="dxa"/>
            <w:vAlign w:val="center"/>
          </w:tcPr>
          <w:p w14:paraId="2D097010" w14:textId="5CB70C69" w:rsidR="00AD1B07" w:rsidRPr="00604414" w:rsidRDefault="00EB718C" w:rsidP="00604414">
            <w:pPr>
              <w:pStyle w:val="T2"/>
              <w:spacing w:after="0"/>
              <w:ind w:left="0" w:right="0"/>
              <w:jc w:val="left"/>
              <w:rPr>
                <w:b w:val="0"/>
                <w:sz w:val="20"/>
              </w:rPr>
            </w:pPr>
            <w:r w:rsidRPr="00EB718C">
              <w:rPr>
                <w:b w:val="0"/>
                <w:sz w:val="20"/>
              </w:rPr>
              <w:t>carlos.cordeiro@intel.com</w:t>
            </w:r>
          </w:p>
        </w:tc>
      </w:tr>
      <w:tr w:rsidR="00EB718C" w:rsidRPr="003F1D4B" w14:paraId="168052BB" w14:textId="77777777" w:rsidTr="00AC5ACA">
        <w:trPr>
          <w:jc w:val="center"/>
        </w:trPr>
        <w:tc>
          <w:tcPr>
            <w:tcW w:w="1696" w:type="dxa"/>
            <w:vAlign w:val="center"/>
          </w:tcPr>
          <w:p w14:paraId="7F74F367" w14:textId="18B058E0" w:rsidR="00EB718C" w:rsidRPr="00EB718C" w:rsidRDefault="00EB718C" w:rsidP="00606D1D">
            <w:pPr>
              <w:pStyle w:val="T2"/>
              <w:spacing w:after="0"/>
              <w:ind w:left="0" w:right="0"/>
              <w:jc w:val="left"/>
              <w:rPr>
                <w:b w:val="0"/>
                <w:sz w:val="20"/>
              </w:rPr>
            </w:pPr>
            <w:r w:rsidRPr="00EB718C">
              <w:rPr>
                <w:b w:val="0"/>
                <w:sz w:val="20"/>
              </w:rPr>
              <w:t>Oren Kedem</w:t>
            </w:r>
          </w:p>
        </w:tc>
        <w:tc>
          <w:tcPr>
            <w:tcW w:w="2079" w:type="dxa"/>
            <w:vAlign w:val="center"/>
          </w:tcPr>
          <w:p w14:paraId="44AABFC3" w14:textId="48B52A25" w:rsidR="00EB718C" w:rsidRDefault="00EB718C" w:rsidP="00606D1D">
            <w:pPr>
              <w:pStyle w:val="T2"/>
              <w:spacing w:after="0"/>
              <w:ind w:left="0" w:right="0"/>
              <w:jc w:val="left"/>
              <w:rPr>
                <w:b w:val="0"/>
                <w:sz w:val="20"/>
              </w:rPr>
            </w:pPr>
            <w:r>
              <w:rPr>
                <w:b w:val="0"/>
                <w:sz w:val="20"/>
              </w:rPr>
              <w:t>Intel</w:t>
            </w:r>
          </w:p>
        </w:tc>
        <w:tc>
          <w:tcPr>
            <w:tcW w:w="1607" w:type="dxa"/>
            <w:vAlign w:val="center"/>
          </w:tcPr>
          <w:p w14:paraId="658B73BB" w14:textId="77777777" w:rsidR="00EB718C" w:rsidRPr="003F1D4B" w:rsidRDefault="00EB718C">
            <w:pPr>
              <w:pStyle w:val="T2"/>
              <w:spacing w:after="0"/>
              <w:ind w:left="0" w:right="0"/>
              <w:rPr>
                <w:b w:val="0"/>
                <w:sz w:val="20"/>
              </w:rPr>
            </w:pPr>
          </w:p>
        </w:tc>
        <w:tc>
          <w:tcPr>
            <w:tcW w:w="1559" w:type="dxa"/>
            <w:vAlign w:val="center"/>
          </w:tcPr>
          <w:p w14:paraId="31E3A93F" w14:textId="77777777" w:rsidR="00EB718C" w:rsidRPr="00604414" w:rsidRDefault="00EB718C">
            <w:pPr>
              <w:pStyle w:val="T2"/>
              <w:spacing w:after="0"/>
              <w:ind w:left="0" w:right="0"/>
              <w:rPr>
                <w:b w:val="0"/>
                <w:sz w:val="20"/>
              </w:rPr>
            </w:pPr>
          </w:p>
        </w:tc>
        <w:tc>
          <w:tcPr>
            <w:tcW w:w="2635" w:type="dxa"/>
            <w:vAlign w:val="center"/>
          </w:tcPr>
          <w:p w14:paraId="05E0A756" w14:textId="6C2B9763" w:rsidR="00EB718C" w:rsidRPr="00EB718C" w:rsidRDefault="00EB718C" w:rsidP="00604414">
            <w:pPr>
              <w:pStyle w:val="T2"/>
              <w:spacing w:after="0"/>
              <w:ind w:left="0" w:right="0"/>
              <w:jc w:val="left"/>
              <w:rPr>
                <w:b w:val="0"/>
                <w:sz w:val="20"/>
              </w:rPr>
            </w:pPr>
            <w:r w:rsidRPr="00EB718C">
              <w:rPr>
                <w:b w:val="0"/>
                <w:sz w:val="20"/>
              </w:rPr>
              <w:t>oren.kedem@intel.com</w:t>
            </w:r>
          </w:p>
        </w:tc>
      </w:tr>
      <w:tr w:rsidR="00EB718C" w:rsidRPr="003F1D4B" w14:paraId="4F32DACC" w14:textId="77777777" w:rsidTr="00AC5ACA">
        <w:trPr>
          <w:jc w:val="center"/>
        </w:trPr>
        <w:tc>
          <w:tcPr>
            <w:tcW w:w="1696" w:type="dxa"/>
            <w:vAlign w:val="center"/>
          </w:tcPr>
          <w:p w14:paraId="55A0B826" w14:textId="0165297E" w:rsidR="00EB718C" w:rsidRPr="00EB718C" w:rsidRDefault="00EB718C" w:rsidP="00606D1D">
            <w:pPr>
              <w:pStyle w:val="T2"/>
              <w:spacing w:after="0"/>
              <w:ind w:left="0" w:right="0"/>
              <w:jc w:val="left"/>
              <w:rPr>
                <w:b w:val="0"/>
                <w:sz w:val="20"/>
              </w:rPr>
            </w:pPr>
            <w:r w:rsidRPr="00EB718C">
              <w:rPr>
                <w:b w:val="0"/>
                <w:sz w:val="20"/>
              </w:rPr>
              <w:t>Carlos Aldana</w:t>
            </w:r>
          </w:p>
        </w:tc>
        <w:tc>
          <w:tcPr>
            <w:tcW w:w="2079" w:type="dxa"/>
            <w:vAlign w:val="center"/>
          </w:tcPr>
          <w:p w14:paraId="11C56692" w14:textId="41025925" w:rsidR="00EB718C" w:rsidRDefault="00EB718C" w:rsidP="00606D1D">
            <w:pPr>
              <w:pStyle w:val="T2"/>
              <w:spacing w:after="0"/>
              <w:ind w:left="0" w:right="0"/>
              <w:jc w:val="left"/>
              <w:rPr>
                <w:b w:val="0"/>
                <w:sz w:val="20"/>
              </w:rPr>
            </w:pPr>
            <w:r>
              <w:rPr>
                <w:b w:val="0"/>
                <w:sz w:val="20"/>
              </w:rPr>
              <w:t>Intel</w:t>
            </w:r>
          </w:p>
        </w:tc>
        <w:tc>
          <w:tcPr>
            <w:tcW w:w="1607" w:type="dxa"/>
            <w:vAlign w:val="center"/>
          </w:tcPr>
          <w:p w14:paraId="5CFC9D91" w14:textId="77777777" w:rsidR="00EB718C" w:rsidRPr="003F1D4B" w:rsidRDefault="00EB718C">
            <w:pPr>
              <w:pStyle w:val="T2"/>
              <w:spacing w:after="0"/>
              <w:ind w:left="0" w:right="0"/>
              <w:rPr>
                <w:b w:val="0"/>
                <w:sz w:val="20"/>
              </w:rPr>
            </w:pPr>
          </w:p>
        </w:tc>
        <w:tc>
          <w:tcPr>
            <w:tcW w:w="1559" w:type="dxa"/>
            <w:vAlign w:val="center"/>
          </w:tcPr>
          <w:p w14:paraId="6235BC29" w14:textId="77777777" w:rsidR="00EB718C" w:rsidRPr="00604414" w:rsidRDefault="00EB718C">
            <w:pPr>
              <w:pStyle w:val="T2"/>
              <w:spacing w:after="0"/>
              <w:ind w:left="0" w:right="0"/>
              <w:rPr>
                <w:b w:val="0"/>
                <w:sz w:val="20"/>
              </w:rPr>
            </w:pPr>
          </w:p>
        </w:tc>
        <w:tc>
          <w:tcPr>
            <w:tcW w:w="2635" w:type="dxa"/>
            <w:vAlign w:val="center"/>
          </w:tcPr>
          <w:p w14:paraId="42804DBB" w14:textId="49A6996B" w:rsidR="00EB718C" w:rsidRPr="00EB718C" w:rsidRDefault="00EB718C" w:rsidP="00604414">
            <w:pPr>
              <w:pStyle w:val="T2"/>
              <w:spacing w:after="0"/>
              <w:ind w:left="0" w:right="0"/>
              <w:jc w:val="left"/>
              <w:rPr>
                <w:b w:val="0"/>
                <w:sz w:val="20"/>
              </w:rPr>
            </w:pPr>
            <w:r w:rsidRPr="00EB718C">
              <w:rPr>
                <w:b w:val="0"/>
                <w:sz w:val="20"/>
              </w:rPr>
              <w:t>carlos.h.Aldana@intel.com</w:t>
            </w:r>
          </w:p>
        </w:tc>
      </w:tr>
      <w:tr w:rsidR="00606D1D" w:rsidRPr="00606D1D" w14:paraId="25830D9C" w14:textId="77777777" w:rsidTr="00AC5ACA">
        <w:trPr>
          <w:jc w:val="center"/>
        </w:trPr>
        <w:tc>
          <w:tcPr>
            <w:tcW w:w="1696" w:type="dxa"/>
          </w:tcPr>
          <w:p w14:paraId="652EE126" w14:textId="059B1048" w:rsidR="00606D1D" w:rsidRPr="00EB718C" w:rsidRDefault="00606D1D" w:rsidP="00606D1D">
            <w:pPr>
              <w:pStyle w:val="T2"/>
              <w:spacing w:after="0"/>
              <w:ind w:left="0" w:right="0"/>
              <w:jc w:val="left"/>
              <w:rPr>
                <w:b w:val="0"/>
                <w:sz w:val="20"/>
              </w:rPr>
            </w:pPr>
            <w:proofErr w:type="spellStart"/>
            <w:r w:rsidRPr="00606D1D">
              <w:rPr>
                <w:b w:val="0"/>
                <w:sz w:val="20"/>
              </w:rPr>
              <w:t>Djordje</w:t>
            </w:r>
            <w:proofErr w:type="spellEnd"/>
            <w:r w:rsidRPr="00606D1D">
              <w:rPr>
                <w:b w:val="0"/>
                <w:sz w:val="20"/>
              </w:rPr>
              <w:t xml:space="preserve"> </w:t>
            </w:r>
            <w:proofErr w:type="spellStart"/>
            <w:r w:rsidRPr="00606D1D">
              <w:rPr>
                <w:b w:val="0"/>
                <w:sz w:val="20"/>
              </w:rPr>
              <w:t>Tujkovic</w:t>
            </w:r>
            <w:proofErr w:type="spellEnd"/>
          </w:p>
        </w:tc>
        <w:tc>
          <w:tcPr>
            <w:tcW w:w="2079" w:type="dxa"/>
            <w:vAlign w:val="center"/>
          </w:tcPr>
          <w:p w14:paraId="52805BF9" w14:textId="3C76893F" w:rsidR="00606D1D" w:rsidRDefault="00606D1D" w:rsidP="00606D1D">
            <w:pPr>
              <w:pStyle w:val="T2"/>
              <w:spacing w:after="0"/>
              <w:ind w:left="0" w:right="0"/>
              <w:jc w:val="left"/>
              <w:rPr>
                <w:b w:val="0"/>
                <w:sz w:val="20"/>
              </w:rPr>
            </w:pPr>
            <w:r>
              <w:rPr>
                <w:b w:val="0"/>
                <w:sz w:val="20"/>
              </w:rPr>
              <w:t>Facebook</w:t>
            </w:r>
          </w:p>
        </w:tc>
        <w:tc>
          <w:tcPr>
            <w:tcW w:w="1607" w:type="dxa"/>
            <w:vAlign w:val="center"/>
          </w:tcPr>
          <w:p w14:paraId="21555240" w14:textId="77777777" w:rsidR="00606D1D" w:rsidRPr="003F1D4B" w:rsidRDefault="00606D1D" w:rsidP="00606D1D">
            <w:pPr>
              <w:pStyle w:val="T2"/>
              <w:spacing w:after="0"/>
              <w:ind w:left="0" w:right="0"/>
              <w:rPr>
                <w:b w:val="0"/>
                <w:sz w:val="20"/>
              </w:rPr>
            </w:pPr>
          </w:p>
        </w:tc>
        <w:tc>
          <w:tcPr>
            <w:tcW w:w="1559" w:type="dxa"/>
            <w:vAlign w:val="center"/>
          </w:tcPr>
          <w:p w14:paraId="61411F37" w14:textId="77777777" w:rsidR="00606D1D" w:rsidRPr="00604414" w:rsidRDefault="00606D1D" w:rsidP="00606D1D">
            <w:pPr>
              <w:pStyle w:val="T2"/>
              <w:spacing w:after="0"/>
              <w:ind w:left="0" w:right="0"/>
              <w:rPr>
                <w:b w:val="0"/>
                <w:sz w:val="20"/>
              </w:rPr>
            </w:pPr>
          </w:p>
        </w:tc>
        <w:tc>
          <w:tcPr>
            <w:tcW w:w="2635" w:type="dxa"/>
            <w:vAlign w:val="center"/>
          </w:tcPr>
          <w:p w14:paraId="1A576324" w14:textId="11946D0C" w:rsidR="00606D1D" w:rsidRPr="00EB718C" w:rsidRDefault="00606D1D" w:rsidP="00606D1D">
            <w:pPr>
              <w:pStyle w:val="T2"/>
              <w:spacing w:after="0"/>
              <w:ind w:left="0" w:right="0"/>
              <w:jc w:val="left"/>
              <w:rPr>
                <w:b w:val="0"/>
                <w:sz w:val="20"/>
              </w:rPr>
            </w:pPr>
            <w:r w:rsidRPr="00606D1D">
              <w:rPr>
                <w:b w:val="0"/>
                <w:sz w:val="20"/>
              </w:rPr>
              <w:t>djordjet@fb.com</w:t>
            </w:r>
          </w:p>
        </w:tc>
      </w:tr>
      <w:tr w:rsidR="00606D1D" w:rsidRPr="00606D1D" w14:paraId="70002D9F" w14:textId="77777777" w:rsidTr="00AC5ACA">
        <w:trPr>
          <w:jc w:val="center"/>
        </w:trPr>
        <w:tc>
          <w:tcPr>
            <w:tcW w:w="1696" w:type="dxa"/>
          </w:tcPr>
          <w:p w14:paraId="638FEC70" w14:textId="47A1072C" w:rsidR="00606D1D" w:rsidRPr="00EB718C" w:rsidRDefault="00606D1D" w:rsidP="00606D1D">
            <w:pPr>
              <w:pStyle w:val="T2"/>
              <w:spacing w:after="0"/>
              <w:ind w:left="0" w:right="0"/>
              <w:jc w:val="left"/>
              <w:rPr>
                <w:b w:val="0"/>
                <w:sz w:val="20"/>
              </w:rPr>
            </w:pPr>
            <w:r w:rsidRPr="00606D1D">
              <w:rPr>
                <w:b w:val="0"/>
                <w:sz w:val="20"/>
              </w:rPr>
              <w:t xml:space="preserve">Nabeel Ahmed                    </w:t>
            </w:r>
          </w:p>
        </w:tc>
        <w:tc>
          <w:tcPr>
            <w:tcW w:w="2079" w:type="dxa"/>
          </w:tcPr>
          <w:p w14:paraId="236E6220" w14:textId="14115002" w:rsidR="00606D1D" w:rsidRDefault="00606D1D" w:rsidP="00606D1D">
            <w:pPr>
              <w:pStyle w:val="T2"/>
              <w:spacing w:after="0"/>
              <w:ind w:left="0" w:right="0"/>
              <w:jc w:val="left"/>
              <w:rPr>
                <w:b w:val="0"/>
                <w:sz w:val="20"/>
              </w:rPr>
            </w:pPr>
            <w:r w:rsidRPr="00B23C7E">
              <w:rPr>
                <w:b w:val="0"/>
                <w:sz w:val="20"/>
              </w:rPr>
              <w:t>Facebook</w:t>
            </w:r>
          </w:p>
        </w:tc>
        <w:tc>
          <w:tcPr>
            <w:tcW w:w="1607" w:type="dxa"/>
            <w:vAlign w:val="center"/>
          </w:tcPr>
          <w:p w14:paraId="5CB72C81" w14:textId="77777777" w:rsidR="00606D1D" w:rsidRPr="003F1D4B" w:rsidRDefault="00606D1D" w:rsidP="00606D1D">
            <w:pPr>
              <w:pStyle w:val="T2"/>
              <w:spacing w:after="0"/>
              <w:ind w:left="0" w:right="0"/>
              <w:rPr>
                <w:b w:val="0"/>
                <w:sz w:val="20"/>
              </w:rPr>
            </w:pPr>
          </w:p>
        </w:tc>
        <w:tc>
          <w:tcPr>
            <w:tcW w:w="1559" w:type="dxa"/>
            <w:vAlign w:val="center"/>
          </w:tcPr>
          <w:p w14:paraId="7A334A9E" w14:textId="77777777" w:rsidR="00606D1D" w:rsidRPr="00604414" w:rsidRDefault="00606D1D" w:rsidP="00606D1D">
            <w:pPr>
              <w:pStyle w:val="T2"/>
              <w:spacing w:after="0"/>
              <w:ind w:left="0" w:right="0"/>
              <w:rPr>
                <w:b w:val="0"/>
                <w:sz w:val="20"/>
              </w:rPr>
            </w:pPr>
          </w:p>
        </w:tc>
        <w:tc>
          <w:tcPr>
            <w:tcW w:w="2635" w:type="dxa"/>
            <w:vAlign w:val="center"/>
          </w:tcPr>
          <w:p w14:paraId="1CC295F9" w14:textId="3002C3D8" w:rsidR="00606D1D" w:rsidRPr="00EB718C" w:rsidRDefault="00606D1D" w:rsidP="00606D1D">
            <w:pPr>
              <w:pStyle w:val="T2"/>
              <w:spacing w:after="0"/>
              <w:ind w:left="0" w:right="0"/>
              <w:jc w:val="left"/>
              <w:rPr>
                <w:b w:val="0"/>
                <w:sz w:val="20"/>
              </w:rPr>
            </w:pPr>
            <w:r w:rsidRPr="00606D1D">
              <w:rPr>
                <w:b w:val="0"/>
                <w:sz w:val="20"/>
              </w:rPr>
              <w:t>nabeel@fb.com</w:t>
            </w:r>
          </w:p>
        </w:tc>
      </w:tr>
      <w:tr w:rsidR="00606D1D" w:rsidRPr="003F1D4B" w14:paraId="49186C8D" w14:textId="77777777" w:rsidTr="00AC5ACA">
        <w:trPr>
          <w:jc w:val="center"/>
        </w:trPr>
        <w:tc>
          <w:tcPr>
            <w:tcW w:w="1696" w:type="dxa"/>
            <w:vAlign w:val="center"/>
          </w:tcPr>
          <w:p w14:paraId="655D5408" w14:textId="5C951B38" w:rsidR="00606D1D" w:rsidRPr="00EB718C" w:rsidRDefault="00606D1D" w:rsidP="00606D1D">
            <w:pPr>
              <w:pStyle w:val="T2"/>
              <w:spacing w:after="0"/>
              <w:ind w:left="0" w:right="0"/>
              <w:jc w:val="left"/>
              <w:rPr>
                <w:b w:val="0"/>
                <w:sz w:val="20"/>
              </w:rPr>
            </w:pPr>
            <w:r w:rsidRPr="00606D1D">
              <w:rPr>
                <w:b w:val="0"/>
                <w:sz w:val="20"/>
              </w:rPr>
              <w:t xml:space="preserve">Gang Lu                                 </w:t>
            </w:r>
          </w:p>
        </w:tc>
        <w:tc>
          <w:tcPr>
            <w:tcW w:w="2079" w:type="dxa"/>
          </w:tcPr>
          <w:p w14:paraId="486D9B16" w14:textId="77372375" w:rsidR="00606D1D" w:rsidRDefault="00606D1D" w:rsidP="00606D1D">
            <w:pPr>
              <w:pStyle w:val="T2"/>
              <w:spacing w:after="0"/>
              <w:ind w:left="0" w:right="0"/>
              <w:jc w:val="left"/>
              <w:rPr>
                <w:b w:val="0"/>
                <w:sz w:val="20"/>
              </w:rPr>
            </w:pPr>
            <w:r w:rsidRPr="00B23C7E">
              <w:rPr>
                <w:b w:val="0"/>
                <w:sz w:val="20"/>
              </w:rPr>
              <w:t>Facebook</w:t>
            </w:r>
          </w:p>
        </w:tc>
        <w:tc>
          <w:tcPr>
            <w:tcW w:w="1607" w:type="dxa"/>
            <w:vAlign w:val="center"/>
          </w:tcPr>
          <w:p w14:paraId="2FE36F37" w14:textId="77777777" w:rsidR="00606D1D" w:rsidRPr="003F1D4B" w:rsidRDefault="00606D1D" w:rsidP="00606D1D">
            <w:pPr>
              <w:pStyle w:val="T2"/>
              <w:spacing w:after="0"/>
              <w:ind w:left="0" w:right="0"/>
              <w:rPr>
                <w:b w:val="0"/>
                <w:sz w:val="20"/>
              </w:rPr>
            </w:pPr>
          </w:p>
        </w:tc>
        <w:tc>
          <w:tcPr>
            <w:tcW w:w="1559" w:type="dxa"/>
            <w:vAlign w:val="center"/>
          </w:tcPr>
          <w:p w14:paraId="432E4AC0" w14:textId="77777777" w:rsidR="00606D1D" w:rsidRPr="00604414" w:rsidRDefault="00606D1D" w:rsidP="00606D1D">
            <w:pPr>
              <w:pStyle w:val="T2"/>
              <w:spacing w:after="0"/>
              <w:ind w:left="0" w:right="0"/>
              <w:rPr>
                <w:b w:val="0"/>
                <w:sz w:val="20"/>
              </w:rPr>
            </w:pPr>
          </w:p>
        </w:tc>
        <w:tc>
          <w:tcPr>
            <w:tcW w:w="2635" w:type="dxa"/>
            <w:vAlign w:val="center"/>
          </w:tcPr>
          <w:p w14:paraId="61F68350" w14:textId="293D7B00" w:rsidR="00606D1D" w:rsidRPr="00EB718C" w:rsidRDefault="00606D1D" w:rsidP="00606D1D">
            <w:pPr>
              <w:pStyle w:val="T2"/>
              <w:spacing w:after="0"/>
              <w:ind w:left="0" w:right="0"/>
              <w:jc w:val="left"/>
              <w:rPr>
                <w:b w:val="0"/>
                <w:sz w:val="20"/>
              </w:rPr>
            </w:pPr>
            <w:r w:rsidRPr="00606D1D">
              <w:rPr>
                <w:b w:val="0"/>
                <w:sz w:val="20"/>
              </w:rPr>
              <w:t>ganglu@fb.com</w:t>
            </w:r>
          </w:p>
        </w:tc>
      </w:tr>
      <w:tr w:rsidR="00606D1D" w:rsidRPr="003F1D4B" w14:paraId="5EF77CE1" w14:textId="77777777" w:rsidTr="00AC5ACA">
        <w:trPr>
          <w:jc w:val="center"/>
        </w:trPr>
        <w:tc>
          <w:tcPr>
            <w:tcW w:w="1696" w:type="dxa"/>
            <w:vAlign w:val="center"/>
          </w:tcPr>
          <w:p w14:paraId="368C19B9" w14:textId="6D7ED2D2" w:rsidR="00606D1D" w:rsidRPr="00EB718C" w:rsidRDefault="00606D1D" w:rsidP="00606D1D">
            <w:pPr>
              <w:pStyle w:val="T2"/>
              <w:spacing w:after="0"/>
              <w:ind w:left="0" w:right="0"/>
              <w:jc w:val="left"/>
              <w:rPr>
                <w:b w:val="0"/>
                <w:sz w:val="20"/>
              </w:rPr>
            </w:pPr>
            <w:r w:rsidRPr="00606D1D">
              <w:rPr>
                <w:b w:val="0"/>
                <w:sz w:val="20"/>
              </w:rPr>
              <w:t xml:space="preserve">Praveen Gopala                  </w:t>
            </w:r>
          </w:p>
        </w:tc>
        <w:tc>
          <w:tcPr>
            <w:tcW w:w="2079" w:type="dxa"/>
          </w:tcPr>
          <w:p w14:paraId="37C3A340" w14:textId="19582B54" w:rsidR="00606D1D" w:rsidRDefault="00606D1D" w:rsidP="00606D1D">
            <w:pPr>
              <w:pStyle w:val="T2"/>
              <w:spacing w:after="0"/>
              <w:ind w:left="0" w:right="0"/>
              <w:jc w:val="left"/>
              <w:rPr>
                <w:b w:val="0"/>
                <w:sz w:val="20"/>
              </w:rPr>
            </w:pPr>
            <w:r w:rsidRPr="00B23C7E">
              <w:rPr>
                <w:b w:val="0"/>
                <w:sz w:val="20"/>
              </w:rPr>
              <w:t>Facebook</w:t>
            </w:r>
          </w:p>
        </w:tc>
        <w:tc>
          <w:tcPr>
            <w:tcW w:w="1607" w:type="dxa"/>
            <w:vAlign w:val="center"/>
          </w:tcPr>
          <w:p w14:paraId="675AAE4E" w14:textId="77777777" w:rsidR="00606D1D" w:rsidRPr="003F1D4B" w:rsidRDefault="00606D1D" w:rsidP="00606D1D">
            <w:pPr>
              <w:pStyle w:val="T2"/>
              <w:spacing w:after="0"/>
              <w:ind w:left="0" w:right="0"/>
              <w:rPr>
                <w:b w:val="0"/>
                <w:sz w:val="20"/>
              </w:rPr>
            </w:pPr>
          </w:p>
        </w:tc>
        <w:tc>
          <w:tcPr>
            <w:tcW w:w="1559" w:type="dxa"/>
            <w:vAlign w:val="center"/>
          </w:tcPr>
          <w:p w14:paraId="1CDDE14C" w14:textId="77777777" w:rsidR="00606D1D" w:rsidRPr="00604414" w:rsidRDefault="00606D1D" w:rsidP="00606D1D">
            <w:pPr>
              <w:pStyle w:val="T2"/>
              <w:spacing w:after="0"/>
              <w:ind w:left="0" w:right="0"/>
              <w:rPr>
                <w:b w:val="0"/>
                <w:sz w:val="20"/>
              </w:rPr>
            </w:pPr>
          </w:p>
        </w:tc>
        <w:tc>
          <w:tcPr>
            <w:tcW w:w="2635" w:type="dxa"/>
            <w:vAlign w:val="center"/>
          </w:tcPr>
          <w:p w14:paraId="0718D6DC" w14:textId="608E72ED" w:rsidR="00606D1D" w:rsidRPr="00EB718C" w:rsidRDefault="00606D1D" w:rsidP="00606D1D">
            <w:pPr>
              <w:pStyle w:val="T2"/>
              <w:spacing w:after="0"/>
              <w:ind w:left="0" w:right="0"/>
              <w:jc w:val="left"/>
              <w:rPr>
                <w:b w:val="0"/>
                <w:sz w:val="20"/>
              </w:rPr>
            </w:pPr>
            <w:r w:rsidRPr="00606D1D">
              <w:rPr>
                <w:b w:val="0"/>
                <w:sz w:val="20"/>
              </w:rPr>
              <w:t>gopalap@fb.com</w:t>
            </w:r>
          </w:p>
        </w:tc>
      </w:tr>
      <w:tr w:rsidR="00AC5ACA" w:rsidRPr="00AC5ACA" w14:paraId="1DC334EF" w14:textId="77777777" w:rsidTr="00AC5ACA">
        <w:trPr>
          <w:jc w:val="center"/>
        </w:trPr>
        <w:tc>
          <w:tcPr>
            <w:tcW w:w="1696" w:type="dxa"/>
          </w:tcPr>
          <w:p w14:paraId="646A541A" w14:textId="76F16B60" w:rsidR="00AC5ACA" w:rsidRPr="00606D1D" w:rsidRDefault="00AC5ACA" w:rsidP="00AC5ACA">
            <w:pPr>
              <w:pStyle w:val="T2"/>
              <w:spacing w:after="0"/>
              <w:ind w:left="0" w:right="0"/>
              <w:jc w:val="left"/>
              <w:rPr>
                <w:b w:val="0"/>
                <w:sz w:val="20"/>
              </w:rPr>
            </w:pPr>
            <w:r w:rsidRPr="00AC5ACA">
              <w:rPr>
                <w:b w:val="0"/>
                <w:sz w:val="20"/>
              </w:rPr>
              <w:t xml:space="preserve">Michael </w:t>
            </w:r>
            <w:proofErr w:type="spellStart"/>
            <w:r w:rsidRPr="00AC5ACA">
              <w:rPr>
                <w:b w:val="0"/>
                <w:sz w:val="20"/>
              </w:rPr>
              <w:t>Grigat</w:t>
            </w:r>
            <w:proofErr w:type="spellEnd"/>
          </w:p>
        </w:tc>
        <w:tc>
          <w:tcPr>
            <w:tcW w:w="2079" w:type="dxa"/>
          </w:tcPr>
          <w:p w14:paraId="5E296659" w14:textId="26B14381" w:rsidR="00AC5ACA" w:rsidRPr="00B23C7E" w:rsidRDefault="00AC5ACA" w:rsidP="00AC5ACA">
            <w:pPr>
              <w:pStyle w:val="T2"/>
              <w:spacing w:after="0"/>
              <w:ind w:left="0" w:right="0"/>
              <w:jc w:val="left"/>
              <w:rPr>
                <w:b w:val="0"/>
                <w:sz w:val="20"/>
              </w:rPr>
            </w:pPr>
            <w:r w:rsidRPr="00AC5ACA">
              <w:rPr>
                <w:b w:val="0"/>
                <w:sz w:val="20"/>
              </w:rPr>
              <w:t>Deutsche Telekom</w:t>
            </w:r>
          </w:p>
        </w:tc>
        <w:tc>
          <w:tcPr>
            <w:tcW w:w="1607" w:type="dxa"/>
          </w:tcPr>
          <w:p w14:paraId="75485CAA" w14:textId="5F1B4A5D" w:rsidR="00AC5ACA" w:rsidRPr="003F1D4B" w:rsidRDefault="00AC5ACA" w:rsidP="00AC5ACA">
            <w:pPr>
              <w:pStyle w:val="T2"/>
              <w:spacing w:after="0"/>
              <w:ind w:left="0" w:right="0"/>
              <w:jc w:val="left"/>
              <w:rPr>
                <w:b w:val="0"/>
                <w:sz w:val="20"/>
              </w:rPr>
            </w:pPr>
          </w:p>
        </w:tc>
        <w:tc>
          <w:tcPr>
            <w:tcW w:w="1559" w:type="dxa"/>
          </w:tcPr>
          <w:p w14:paraId="7417DB05" w14:textId="77777777" w:rsidR="00AC5ACA" w:rsidRPr="00604414" w:rsidRDefault="00AC5ACA" w:rsidP="00AC5ACA">
            <w:pPr>
              <w:pStyle w:val="T2"/>
              <w:spacing w:after="0"/>
              <w:ind w:left="0" w:right="0"/>
              <w:jc w:val="left"/>
              <w:rPr>
                <w:b w:val="0"/>
                <w:sz w:val="20"/>
              </w:rPr>
            </w:pPr>
          </w:p>
        </w:tc>
        <w:tc>
          <w:tcPr>
            <w:tcW w:w="2635" w:type="dxa"/>
          </w:tcPr>
          <w:p w14:paraId="523A32FF" w14:textId="76AABA95" w:rsidR="00AC5ACA" w:rsidRPr="00606D1D" w:rsidRDefault="00AC5ACA" w:rsidP="00AC5ACA">
            <w:pPr>
              <w:pStyle w:val="T2"/>
              <w:spacing w:after="0"/>
              <w:ind w:left="0" w:right="0"/>
              <w:jc w:val="left"/>
              <w:rPr>
                <w:b w:val="0"/>
                <w:sz w:val="20"/>
              </w:rPr>
            </w:pPr>
            <w:r w:rsidRPr="00AC5ACA">
              <w:rPr>
                <w:b w:val="0"/>
                <w:sz w:val="20"/>
              </w:rPr>
              <w:t>m.grigat@telekom.de</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14738521" w:rsidR="005C4B33" w:rsidRDefault="005C4B33">
                            <w:pPr>
                              <w:jc w:val="both"/>
                            </w:pPr>
                            <w:r>
                              <w:t>This document propose</w:t>
                            </w:r>
                            <w:r w:rsidR="00D276AF">
                              <w:t>s</w:t>
                            </w:r>
                            <w:r>
                              <w:t xml:space="preserve"> amendment to the transmission rules for ACK</w:t>
                            </w:r>
                            <w:r w:rsidR="00D276AF">
                              <w:t>/BA</w:t>
                            </w:r>
                            <w:r>
                              <w:t xml:space="preserve"> and many immediate control response frames </w:t>
                            </w:r>
                            <w:r w:rsidR="00D276AF">
                              <w:t xml:space="preserve">in accordance with 17/1647r0 (Ack/BA for </w:t>
                            </w:r>
                            <w:proofErr w:type="spellStart"/>
                            <w:r w:rsidR="00D276AF">
                              <w:t>mmWave</w:t>
                            </w:r>
                            <w:proofErr w:type="spellEnd"/>
                            <w:r w:rsidR="00D276AF">
                              <w:t xml:space="preserve"> Distribution Network)</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14738521" w:rsidR="005C4B33" w:rsidRDefault="005C4B33">
                      <w:pPr>
                        <w:jc w:val="both"/>
                      </w:pPr>
                      <w:r>
                        <w:t>This document propose</w:t>
                      </w:r>
                      <w:r w:rsidR="00D276AF">
                        <w:t>s</w:t>
                      </w:r>
                      <w:r>
                        <w:t xml:space="preserve"> amendment to the transmission rules for ACK</w:t>
                      </w:r>
                      <w:r w:rsidR="00D276AF">
                        <w:t>/BA</w:t>
                      </w:r>
                      <w:r>
                        <w:t xml:space="preserve"> and many immediate control response frames </w:t>
                      </w:r>
                      <w:r w:rsidR="00D276AF">
                        <w:t xml:space="preserve">in accordance with 17/1647r0 (Ack/BA for </w:t>
                      </w:r>
                      <w:proofErr w:type="spellStart"/>
                      <w:r w:rsidR="00D276AF">
                        <w:t>mmWave</w:t>
                      </w:r>
                      <w:proofErr w:type="spellEnd"/>
                      <w:r w:rsidR="00D276AF">
                        <w:t xml:space="preserve"> Distribution Network)</w:t>
                      </w:r>
                      <w:r>
                        <w:t>.</w:t>
                      </w:r>
                    </w:p>
                  </w:txbxContent>
                </v:textbox>
              </v:shape>
            </w:pict>
          </mc:Fallback>
        </mc:AlternateContent>
      </w:r>
    </w:p>
    <w:p w14:paraId="1B04FACE" w14:textId="7886E0C5" w:rsidR="00FA6D24" w:rsidRPr="00F36CA8" w:rsidRDefault="00CA09B2" w:rsidP="00F36CA8">
      <w:r w:rsidRPr="003F1D4B">
        <w:br w:type="page"/>
      </w:r>
    </w:p>
    <w:p w14:paraId="316F7C6D" w14:textId="77777777" w:rsidR="00067B51" w:rsidRDefault="00067B51" w:rsidP="00067B51">
      <w:pPr>
        <w:widowControl w:val="0"/>
        <w:autoSpaceDE w:val="0"/>
        <w:autoSpaceDN w:val="0"/>
        <w:adjustRightInd w:val="0"/>
        <w:rPr>
          <w:bCs/>
          <w:color w:val="FF0000"/>
          <w:sz w:val="20"/>
          <w:u w:val="single"/>
          <w:lang w:val="en-US" w:eastAsia="zh-CN"/>
        </w:rPr>
      </w:pPr>
    </w:p>
    <w:p w14:paraId="29795BF0" w14:textId="313C65EC" w:rsidR="009C2F9F" w:rsidRPr="00F9318D" w:rsidRDefault="00067B51" w:rsidP="00067B51">
      <w:pPr>
        <w:widowControl w:val="0"/>
        <w:autoSpaceDE w:val="0"/>
        <w:autoSpaceDN w:val="0"/>
        <w:adjustRightInd w:val="0"/>
        <w:rPr>
          <w:rFonts w:ascii="Arial-BoldMT" w:hAnsi="Arial-BoldMT" w:cs="Arial-BoldMT" w:hint="eastAsia"/>
          <w:b/>
          <w:bCs/>
          <w:sz w:val="24"/>
          <w:szCs w:val="24"/>
          <w:lang w:val="en-US" w:eastAsia="zh-CN"/>
        </w:rPr>
      </w:pPr>
      <w:r w:rsidRPr="00F9318D">
        <w:rPr>
          <w:rFonts w:ascii="Arial-BoldMT" w:hAnsi="Arial-BoldMT" w:cs="Arial-BoldMT"/>
          <w:b/>
          <w:bCs/>
          <w:sz w:val="24"/>
          <w:szCs w:val="24"/>
          <w:lang w:val="en-US" w:eastAsia="zh-CN"/>
        </w:rPr>
        <w:t>9.2.4.5.</w:t>
      </w:r>
      <w:r w:rsidR="00EC0E70">
        <w:rPr>
          <w:rFonts w:ascii="Arial-BoldMT" w:hAnsi="Arial-BoldMT" w:cs="Arial-BoldMT"/>
          <w:b/>
          <w:bCs/>
          <w:sz w:val="24"/>
          <w:szCs w:val="24"/>
          <w:lang w:val="en-US" w:eastAsia="zh-CN"/>
        </w:rPr>
        <w:t>4</w:t>
      </w:r>
      <w:r w:rsidRPr="00F9318D">
        <w:rPr>
          <w:rFonts w:ascii="Arial-BoldMT" w:hAnsi="Arial-BoldMT" w:cs="Arial-BoldMT"/>
          <w:b/>
          <w:bCs/>
          <w:sz w:val="24"/>
          <w:szCs w:val="24"/>
          <w:lang w:val="en-US" w:eastAsia="zh-CN"/>
        </w:rPr>
        <w:t xml:space="preserve"> Ack Policy subfield</w:t>
      </w:r>
    </w:p>
    <w:p w14:paraId="4D4E79D5" w14:textId="1F30BAC6" w:rsidR="00067B51" w:rsidRPr="00F9318D" w:rsidRDefault="00067B51" w:rsidP="00067B51">
      <w:pPr>
        <w:widowControl w:val="0"/>
        <w:autoSpaceDE w:val="0"/>
        <w:autoSpaceDN w:val="0"/>
        <w:adjustRightInd w:val="0"/>
        <w:rPr>
          <w:rFonts w:ascii="Arial-BoldMT" w:hAnsi="Arial-BoldMT" w:cs="Arial-BoldMT" w:hint="eastAsia"/>
          <w:b/>
          <w:bCs/>
          <w:i/>
          <w:sz w:val="24"/>
          <w:szCs w:val="24"/>
          <w:lang w:val="en-US" w:eastAsia="zh-CN"/>
        </w:rPr>
      </w:pPr>
      <w:r w:rsidRPr="00F9318D">
        <w:rPr>
          <w:rFonts w:ascii="Arial-BoldMT" w:hAnsi="Arial-BoldMT" w:cs="Arial-BoldMT"/>
          <w:b/>
          <w:bCs/>
          <w:i/>
          <w:sz w:val="24"/>
          <w:szCs w:val="24"/>
          <w:highlight w:val="yellow"/>
          <w:lang w:val="en-US" w:eastAsia="zh-CN"/>
        </w:rPr>
        <w:t>Add the following text to Table 9-</w:t>
      </w:r>
      <w:r w:rsidR="00EC0E70">
        <w:rPr>
          <w:rFonts w:ascii="Arial-BoldMT" w:hAnsi="Arial-BoldMT" w:cs="Arial-BoldMT"/>
          <w:b/>
          <w:bCs/>
          <w:i/>
          <w:sz w:val="24"/>
          <w:szCs w:val="24"/>
          <w:highlight w:val="yellow"/>
          <w:lang w:val="en-US" w:eastAsia="zh-CN"/>
        </w:rPr>
        <w:t>9</w:t>
      </w:r>
      <w:r w:rsidRPr="00F9318D">
        <w:rPr>
          <w:rFonts w:ascii="Arial-BoldMT" w:hAnsi="Arial-BoldMT" w:cs="Arial-BoldMT"/>
          <w:b/>
          <w:bCs/>
          <w:i/>
          <w:sz w:val="24"/>
          <w:szCs w:val="24"/>
          <w:highlight w:val="yellow"/>
          <w:lang w:val="en-US" w:eastAsia="zh-CN"/>
        </w:rPr>
        <w:t xml:space="preserve"> (Ack Policy subfield in </w:t>
      </w:r>
      <w:proofErr w:type="spellStart"/>
      <w:r w:rsidRPr="00F9318D">
        <w:rPr>
          <w:rFonts w:ascii="Arial-BoldMT" w:hAnsi="Arial-BoldMT" w:cs="Arial-BoldMT"/>
          <w:b/>
          <w:bCs/>
          <w:i/>
          <w:sz w:val="24"/>
          <w:szCs w:val="24"/>
          <w:highlight w:val="yellow"/>
          <w:lang w:val="en-US" w:eastAsia="zh-CN"/>
        </w:rPr>
        <w:t>QoS</w:t>
      </w:r>
      <w:proofErr w:type="spellEnd"/>
      <w:r w:rsidRPr="00F9318D">
        <w:rPr>
          <w:rFonts w:ascii="Arial-BoldMT" w:hAnsi="Arial-BoldMT" w:cs="Arial-BoldMT"/>
          <w:b/>
          <w:bCs/>
          <w:i/>
          <w:sz w:val="24"/>
          <w:szCs w:val="24"/>
          <w:highlight w:val="yellow"/>
          <w:lang w:val="en-US" w:eastAsia="zh-CN"/>
        </w:rPr>
        <w:t xml:space="preserve"> Control field of </w:t>
      </w:r>
      <w:proofErr w:type="spellStart"/>
      <w:r w:rsidRPr="00F9318D">
        <w:rPr>
          <w:rFonts w:ascii="Arial-BoldMT" w:hAnsi="Arial-BoldMT" w:cs="Arial-BoldMT"/>
          <w:b/>
          <w:bCs/>
          <w:i/>
          <w:sz w:val="24"/>
          <w:szCs w:val="24"/>
          <w:highlight w:val="yellow"/>
          <w:lang w:val="en-US" w:eastAsia="zh-CN"/>
        </w:rPr>
        <w:t>QoS</w:t>
      </w:r>
      <w:proofErr w:type="spellEnd"/>
      <w:r w:rsidRPr="00F9318D">
        <w:rPr>
          <w:rFonts w:ascii="Arial-BoldMT" w:hAnsi="Arial-BoldMT" w:cs="Arial-BoldMT"/>
          <w:b/>
          <w:bCs/>
          <w:i/>
          <w:sz w:val="24"/>
          <w:szCs w:val="24"/>
          <w:highlight w:val="yellow"/>
          <w:lang w:val="en-US" w:eastAsia="zh-CN"/>
        </w:rPr>
        <w:t xml:space="preserve"> Data frames)</w:t>
      </w:r>
    </w:p>
    <w:p w14:paraId="16F9287F" w14:textId="77777777" w:rsidR="00067B51" w:rsidRPr="00F9318D" w:rsidRDefault="00067B51" w:rsidP="00067B51">
      <w:pPr>
        <w:widowControl w:val="0"/>
        <w:autoSpaceDE w:val="0"/>
        <w:autoSpaceDN w:val="0"/>
        <w:adjustRightInd w:val="0"/>
        <w:rPr>
          <w:rFonts w:ascii="Arial-BoldMT" w:hAnsi="Arial-BoldMT" w:cs="Arial-BoldMT" w:hint="eastAsia"/>
          <w:b/>
          <w:bCs/>
          <w:i/>
          <w:sz w:val="24"/>
          <w:szCs w:val="24"/>
          <w:lang w:val="en-US" w:eastAsia="zh-CN"/>
        </w:rPr>
      </w:pPr>
    </w:p>
    <w:tbl>
      <w:tblPr>
        <w:tblStyle w:val="TableGrid"/>
        <w:tblW w:w="0" w:type="auto"/>
        <w:tblLook w:val="04A0" w:firstRow="1" w:lastRow="0" w:firstColumn="1" w:lastColumn="0" w:noHBand="0" w:noVBand="1"/>
      </w:tblPr>
      <w:tblGrid>
        <w:gridCol w:w="805"/>
        <w:gridCol w:w="945"/>
        <w:gridCol w:w="7600"/>
      </w:tblGrid>
      <w:tr w:rsidR="00067B51" w:rsidRPr="00F9318D" w14:paraId="1E45FF77" w14:textId="77777777" w:rsidTr="00067B51">
        <w:tc>
          <w:tcPr>
            <w:tcW w:w="1750" w:type="dxa"/>
            <w:gridSpan w:val="2"/>
          </w:tcPr>
          <w:p w14:paraId="676E9DA7" w14:textId="47165EFE"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Bits in </w:t>
            </w:r>
            <w:proofErr w:type="spellStart"/>
            <w:r w:rsidRPr="00F9318D">
              <w:rPr>
                <w:rFonts w:ascii="Arial-BoldMT" w:hAnsi="Arial-BoldMT" w:cs="Arial-BoldMT"/>
                <w:bCs/>
                <w:sz w:val="24"/>
                <w:szCs w:val="24"/>
                <w:lang w:val="en-US" w:eastAsia="zh-CN"/>
              </w:rPr>
              <w:t>QoS</w:t>
            </w:r>
            <w:proofErr w:type="spellEnd"/>
            <w:r w:rsidRPr="00F9318D">
              <w:rPr>
                <w:rFonts w:ascii="Arial-BoldMT" w:hAnsi="Arial-BoldMT" w:cs="Arial-BoldMT"/>
                <w:bCs/>
                <w:sz w:val="24"/>
                <w:szCs w:val="24"/>
                <w:lang w:val="en-US" w:eastAsia="zh-CN"/>
              </w:rPr>
              <w:t xml:space="preserve"> Control field</w:t>
            </w:r>
          </w:p>
        </w:tc>
        <w:tc>
          <w:tcPr>
            <w:tcW w:w="7600" w:type="dxa"/>
            <w:vMerge w:val="restart"/>
          </w:tcPr>
          <w:p w14:paraId="19A306BB" w14:textId="0A2ACE02"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Meaning</w:t>
            </w:r>
          </w:p>
        </w:tc>
      </w:tr>
      <w:tr w:rsidR="00067B51" w:rsidRPr="00F9318D" w14:paraId="40D5479C" w14:textId="77777777" w:rsidTr="00067B51">
        <w:tc>
          <w:tcPr>
            <w:tcW w:w="805" w:type="dxa"/>
          </w:tcPr>
          <w:p w14:paraId="7E662F4D" w14:textId="2C0003F1"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Bit 5</w:t>
            </w:r>
          </w:p>
        </w:tc>
        <w:tc>
          <w:tcPr>
            <w:tcW w:w="945" w:type="dxa"/>
          </w:tcPr>
          <w:p w14:paraId="31318A38" w14:textId="78AEE2D1"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Bit 6</w:t>
            </w:r>
          </w:p>
        </w:tc>
        <w:tc>
          <w:tcPr>
            <w:tcW w:w="7600" w:type="dxa"/>
            <w:vMerge/>
          </w:tcPr>
          <w:p w14:paraId="549059E3" w14:textId="77777777"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p>
        </w:tc>
      </w:tr>
      <w:tr w:rsidR="00067B51" w:rsidRPr="00F9318D" w14:paraId="3B0B9060" w14:textId="77777777" w:rsidTr="00067B51">
        <w:tc>
          <w:tcPr>
            <w:tcW w:w="805" w:type="dxa"/>
          </w:tcPr>
          <w:p w14:paraId="512905F6" w14:textId="436F39B3"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0</w:t>
            </w:r>
          </w:p>
        </w:tc>
        <w:tc>
          <w:tcPr>
            <w:tcW w:w="945" w:type="dxa"/>
          </w:tcPr>
          <w:p w14:paraId="2DD6837D" w14:textId="58603364"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0</w:t>
            </w:r>
          </w:p>
        </w:tc>
        <w:tc>
          <w:tcPr>
            <w:tcW w:w="7600" w:type="dxa"/>
          </w:tcPr>
          <w:p w14:paraId="23CCEB2A" w14:textId="77777777"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Normal Ack or Implicit Block Ack Request.</w:t>
            </w:r>
          </w:p>
          <w:p w14:paraId="3852580B" w14:textId="77777777"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p>
          <w:p w14:paraId="0003BB47" w14:textId="3F514AD9"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In a frame that is a non-A-MPDU frame or</w:t>
            </w:r>
            <w:r w:rsidR="000D5A2B">
              <w:rPr>
                <w:rFonts w:ascii="Arial-BoldMT" w:hAnsi="Arial-BoldMT" w:cs="Arial-BoldMT"/>
                <w:bCs/>
                <w:sz w:val="24"/>
                <w:szCs w:val="24"/>
                <w:lang w:val="en-US" w:eastAsia="zh-CN"/>
              </w:rPr>
              <w:t xml:space="preserve"> S-MPDU</w:t>
            </w:r>
            <w:r w:rsidRPr="00F9318D">
              <w:rPr>
                <w:rFonts w:ascii="Arial-BoldMT" w:hAnsi="Arial-BoldMT" w:cs="Arial-BoldMT"/>
                <w:bCs/>
                <w:sz w:val="24"/>
                <w:szCs w:val="24"/>
                <w:lang w:val="en-US" w:eastAsia="zh-CN"/>
              </w:rPr>
              <w:t xml:space="preserve"> </w:t>
            </w:r>
            <w:r w:rsidR="000D5A2B">
              <w:rPr>
                <w:rFonts w:ascii="Arial-BoldMT" w:hAnsi="Arial-BoldMT" w:cs="Arial-BoldMT"/>
                <w:bCs/>
                <w:sz w:val="24"/>
                <w:szCs w:val="24"/>
                <w:lang w:val="en-US" w:eastAsia="zh-CN"/>
              </w:rPr>
              <w:t>where either the originator or the addressed recipient does not support fragment BA procedure:</w:t>
            </w:r>
          </w:p>
          <w:p w14:paraId="14791BEC" w14:textId="18A493AD"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The addressed recipient returns an Ack or </w:t>
            </w:r>
            <w:proofErr w:type="spellStart"/>
            <w:r w:rsidRPr="00F9318D">
              <w:rPr>
                <w:rFonts w:ascii="Arial-BoldMT" w:hAnsi="Arial-BoldMT" w:cs="Arial-BoldMT"/>
                <w:bCs/>
                <w:sz w:val="24"/>
                <w:szCs w:val="24"/>
                <w:lang w:val="en-US" w:eastAsia="zh-CN"/>
              </w:rPr>
              <w:t>QoS</w:t>
            </w:r>
            <w:proofErr w:type="spellEnd"/>
            <w:r w:rsidRPr="00F9318D">
              <w:rPr>
                <w:rFonts w:ascii="Arial-BoldMT" w:hAnsi="Arial-BoldMT" w:cs="Arial-BoldMT"/>
                <w:bCs/>
                <w:sz w:val="24"/>
                <w:szCs w:val="24"/>
                <w:lang w:val="en-US" w:eastAsia="zh-CN"/>
              </w:rPr>
              <w:t xml:space="preserve"> +CF-Ack frame after a short interframe space (SIFS) period, according to th</w:t>
            </w:r>
            <w:r w:rsidR="000D5A2B">
              <w:rPr>
                <w:rFonts w:ascii="Arial-BoldMT" w:hAnsi="Arial-BoldMT" w:cs="Arial-BoldMT"/>
                <w:bCs/>
                <w:sz w:val="24"/>
                <w:szCs w:val="24"/>
                <w:lang w:val="en-US" w:eastAsia="zh-CN"/>
              </w:rPr>
              <w:t>e procedures defined in 10.3.2.10</w:t>
            </w:r>
            <w:r w:rsidRPr="00F9318D">
              <w:rPr>
                <w:rFonts w:ascii="Arial-BoldMT" w:hAnsi="Arial-BoldMT" w:cs="Arial-BoldMT"/>
                <w:bCs/>
                <w:sz w:val="24"/>
                <w:szCs w:val="24"/>
                <w:lang w:val="en-US" w:eastAsia="zh-CN"/>
              </w:rPr>
              <w:t xml:space="preserve"> (Acknowledgement procedure) and 10.2</w:t>
            </w:r>
            <w:r w:rsidR="000D5A2B">
              <w:rPr>
                <w:rFonts w:ascii="Arial-BoldMT" w:hAnsi="Arial-BoldMT" w:cs="Arial-BoldMT"/>
                <w:bCs/>
                <w:sz w:val="24"/>
                <w:szCs w:val="24"/>
                <w:lang w:val="en-US" w:eastAsia="zh-CN"/>
              </w:rPr>
              <w:t>4</w:t>
            </w:r>
            <w:r w:rsidRPr="00F9318D">
              <w:rPr>
                <w:rFonts w:ascii="Arial-BoldMT" w:hAnsi="Arial-BoldMT" w:cs="Arial-BoldMT"/>
                <w:bCs/>
                <w:sz w:val="24"/>
                <w:szCs w:val="24"/>
                <w:lang w:val="en-US" w:eastAsia="zh-CN"/>
              </w:rPr>
              <w:t xml:space="preserve">.3.5 (HCCA transfer rules). A non-DMG STA sets the Ack Policy subfield for individually addressed </w:t>
            </w:r>
            <w:proofErr w:type="spellStart"/>
            <w:r w:rsidRPr="00F9318D">
              <w:rPr>
                <w:rFonts w:ascii="Arial-BoldMT" w:hAnsi="Arial-BoldMT" w:cs="Arial-BoldMT"/>
                <w:bCs/>
                <w:sz w:val="24"/>
                <w:szCs w:val="24"/>
                <w:lang w:val="en-US" w:eastAsia="zh-CN"/>
              </w:rPr>
              <w:t>QoS</w:t>
            </w:r>
            <w:proofErr w:type="spellEnd"/>
            <w:r w:rsidRPr="00F9318D">
              <w:rPr>
                <w:rFonts w:ascii="Arial-BoldMT" w:hAnsi="Arial-BoldMT" w:cs="Arial-BoldMT"/>
                <w:bCs/>
                <w:sz w:val="24"/>
                <w:szCs w:val="24"/>
                <w:lang w:val="en-US" w:eastAsia="zh-CN"/>
              </w:rPr>
              <w:t xml:space="preserve"> Null (no data) frames to this value.</w:t>
            </w:r>
          </w:p>
          <w:p w14:paraId="0A02C985" w14:textId="0C402807" w:rsidR="00D3158A" w:rsidRPr="00F9318D" w:rsidRDefault="00043953" w:rsidP="005C4B33">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The addressed recipient that is a</w:t>
            </w:r>
            <w:r w:rsidR="00D3158A" w:rsidRPr="00F9318D">
              <w:rPr>
                <w:rFonts w:ascii="Arial-BoldMT" w:hAnsi="Arial-BoldMT" w:cs="Arial-BoldMT"/>
                <w:bCs/>
                <w:color w:val="FF0000"/>
                <w:sz w:val="24"/>
                <w:szCs w:val="24"/>
                <w:u w:val="single"/>
                <w:lang w:val="en-US" w:eastAsia="zh-CN"/>
              </w:rPr>
              <w:t xml:space="preserve"> </w:t>
            </w:r>
            <w:r w:rsidR="007D7E2B" w:rsidRPr="00F9318D">
              <w:rPr>
                <w:rFonts w:ascii="Arial-BoldMT" w:hAnsi="Arial-BoldMT" w:cs="Arial-BoldMT"/>
                <w:bCs/>
                <w:color w:val="FF0000"/>
                <w:sz w:val="24"/>
                <w:szCs w:val="24"/>
                <w:u w:val="single"/>
                <w:lang w:val="en-US" w:eastAsia="zh-CN"/>
              </w:rPr>
              <w:t>DMG STA operating in an SP with TDD channel access</w:t>
            </w:r>
            <w:r w:rsidR="00F9318D">
              <w:rPr>
                <w:rFonts w:ascii="Arial-BoldMT" w:hAnsi="Arial-BoldMT" w:cs="Arial-BoldMT"/>
                <w:bCs/>
                <w:color w:val="FF0000"/>
                <w:sz w:val="24"/>
                <w:szCs w:val="24"/>
                <w:u w:val="single"/>
                <w:lang w:val="en-US" w:eastAsia="zh-CN"/>
              </w:rPr>
              <w:t xml:space="preserve"> (see 10.36.6.2.2 (SP with TDD Channel Access))</w:t>
            </w:r>
            <w:r w:rsidR="00602BD1" w:rsidRPr="00F9318D">
              <w:rPr>
                <w:rFonts w:ascii="Arial-BoldMT" w:hAnsi="Arial-BoldMT" w:cs="Arial-BoldMT"/>
                <w:bCs/>
                <w:color w:val="FF0000"/>
                <w:sz w:val="24"/>
                <w:szCs w:val="24"/>
                <w:u w:val="single"/>
                <w:lang w:val="en-US" w:eastAsia="zh-CN"/>
              </w:rPr>
              <w:t>,</w:t>
            </w:r>
            <w:r w:rsidR="00D3158A" w:rsidRPr="00F9318D">
              <w:rPr>
                <w:rFonts w:ascii="Arial-BoldMT" w:hAnsi="Arial-BoldMT" w:cs="Arial-BoldMT"/>
                <w:bCs/>
                <w:color w:val="FF0000"/>
                <w:sz w:val="24"/>
                <w:szCs w:val="24"/>
                <w:u w:val="single"/>
                <w:lang w:val="en-US" w:eastAsia="zh-CN"/>
              </w:rPr>
              <w:t xml:space="preserve"> returns an Ack frame according to the procedures defined in </w:t>
            </w:r>
            <w:r w:rsidR="002C1F7A" w:rsidRPr="00F9318D">
              <w:rPr>
                <w:rFonts w:ascii="Arial-BoldMT" w:hAnsi="Arial-BoldMT" w:cs="Arial-BoldMT"/>
                <w:bCs/>
                <w:color w:val="FF0000"/>
                <w:sz w:val="24"/>
                <w:szCs w:val="24"/>
                <w:u w:val="single"/>
                <w:lang w:val="en-US" w:eastAsia="zh-CN"/>
              </w:rPr>
              <w:t>10.3.2.9</w:t>
            </w:r>
            <w:r w:rsidR="00D3158A" w:rsidRPr="00F9318D">
              <w:rPr>
                <w:rFonts w:ascii="Arial-BoldMT" w:hAnsi="Arial-BoldMT" w:cs="Arial-BoldMT"/>
                <w:bCs/>
                <w:color w:val="FF0000"/>
                <w:sz w:val="24"/>
                <w:szCs w:val="24"/>
                <w:u w:val="single"/>
                <w:lang w:val="en-US" w:eastAsia="zh-CN"/>
              </w:rPr>
              <w:t xml:space="preserve"> (</w:t>
            </w:r>
            <w:r w:rsidR="002C1F7A" w:rsidRPr="00F9318D">
              <w:rPr>
                <w:rFonts w:ascii="Arial-BoldMT" w:hAnsi="Arial-BoldMT" w:cs="Arial-BoldMT"/>
                <w:bCs/>
                <w:color w:val="FF0000"/>
                <w:sz w:val="24"/>
                <w:szCs w:val="24"/>
                <w:u w:val="single"/>
                <w:lang w:val="en-US" w:eastAsia="zh-CN"/>
              </w:rPr>
              <w:t>Acknowledgement procedure</w:t>
            </w:r>
            <w:r w:rsidR="00D3158A" w:rsidRPr="00F9318D">
              <w:rPr>
                <w:rFonts w:ascii="Arial-BoldMT" w:hAnsi="Arial-BoldMT" w:cs="Arial-BoldMT"/>
                <w:bCs/>
                <w:color w:val="FF0000"/>
                <w:sz w:val="24"/>
                <w:szCs w:val="24"/>
                <w:u w:val="single"/>
                <w:lang w:val="en-US" w:eastAsia="zh-CN"/>
              </w:rPr>
              <w:t>).</w:t>
            </w:r>
          </w:p>
          <w:p w14:paraId="49BF14FD" w14:textId="53479AF8" w:rsidR="00D3158A" w:rsidRDefault="00D3158A" w:rsidP="005C4B33">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7D10FC13" w14:textId="3A568BA3" w:rsidR="000D5A2B" w:rsidRDefault="000D5A2B" w:rsidP="005C4B33">
            <w:pPr>
              <w:widowControl w:val="0"/>
              <w:autoSpaceDE w:val="0"/>
              <w:autoSpaceDN w:val="0"/>
              <w:adjustRightInd w:val="0"/>
              <w:jc w:val="both"/>
              <w:rPr>
                <w:rFonts w:ascii="Arial-BoldMT" w:hAnsi="Arial-BoldMT" w:cs="Arial-BoldMT" w:hint="eastAsia"/>
                <w:bCs/>
                <w:sz w:val="24"/>
                <w:szCs w:val="24"/>
                <w:lang w:val="en-US" w:eastAsia="zh-CN"/>
              </w:rPr>
            </w:pPr>
            <w:r>
              <w:rPr>
                <w:rFonts w:ascii="Arial-BoldMT" w:hAnsi="Arial-BoldMT" w:cs="Arial-BoldMT"/>
                <w:bCs/>
                <w:sz w:val="24"/>
                <w:szCs w:val="24"/>
                <w:lang w:val="en-US" w:eastAsia="zh-CN"/>
              </w:rPr>
              <w:t>In a non-A-MPDU frame or S-MPDU containing a fragment where both the originator and the addressed recipient support the fragment BA procedure:</w:t>
            </w:r>
          </w:p>
          <w:p w14:paraId="2537CF46" w14:textId="6996A914" w:rsidR="000D5A2B" w:rsidRPr="000D5A2B" w:rsidRDefault="000D5A2B" w:rsidP="005C4B33">
            <w:pPr>
              <w:widowControl w:val="0"/>
              <w:autoSpaceDE w:val="0"/>
              <w:autoSpaceDN w:val="0"/>
              <w:adjustRightInd w:val="0"/>
              <w:jc w:val="both"/>
              <w:rPr>
                <w:rFonts w:ascii="Arial-BoldMT" w:hAnsi="Arial-BoldMT" w:cs="Arial-BoldMT" w:hint="eastAsia"/>
                <w:bCs/>
                <w:sz w:val="24"/>
                <w:szCs w:val="24"/>
                <w:lang w:val="en-US" w:eastAsia="zh-CN"/>
              </w:rPr>
            </w:pPr>
            <w:r>
              <w:rPr>
                <w:rFonts w:ascii="Arial-BoldMT" w:hAnsi="Arial-BoldMT" w:cs="Arial-BoldMT"/>
                <w:bCs/>
                <w:sz w:val="24"/>
                <w:szCs w:val="24"/>
                <w:lang w:val="en-US" w:eastAsia="zh-CN"/>
              </w:rPr>
              <w:t xml:space="preserve">The addressed recipient returns an NDP </w:t>
            </w:r>
            <w:proofErr w:type="spellStart"/>
            <w:r>
              <w:rPr>
                <w:rFonts w:ascii="Arial-BoldMT" w:hAnsi="Arial-BoldMT" w:cs="Arial-BoldMT"/>
                <w:bCs/>
                <w:sz w:val="24"/>
                <w:szCs w:val="24"/>
                <w:lang w:val="en-US" w:eastAsia="zh-CN"/>
              </w:rPr>
              <w:t>BlockAck</w:t>
            </w:r>
            <w:proofErr w:type="spellEnd"/>
            <w:r>
              <w:rPr>
                <w:rFonts w:ascii="Arial-BoldMT" w:hAnsi="Arial-BoldMT" w:cs="Arial-BoldMT"/>
                <w:bCs/>
                <w:sz w:val="24"/>
                <w:szCs w:val="24"/>
                <w:lang w:val="en-US" w:eastAsia="zh-CN"/>
              </w:rPr>
              <w:t xml:space="preserve"> frame after a SIFS, according to the procedure defined in 10.3.2.11 (Fragment BA procedure.</w:t>
            </w:r>
          </w:p>
          <w:p w14:paraId="6416E128" w14:textId="77777777" w:rsidR="00D3158A" w:rsidRPr="00F9318D" w:rsidRDefault="00D3158A"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Otherwise:</w:t>
            </w:r>
          </w:p>
          <w:p w14:paraId="69977665" w14:textId="5DC14480" w:rsidR="00D3158A" w:rsidRPr="00F9318D" w:rsidRDefault="00D3158A"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The addressed recipient returns a </w:t>
            </w:r>
            <w:proofErr w:type="spellStart"/>
            <w:r w:rsidRPr="00F9318D">
              <w:rPr>
                <w:rFonts w:ascii="Arial-BoldMT" w:hAnsi="Arial-BoldMT" w:cs="Arial-BoldMT"/>
                <w:bCs/>
                <w:sz w:val="24"/>
                <w:szCs w:val="24"/>
                <w:lang w:val="en-US" w:eastAsia="zh-CN"/>
              </w:rPr>
              <w:t>BlockAck</w:t>
            </w:r>
            <w:proofErr w:type="spellEnd"/>
            <w:r w:rsidRPr="00F9318D">
              <w:rPr>
                <w:rFonts w:ascii="Arial-BoldMT" w:hAnsi="Arial-BoldMT" w:cs="Arial-BoldMT"/>
                <w:bCs/>
                <w:sz w:val="24"/>
                <w:szCs w:val="24"/>
                <w:lang w:val="en-US" w:eastAsia="zh-CN"/>
              </w:rPr>
              <w:t xml:space="preserve"> frame, either individually or as part of an A-MPDU starting a SIFS after the PPDU carrying the frame, according to the procedures defined in 10.3.2.</w:t>
            </w:r>
            <w:r w:rsidR="000D5A2B">
              <w:rPr>
                <w:rFonts w:ascii="Arial-BoldMT" w:hAnsi="Arial-BoldMT" w:cs="Arial-BoldMT"/>
                <w:bCs/>
                <w:sz w:val="24"/>
                <w:szCs w:val="24"/>
                <w:lang w:val="en-US" w:eastAsia="zh-CN"/>
              </w:rPr>
              <w:t>10</w:t>
            </w:r>
            <w:r w:rsidRPr="00F9318D">
              <w:rPr>
                <w:rFonts w:ascii="Arial-BoldMT" w:hAnsi="Arial-BoldMT" w:cs="Arial-BoldMT"/>
                <w:bCs/>
                <w:sz w:val="24"/>
                <w:szCs w:val="24"/>
                <w:lang w:val="en-US" w:eastAsia="zh-CN"/>
              </w:rPr>
              <w:t xml:space="preserve"> (Acknowledgement procedure), 10.2</w:t>
            </w:r>
            <w:r w:rsidR="000D5A2B">
              <w:rPr>
                <w:rFonts w:ascii="Arial-BoldMT" w:hAnsi="Arial-BoldMT" w:cs="Arial-BoldMT"/>
                <w:bCs/>
                <w:sz w:val="24"/>
                <w:szCs w:val="24"/>
                <w:lang w:val="en-US" w:eastAsia="zh-CN"/>
              </w:rPr>
              <w:t>6</w:t>
            </w:r>
            <w:r w:rsidRPr="00F9318D">
              <w:rPr>
                <w:rFonts w:ascii="Arial-BoldMT" w:hAnsi="Arial-BoldMT" w:cs="Arial-BoldMT"/>
                <w:bCs/>
                <w:sz w:val="24"/>
                <w:szCs w:val="24"/>
                <w:lang w:val="en-US" w:eastAsia="zh-CN"/>
              </w:rPr>
              <w:t xml:space="preserve">.7.5 (Generation and transmission of </w:t>
            </w:r>
            <w:proofErr w:type="spellStart"/>
            <w:r w:rsidRPr="00F9318D">
              <w:rPr>
                <w:rFonts w:ascii="Arial-BoldMT" w:hAnsi="Arial-BoldMT" w:cs="Arial-BoldMT"/>
                <w:bCs/>
                <w:sz w:val="24"/>
                <w:szCs w:val="24"/>
                <w:lang w:val="en-US" w:eastAsia="zh-CN"/>
              </w:rPr>
              <w:t>BlockAck</w:t>
            </w:r>
            <w:proofErr w:type="spellEnd"/>
            <w:r w:rsidRPr="00F9318D">
              <w:rPr>
                <w:rFonts w:ascii="Arial-BoldMT" w:hAnsi="Arial-BoldMT" w:cs="Arial-BoldMT"/>
                <w:bCs/>
                <w:sz w:val="24"/>
                <w:szCs w:val="24"/>
                <w:lang w:val="en-US" w:eastAsia="zh-CN"/>
              </w:rPr>
              <w:t xml:space="preserve"> frames by an HT STA or DMG STA), 10.2</w:t>
            </w:r>
            <w:r w:rsidR="000D5A2B">
              <w:rPr>
                <w:rFonts w:ascii="Arial-BoldMT" w:hAnsi="Arial-BoldMT" w:cs="Arial-BoldMT"/>
                <w:bCs/>
                <w:sz w:val="24"/>
                <w:szCs w:val="24"/>
                <w:lang w:val="en-US" w:eastAsia="zh-CN"/>
              </w:rPr>
              <w:t>6</w:t>
            </w:r>
            <w:r w:rsidRPr="00F9318D">
              <w:rPr>
                <w:rFonts w:ascii="Arial-BoldMT" w:hAnsi="Arial-BoldMT" w:cs="Arial-BoldMT"/>
                <w:bCs/>
                <w:sz w:val="24"/>
                <w:szCs w:val="24"/>
                <w:lang w:val="en-US" w:eastAsia="zh-CN"/>
              </w:rPr>
              <w:t>.8.3 (Operation of HT-delayed block ack), 10.</w:t>
            </w:r>
            <w:r w:rsidR="000D5A2B">
              <w:rPr>
                <w:rFonts w:ascii="Arial-BoldMT" w:hAnsi="Arial-BoldMT" w:cs="Arial-BoldMT"/>
                <w:bCs/>
                <w:sz w:val="24"/>
                <w:szCs w:val="24"/>
                <w:lang w:val="en-US" w:eastAsia="zh-CN"/>
              </w:rPr>
              <w:t>30</w:t>
            </w:r>
            <w:r w:rsidRPr="00F9318D">
              <w:rPr>
                <w:rFonts w:ascii="Arial-BoldMT" w:hAnsi="Arial-BoldMT" w:cs="Arial-BoldMT"/>
                <w:bCs/>
                <w:sz w:val="24"/>
                <w:szCs w:val="24"/>
                <w:lang w:val="en-US" w:eastAsia="zh-CN"/>
              </w:rPr>
              <w:t>.3 (Rules for RD initiator), 10.</w:t>
            </w:r>
            <w:r w:rsidR="000D5A2B">
              <w:rPr>
                <w:rFonts w:ascii="Arial-BoldMT" w:hAnsi="Arial-BoldMT" w:cs="Arial-BoldMT"/>
                <w:bCs/>
                <w:sz w:val="24"/>
                <w:szCs w:val="24"/>
                <w:lang w:val="en-US" w:eastAsia="zh-CN"/>
              </w:rPr>
              <w:t>30</w:t>
            </w:r>
            <w:r w:rsidRPr="00F9318D">
              <w:rPr>
                <w:rFonts w:ascii="Arial-BoldMT" w:hAnsi="Arial-BoldMT" w:cs="Arial-BoldMT"/>
                <w:bCs/>
                <w:sz w:val="24"/>
                <w:szCs w:val="24"/>
                <w:lang w:val="en-US" w:eastAsia="zh-CN"/>
              </w:rPr>
              <w:t>.4 (Rules for RD responder), 10.3</w:t>
            </w:r>
            <w:r w:rsidR="000D5A2B">
              <w:rPr>
                <w:rFonts w:ascii="Arial-BoldMT" w:hAnsi="Arial-BoldMT" w:cs="Arial-BoldMT"/>
                <w:bCs/>
                <w:sz w:val="24"/>
                <w:szCs w:val="24"/>
                <w:lang w:val="en-US" w:eastAsia="zh-CN"/>
              </w:rPr>
              <w:t>4</w:t>
            </w:r>
            <w:r w:rsidRPr="00F9318D">
              <w:rPr>
                <w:rFonts w:ascii="Arial-BoldMT" w:hAnsi="Arial-BoldMT" w:cs="Arial-BoldMT"/>
                <w:bCs/>
                <w:sz w:val="24"/>
                <w:szCs w:val="24"/>
                <w:lang w:val="en-US" w:eastAsia="zh-CN"/>
              </w:rPr>
              <w:t>.3 (Explicit feedback beamforming).</w:t>
            </w:r>
          </w:p>
          <w:p w14:paraId="197F1313" w14:textId="3C66981B" w:rsidR="00D3158A" w:rsidRPr="00F9318D" w:rsidRDefault="00043953" w:rsidP="005C4B33">
            <w:pPr>
              <w:widowControl w:val="0"/>
              <w:autoSpaceDE w:val="0"/>
              <w:autoSpaceDN w:val="0"/>
              <w:adjustRightInd w:val="0"/>
              <w:jc w:val="both"/>
              <w:rPr>
                <w:rFonts w:ascii="Arial-BoldMT" w:hAnsi="Arial-BoldMT" w:cs="Arial-BoldMT" w:hint="eastAsia"/>
                <w:bCs/>
                <w:sz w:val="24"/>
                <w:szCs w:val="24"/>
                <w:u w:val="single"/>
                <w:lang w:val="en-US" w:eastAsia="zh-CN"/>
              </w:rPr>
            </w:pPr>
            <w:r w:rsidRPr="00F9318D">
              <w:rPr>
                <w:rFonts w:ascii="Arial-BoldMT" w:hAnsi="Arial-BoldMT" w:cs="Arial-BoldMT"/>
                <w:bCs/>
                <w:color w:val="FF0000"/>
                <w:sz w:val="24"/>
                <w:szCs w:val="24"/>
                <w:u w:val="single"/>
                <w:lang w:val="en-US" w:eastAsia="zh-CN"/>
              </w:rPr>
              <w:t>The addressed recipient that is a</w:t>
            </w:r>
            <w:r w:rsidR="00D3158A" w:rsidRPr="00F9318D">
              <w:rPr>
                <w:rFonts w:ascii="Arial-BoldMT" w:hAnsi="Arial-BoldMT" w:cs="Arial-BoldMT"/>
                <w:bCs/>
                <w:color w:val="FF0000"/>
                <w:sz w:val="24"/>
                <w:szCs w:val="24"/>
                <w:u w:val="single"/>
                <w:lang w:val="en-US" w:eastAsia="zh-CN"/>
              </w:rPr>
              <w:t xml:space="preserve"> </w:t>
            </w:r>
            <w:r w:rsidR="007D7E2B" w:rsidRPr="00F9318D">
              <w:rPr>
                <w:rFonts w:ascii="Arial-BoldMT" w:hAnsi="Arial-BoldMT" w:cs="Arial-BoldMT"/>
                <w:bCs/>
                <w:color w:val="FF0000"/>
                <w:sz w:val="24"/>
                <w:szCs w:val="24"/>
                <w:u w:val="single"/>
                <w:lang w:val="en-US" w:eastAsia="zh-CN"/>
              </w:rPr>
              <w:t>DMG STA operating in an SP with TDD channel access</w:t>
            </w:r>
            <w:r w:rsidR="00AE0003">
              <w:rPr>
                <w:rFonts w:ascii="Arial-BoldMT" w:hAnsi="Arial-BoldMT" w:cs="Arial-BoldMT"/>
                <w:bCs/>
                <w:color w:val="FF0000"/>
                <w:sz w:val="24"/>
                <w:szCs w:val="24"/>
                <w:u w:val="single"/>
                <w:lang w:val="en-US" w:eastAsia="zh-CN"/>
              </w:rPr>
              <w:t xml:space="preserve"> (see 10.36.6.2.2 (SP with TDD Channel Access))</w:t>
            </w:r>
            <w:r w:rsidR="00602BD1" w:rsidRPr="00F9318D">
              <w:rPr>
                <w:rFonts w:ascii="Arial-BoldMT" w:hAnsi="Arial-BoldMT" w:cs="Arial-BoldMT"/>
                <w:bCs/>
                <w:color w:val="FF0000"/>
                <w:sz w:val="24"/>
                <w:szCs w:val="24"/>
                <w:u w:val="single"/>
                <w:lang w:val="en-US" w:eastAsia="zh-CN"/>
              </w:rPr>
              <w:t>,</w:t>
            </w:r>
            <w:r w:rsidR="00D3158A" w:rsidRPr="00F9318D">
              <w:rPr>
                <w:rFonts w:ascii="Arial-BoldMT" w:hAnsi="Arial-BoldMT" w:cs="Arial-BoldMT"/>
                <w:bCs/>
                <w:color w:val="FF0000"/>
                <w:sz w:val="24"/>
                <w:szCs w:val="24"/>
                <w:u w:val="single"/>
                <w:lang w:val="en-US" w:eastAsia="zh-CN"/>
              </w:rPr>
              <w:t xml:space="preserve"> returns a </w:t>
            </w:r>
            <w:proofErr w:type="spellStart"/>
            <w:r w:rsidR="00D3158A" w:rsidRPr="00F9318D">
              <w:rPr>
                <w:rFonts w:ascii="Arial-BoldMT" w:hAnsi="Arial-BoldMT" w:cs="Arial-BoldMT"/>
                <w:bCs/>
                <w:color w:val="FF0000"/>
                <w:sz w:val="24"/>
                <w:szCs w:val="24"/>
                <w:u w:val="single"/>
                <w:lang w:val="en-US" w:eastAsia="zh-CN"/>
              </w:rPr>
              <w:t>BlockAck</w:t>
            </w:r>
            <w:proofErr w:type="spellEnd"/>
            <w:r w:rsidR="00D3158A" w:rsidRPr="00F9318D">
              <w:rPr>
                <w:rFonts w:ascii="Arial-BoldMT" w:hAnsi="Arial-BoldMT" w:cs="Arial-BoldMT"/>
                <w:bCs/>
                <w:color w:val="FF0000"/>
                <w:sz w:val="24"/>
                <w:szCs w:val="24"/>
                <w:u w:val="single"/>
                <w:lang w:val="en-US" w:eastAsia="zh-CN"/>
              </w:rPr>
              <w:t xml:space="preserve"> frame, either individually or as part of an A-MPDU according to the procedures defined in </w:t>
            </w:r>
            <w:r w:rsidR="0095426C" w:rsidRPr="00F9318D">
              <w:rPr>
                <w:rFonts w:ascii="Arial-BoldMT" w:hAnsi="Arial-BoldMT" w:cs="Arial-BoldMT"/>
                <w:bCs/>
                <w:color w:val="FF0000"/>
                <w:sz w:val="24"/>
                <w:szCs w:val="24"/>
                <w:u w:val="single"/>
                <w:lang w:val="en-US" w:eastAsia="zh-CN"/>
              </w:rPr>
              <w:t>10.2</w:t>
            </w:r>
            <w:r w:rsidR="00007083">
              <w:rPr>
                <w:rFonts w:ascii="Arial-BoldMT" w:hAnsi="Arial-BoldMT" w:cs="Arial-BoldMT"/>
                <w:bCs/>
                <w:color w:val="FF0000"/>
                <w:sz w:val="24"/>
                <w:szCs w:val="24"/>
                <w:u w:val="single"/>
                <w:lang w:val="en-US" w:eastAsia="zh-CN"/>
              </w:rPr>
              <w:t>4</w:t>
            </w:r>
            <w:r w:rsidR="0095426C" w:rsidRPr="00F9318D">
              <w:rPr>
                <w:rFonts w:ascii="Arial-BoldMT" w:hAnsi="Arial-BoldMT" w:cs="Arial-BoldMT"/>
                <w:bCs/>
                <w:color w:val="FF0000"/>
                <w:sz w:val="24"/>
                <w:szCs w:val="24"/>
                <w:u w:val="single"/>
                <w:lang w:val="en-US" w:eastAsia="zh-CN"/>
              </w:rPr>
              <w:t>.7.5</w:t>
            </w:r>
            <w:r w:rsidR="00D3158A" w:rsidRPr="00F9318D">
              <w:rPr>
                <w:rFonts w:ascii="Arial-BoldMT" w:hAnsi="Arial-BoldMT" w:cs="Arial-BoldMT"/>
                <w:bCs/>
                <w:color w:val="FF0000"/>
                <w:sz w:val="24"/>
                <w:szCs w:val="24"/>
                <w:u w:val="single"/>
                <w:lang w:val="en-US" w:eastAsia="zh-CN"/>
              </w:rPr>
              <w:t xml:space="preserve"> (</w:t>
            </w:r>
            <w:r w:rsidR="0095426C" w:rsidRPr="00F9318D">
              <w:rPr>
                <w:rFonts w:ascii="Arial-BoldMT" w:hAnsi="Arial-BoldMT" w:cs="Arial-BoldMT"/>
                <w:bCs/>
                <w:color w:val="FF0000"/>
                <w:sz w:val="24"/>
                <w:szCs w:val="24"/>
                <w:u w:val="single"/>
                <w:lang w:val="en-US" w:eastAsia="zh-CN"/>
              </w:rPr>
              <w:t xml:space="preserve">Generation and transmission of </w:t>
            </w:r>
            <w:proofErr w:type="spellStart"/>
            <w:r w:rsidR="0095426C" w:rsidRPr="00F9318D">
              <w:rPr>
                <w:rFonts w:ascii="Arial-BoldMT" w:hAnsi="Arial-BoldMT" w:cs="Arial-BoldMT"/>
                <w:bCs/>
                <w:color w:val="FF0000"/>
                <w:sz w:val="24"/>
                <w:szCs w:val="24"/>
                <w:u w:val="single"/>
                <w:lang w:val="en-US" w:eastAsia="zh-CN"/>
              </w:rPr>
              <w:t>BlockAck</w:t>
            </w:r>
            <w:proofErr w:type="spellEnd"/>
            <w:r w:rsidR="0095426C" w:rsidRPr="00F9318D">
              <w:rPr>
                <w:rFonts w:ascii="Arial-BoldMT" w:hAnsi="Arial-BoldMT" w:cs="Arial-BoldMT"/>
                <w:bCs/>
                <w:color w:val="FF0000"/>
                <w:sz w:val="24"/>
                <w:szCs w:val="24"/>
                <w:u w:val="single"/>
                <w:lang w:val="en-US" w:eastAsia="zh-CN"/>
              </w:rPr>
              <w:t xml:space="preserve"> frames by an HT STA or DMG STA</w:t>
            </w:r>
            <w:r w:rsidR="00D3158A" w:rsidRPr="00F9318D">
              <w:rPr>
                <w:rFonts w:ascii="Arial-BoldMT" w:hAnsi="Arial-BoldMT" w:cs="Arial-BoldMT"/>
                <w:bCs/>
                <w:color w:val="FF0000"/>
                <w:sz w:val="24"/>
                <w:szCs w:val="24"/>
                <w:u w:val="single"/>
                <w:lang w:val="en-US" w:eastAsia="zh-CN"/>
              </w:rPr>
              <w:t>).</w:t>
            </w:r>
          </w:p>
        </w:tc>
      </w:tr>
      <w:tr w:rsidR="00F92C0A" w:rsidRPr="00F9318D" w14:paraId="57780585" w14:textId="77777777" w:rsidTr="00067B51">
        <w:tc>
          <w:tcPr>
            <w:tcW w:w="805" w:type="dxa"/>
          </w:tcPr>
          <w:p w14:paraId="2A97B8FB" w14:textId="037E0969" w:rsidR="00F92C0A" w:rsidRPr="00F9318D" w:rsidRDefault="00F92C0A"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w:t>
            </w:r>
          </w:p>
        </w:tc>
        <w:tc>
          <w:tcPr>
            <w:tcW w:w="945" w:type="dxa"/>
          </w:tcPr>
          <w:p w14:paraId="19A0303B" w14:textId="0A9B3E2C" w:rsidR="00F92C0A" w:rsidRPr="00F9318D" w:rsidRDefault="00F92C0A"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w:t>
            </w:r>
          </w:p>
        </w:tc>
        <w:tc>
          <w:tcPr>
            <w:tcW w:w="7600" w:type="dxa"/>
          </w:tcPr>
          <w:p w14:paraId="31670001" w14:textId="39D178F2" w:rsidR="00F92C0A" w:rsidRPr="00F9318D" w:rsidRDefault="00F92C0A"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w:t>
            </w:r>
          </w:p>
        </w:tc>
      </w:tr>
    </w:tbl>
    <w:p w14:paraId="3F3CD2BD" w14:textId="77777777"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p>
    <w:p w14:paraId="797B056B" w14:textId="06D66D79" w:rsidR="002E0633" w:rsidRPr="00F9318D" w:rsidRDefault="000D5A2B" w:rsidP="00034747">
      <w:pPr>
        <w:widowControl w:val="0"/>
        <w:autoSpaceDE w:val="0"/>
        <w:autoSpaceDN w:val="0"/>
        <w:adjustRightInd w:val="0"/>
        <w:rPr>
          <w:rFonts w:ascii="Arial-BoldMT" w:hAnsi="Arial-BoldMT" w:cs="Arial-BoldMT" w:hint="eastAsia"/>
          <w:b/>
          <w:bCs/>
          <w:sz w:val="24"/>
          <w:szCs w:val="24"/>
          <w:lang w:val="en-US" w:eastAsia="zh-CN"/>
        </w:rPr>
      </w:pPr>
      <w:r>
        <w:rPr>
          <w:rFonts w:ascii="Arial-BoldMT" w:hAnsi="Arial-BoldMT" w:cs="Arial-BoldMT"/>
          <w:b/>
          <w:bCs/>
          <w:sz w:val="24"/>
          <w:szCs w:val="24"/>
          <w:lang w:val="en-US" w:eastAsia="zh-CN"/>
        </w:rPr>
        <w:t>10.3.2.</w:t>
      </w:r>
      <w:r w:rsidR="00EC0E70">
        <w:rPr>
          <w:rFonts w:ascii="Arial-BoldMT" w:hAnsi="Arial-BoldMT" w:cs="Arial-BoldMT"/>
          <w:b/>
          <w:bCs/>
          <w:sz w:val="24"/>
          <w:szCs w:val="24"/>
          <w:lang w:val="en-US" w:eastAsia="zh-CN"/>
        </w:rPr>
        <w:t>9</w:t>
      </w:r>
      <w:r w:rsidR="000C0CB3" w:rsidRPr="00F9318D">
        <w:rPr>
          <w:rFonts w:ascii="Arial-BoldMT" w:hAnsi="Arial-BoldMT" w:cs="Arial-BoldMT"/>
          <w:b/>
          <w:bCs/>
          <w:sz w:val="24"/>
          <w:szCs w:val="24"/>
          <w:lang w:val="en-US" w:eastAsia="zh-CN"/>
        </w:rPr>
        <w:t xml:space="preserve"> Acknowledgement procedure</w:t>
      </w:r>
    </w:p>
    <w:p w14:paraId="1C3D0AFD" w14:textId="6B4DEBE1" w:rsidR="000C0CB3" w:rsidRPr="00F9318D" w:rsidRDefault="000C0CB3" w:rsidP="00034747">
      <w:pPr>
        <w:widowControl w:val="0"/>
        <w:autoSpaceDE w:val="0"/>
        <w:autoSpaceDN w:val="0"/>
        <w:adjustRightInd w:val="0"/>
        <w:rPr>
          <w:rFonts w:ascii="Arial-BoldMT" w:hAnsi="Arial-BoldMT" w:cs="Arial-BoldMT" w:hint="eastAsia"/>
          <w:b/>
          <w:bCs/>
          <w:sz w:val="24"/>
          <w:szCs w:val="24"/>
          <w:lang w:val="en-US" w:eastAsia="zh-CN"/>
        </w:rPr>
      </w:pPr>
      <w:r w:rsidRPr="00F9318D">
        <w:rPr>
          <w:rFonts w:ascii="Arial-BoldMT" w:hAnsi="Arial-BoldMT" w:cs="Arial-BoldMT"/>
          <w:b/>
          <w:bCs/>
          <w:i/>
          <w:sz w:val="24"/>
          <w:szCs w:val="24"/>
          <w:highlight w:val="yellow"/>
          <w:lang w:val="en-US" w:eastAsia="zh-CN"/>
        </w:rPr>
        <w:t>Add the following text</w:t>
      </w:r>
    </w:p>
    <w:p w14:paraId="28A01CDB" w14:textId="74D371D7" w:rsidR="002E0633" w:rsidRPr="00F9318D" w:rsidRDefault="002E0633" w:rsidP="00034747">
      <w:pPr>
        <w:widowControl w:val="0"/>
        <w:autoSpaceDE w:val="0"/>
        <w:autoSpaceDN w:val="0"/>
        <w:adjustRightInd w:val="0"/>
        <w:rPr>
          <w:rFonts w:ascii="Arial-BoldMT" w:hAnsi="Arial-BoldMT" w:cs="Arial-BoldMT" w:hint="eastAsia"/>
          <w:b/>
          <w:bCs/>
          <w:sz w:val="24"/>
          <w:szCs w:val="24"/>
          <w:lang w:val="en-US" w:eastAsia="zh-CN"/>
        </w:rPr>
      </w:pPr>
    </w:p>
    <w:p w14:paraId="6EC330A0" w14:textId="3D8DEFD4" w:rsidR="000C0CB3" w:rsidRPr="00F9318D" w:rsidRDefault="00516053" w:rsidP="003873CF">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Otherwise, upon reception of a frame that requires acknowledgement and, for an AP, with the To DS subfield equal to 1, a STA shall transmit an Ack or </w:t>
      </w:r>
      <w:proofErr w:type="spellStart"/>
      <w:r w:rsidRPr="00F9318D">
        <w:rPr>
          <w:rFonts w:ascii="Arial-BoldMT" w:hAnsi="Arial-BoldMT" w:cs="Arial-BoldMT"/>
          <w:bCs/>
          <w:sz w:val="24"/>
          <w:szCs w:val="24"/>
          <w:lang w:val="en-US" w:eastAsia="zh-CN"/>
        </w:rPr>
        <w:t>BlockAck</w:t>
      </w:r>
      <w:proofErr w:type="spellEnd"/>
      <w:r w:rsidRPr="00F9318D">
        <w:rPr>
          <w:rFonts w:ascii="Arial-BoldMT" w:hAnsi="Arial-BoldMT" w:cs="Arial-BoldMT"/>
          <w:bCs/>
          <w:sz w:val="24"/>
          <w:szCs w:val="24"/>
          <w:lang w:val="en-US" w:eastAsia="zh-CN"/>
        </w:rPr>
        <w:t xml:space="preserve"> frame after a SIFS, without regard to the busy/idle state of the medium. (See Figure 10-10 (Individually addressed data/Ack/BA frame).)</w:t>
      </w:r>
    </w:p>
    <w:p w14:paraId="1397968D" w14:textId="77777777" w:rsidR="00D45C44" w:rsidRDefault="00D45C44" w:rsidP="00D45C44">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49D6E6DE" w14:textId="749D82C9" w:rsidR="00D45C44" w:rsidRPr="00F9318D" w:rsidRDefault="00D45C44" w:rsidP="00D45C44">
      <w:pPr>
        <w:widowControl w:val="0"/>
        <w:autoSpaceDE w:val="0"/>
        <w:autoSpaceDN w:val="0"/>
        <w:adjustRightInd w:val="0"/>
        <w:jc w:val="both"/>
        <w:rPr>
          <w:rFonts w:ascii="Arial-BoldMT" w:hAnsi="Arial-BoldMT" w:cs="Arial-BoldMT" w:hint="eastAsia"/>
          <w:bCs/>
          <w:strike/>
          <w:color w:val="FF0000"/>
          <w:sz w:val="24"/>
          <w:szCs w:val="24"/>
          <w:u w:val="single"/>
          <w:lang w:val="en-US" w:eastAsia="zh-CN"/>
        </w:rPr>
      </w:pPr>
      <w:r>
        <w:rPr>
          <w:rFonts w:ascii="Arial-BoldMT" w:hAnsi="Arial-BoldMT" w:cs="Arial-BoldMT"/>
          <w:bCs/>
          <w:color w:val="FF0000"/>
          <w:sz w:val="24"/>
          <w:szCs w:val="24"/>
          <w:u w:val="single"/>
          <w:lang w:val="en-US" w:eastAsia="zh-CN"/>
        </w:rPr>
        <w:lastRenderedPageBreak/>
        <w:t>A</w:t>
      </w:r>
      <w:r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non-AP and non-PCP STA</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upon reception of a</w:t>
      </w:r>
      <w:r w:rsidR="00CC5D5E">
        <w:rPr>
          <w:rFonts w:ascii="Arial-BoldMT" w:hAnsi="Arial-BoldMT" w:cs="Arial-BoldMT"/>
          <w:bCs/>
          <w:color w:val="FF0000"/>
          <w:sz w:val="24"/>
          <w:szCs w:val="24"/>
          <w:u w:val="single"/>
          <w:lang w:val="en-US" w:eastAsia="zh-CN"/>
        </w:rPr>
        <w:t xml:space="preserve"> frame </w:t>
      </w:r>
      <w:r w:rsidRPr="00F9318D">
        <w:rPr>
          <w:rFonts w:ascii="Arial-BoldMT" w:hAnsi="Arial-BoldMT" w:cs="Arial-BoldMT"/>
          <w:bCs/>
          <w:color w:val="FF0000"/>
          <w:sz w:val="24"/>
          <w:szCs w:val="24"/>
          <w:u w:val="single"/>
          <w:lang w:val="en-US" w:eastAsia="zh-CN"/>
        </w:rPr>
        <w:t xml:space="preserve">that requires acknowledgement shall transmit an Ack or </w:t>
      </w:r>
      <w:proofErr w:type="spellStart"/>
      <w:r w:rsidRPr="00F9318D">
        <w:rPr>
          <w:rFonts w:ascii="Arial-BoldMT" w:hAnsi="Arial-BoldMT" w:cs="Arial-BoldMT"/>
          <w:bCs/>
          <w:color w:val="FF0000"/>
          <w:sz w:val="24"/>
          <w:szCs w:val="24"/>
          <w:u w:val="single"/>
          <w:lang w:val="en-US" w:eastAsia="zh-CN"/>
        </w:rPr>
        <w:t>BlockAck</w:t>
      </w:r>
      <w:proofErr w:type="spellEnd"/>
      <w:r w:rsidRPr="00F9318D">
        <w:rPr>
          <w:rFonts w:ascii="Arial-BoldMT" w:hAnsi="Arial-BoldMT" w:cs="Arial-BoldMT"/>
          <w:bCs/>
          <w:color w:val="FF0000"/>
          <w:sz w:val="24"/>
          <w:szCs w:val="24"/>
          <w:u w:val="single"/>
          <w:lang w:val="en-US" w:eastAsia="zh-CN"/>
        </w:rPr>
        <w:t xml:space="preserve"> frame at the start of the earliest occurring </w:t>
      </w:r>
      <w:r>
        <w:rPr>
          <w:rFonts w:ascii="Arial-BoldMT" w:hAnsi="Arial-BoldMT" w:cs="Arial-BoldMT"/>
          <w:bCs/>
          <w:color w:val="FF0000"/>
          <w:sz w:val="24"/>
          <w:szCs w:val="24"/>
          <w:u w:val="single"/>
          <w:lang w:val="en-US" w:eastAsia="zh-CN"/>
        </w:rPr>
        <w:t>TDD slot</w:t>
      </w:r>
      <w:r w:rsidRPr="00F9318D">
        <w:rPr>
          <w:rFonts w:ascii="Arial-BoldMT" w:hAnsi="Arial-BoldMT" w:cs="Arial-BoldMT"/>
          <w:bCs/>
          <w:color w:val="FF0000"/>
          <w:sz w:val="24"/>
          <w:szCs w:val="24"/>
          <w:u w:val="single"/>
          <w:lang w:val="en-US" w:eastAsia="zh-CN"/>
        </w:rPr>
        <w:t xml:space="preserve"> </w:t>
      </w:r>
      <w:r w:rsidR="00553A16">
        <w:rPr>
          <w:rFonts w:ascii="Arial-BoldMT" w:hAnsi="Arial-BoldMT" w:cs="Arial-BoldMT"/>
          <w:bCs/>
          <w:color w:val="FF0000"/>
          <w:sz w:val="24"/>
          <w:szCs w:val="24"/>
          <w:u w:val="single"/>
          <w:lang w:val="en-US" w:eastAsia="zh-CN"/>
        </w:rPr>
        <w:t xml:space="preserve">the non-AP and non-PCP STA is </w:t>
      </w:r>
      <w:r w:rsidRPr="00F9318D">
        <w:rPr>
          <w:rFonts w:ascii="Arial-BoldMT" w:hAnsi="Arial-BoldMT" w:cs="Arial-BoldMT"/>
          <w:bCs/>
          <w:color w:val="FF0000"/>
          <w:sz w:val="24"/>
          <w:szCs w:val="24"/>
          <w:u w:val="single"/>
          <w:lang w:val="en-US" w:eastAsia="zh-CN"/>
        </w:rPr>
        <w:t>assigned to</w:t>
      </w:r>
      <w:r>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 xml:space="preserve">with access permission of the TDD slot set to simplex RX TDD slot, and </w:t>
      </w:r>
      <w:r w:rsidRPr="00F9318D">
        <w:rPr>
          <w:rFonts w:ascii="Arial-BoldMT" w:hAnsi="Arial-BoldMT" w:cs="Arial-BoldMT"/>
          <w:bCs/>
          <w:color w:val="FF0000"/>
          <w:sz w:val="24"/>
          <w:szCs w:val="24"/>
          <w:u w:val="single"/>
          <w:lang w:val="en-US" w:eastAsia="zh-CN"/>
        </w:rPr>
        <w:t xml:space="preserve">with </w:t>
      </w:r>
      <w:r>
        <w:rPr>
          <w:rFonts w:ascii="Arial-BoldMT" w:hAnsi="Arial-BoldMT" w:cs="Arial-BoldMT"/>
          <w:bCs/>
          <w:color w:val="FF0000"/>
          <w:sz w:val="24"/>
          <w:szCs w:val="24"/>
          <w:u w:val="single"/>
          <w:lang w:val="en-US" w:eastAsia="zh-CN"/>
        </w:rPr>
        <w:t>slot category</w:t>
      </w:r>
      <w:r w:rsidRPr="00F9318D">
        <w:rPr>
          <w:rFonts w:ascii="Arial-BoldMT" w:hAnsi="Arial-BoldMT" w:cs="Arial-BoldMT"/>
          <w:bCs/>
          <w:color w:val="FF0000"/>
          <w:sz w:val="24"/>
          <w:szCs w:val="24"/>
          <w:u w:val="single"/>
          <w:lang w:val="en-US" w:eastAsia="zh-CN"/>
        </w:rPr>
        <w:t xml:space="preserve"> of the </w:t>
      </w:r>
      <w:r>
        <w:rPr>
          <w:rFonts w:ascii="Arial-BoldMT" w:hAnsi="Arial-BoldMT" w:cs="Arial-BoldMT"/>
          <w:bCs/>
          <w:color w:val="FF0000"/>
          <w:sz w:val="24"/>
          <w:szCs w:val="24"/>
          <w:u w:val="single"/>
          <w:lang w:val="en-US" w:eastAsia="zh-CN"/>
        </w:rPr>
        <w:t>TDD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 xml:space="preserve">Basic TDD </w:t>
      </w:r>
      <w:r w:rsidR="001036EA">
        <w:rPr>
          <w:rFonts w:ascii="Arial-BoldMT" w:hAnsi="Arial-BoldMT" w:cs="Arial-BoldMT"/>
          <w:bCs/>
          <w:color w:val="FF0000"/>
          <w:sz w:val="24"/>
          <w:szCs w:val="24"/>
          <w:u w:val="single"/>
          <w:lang w:val="en-US" w:eastAsia="zh-CN"/>
        </w:rPr>
        <w:t>s</w:t>
      </w:r>
      <w:r>
        <w:rPr>
          <w:rFonts w:ascii="Arial-BoldMT" w:hAnsi="Arial-BoldMT" w:cs="Arial-BoldMT"/>
          <w:bCs/>
          <w:color w:val="FF0000"/>
          <w:sz w:val="24"/>
          <w:szCs w:val="24"/>
          <w:u w:val="single"/>
          <w:lang w:val="en-US" w:eastAsia="zh-CN"/>
        </w:rPr>
        <w:t>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 xml:space="preserve">).  </w:t>
      </w:r>
    </w:p>
    <w:p w14:paraId="3D87C46F" w14:textId="54D6AA17" w:rsidR="001F5448" w:rsidRPr="00F9318D" w:rsidRDefault="001F5448" w:rsidP="003873CF">
      <w:pPr>
        <w:widowControl w:val="0"/>
        <w:autoSpaceDE w:val="0"/>
        <w:autoSpaceDN w:val="0"/>
        <w:adjustRightInd w:val="0"/>
        <w:jc w:val="both"/>
        <w:rPr>
          <w:rFonts w:ascii="Arial-BoldMT" w:hAnsi="Arial-BoldMT" w:cs="Arial-BoldMT" w:hint="eastAsia"/>
          <w:bCs/>
          <w:sz w:val="24"/>
          <w:szCs w:val="24"/>
          <w:lang w:val="en-US" w:eastAsia="zh-CN"/>
        </w:rPr>
      </w:pPr>
    </w:p>
    <w:p w14:paraId="09366E09" w14:textId="58642865" w:rsidR="00516053" w:rsidRPr="00F9318D" w:rsidRDefault="003A3E61" w:rsidP="003A3E61">
      <w:pPr>
        <w:widowControl w:val="0"/>
        <w:autoSpaceDE w:val="0"/>
        <w:autoSpaceDN w:val="0"/>
        <w:adjustRightInd w:val="0"/>
        <w:jc w:val="both"/>
        <w:rPr>
          <w:rFonts w:ascii="Arial-BoldMT" w:hAnsi="Arial-BoldMT" w:cs="Arial-BoldMT" w:hint="eastAsia"/>
          <w:bCs/>
          <w:strike/>
          <w:color w:val="FF0000"/>
          <w:sz w:val="24"/>
          <w:szCs w:val="24"/>
          <w:u w:val="single"/>
          <w:lang w:val="en-US" w:eastAsia="zh-CN"/>
        </w:rPr>
      </w:pPr>
      <w:r w:rsidRPr="00F9318D">
        <w:rPr>
          <w:rFonts w:ascii="Arial-BoldMT" w:hAnsi="Arial-BoldMT" w:cs="Arial-BoldMT"/>
          <w:bCs/>
          <w:color w:val="FF0000"/>
          <w:sz w:val="24"/>
          <w:szCs w:val="24"/>
          <w:u w:val="single"/>
          <w:lang w:val="en-US" w:eastAsia="zh-CN"/>
        </w:rPr>
        <w:t xml:space="preserve">A </w:t>
      </w:r>
      <w:r w:rsidR="00BC2C6A">
        <w:rPr>
          <w:rFonts w:ascii="Arial-BoldMT" w:hAnsi="Arial-BoldMT" w:cs="Arial-BoldMT"/>
          <w:bCs/>
          <w:color w:val="FF0000"/>
          <w:sz w:val="24"/>
          <w:szCs w:val="24"/>
          <w:u w:val="single"/>
          <w:lang w:val="en-US" w:eastAsia="zh-CN"/>
        </w:rPr>
        <w:t xml:space="preserve">DMG </w:t>
      </w:r>
      <w:r w:rsidR="009B2898">
        <w:rPr>
          <w:rFonts w:ascii="Arial-BoldMT" w:hAnsi="Arial-BoldMT" w:cs="Arial-BoldMT"/>
          <w:bCs/>
          <w:color w:val="FF0000"/>
          <w:sz w:val="24"/>
          <w:szCs w:val="24"/>
          <w:u w:val="single"/>
          <w:lang w:val="en-US" w:eastAsia="zh-CN"/>
        </w:rPr>
        <w:t>AP or DMG PCP</w:t>
      </w:r>
      <w:r w:rsidR="00D27578" w:rsidRPr="00F9318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operating </w:t>
      </w:r>
      <w:r w:rsidR="00602BD1" w:rsidRPr="00F9318D">
        <w:rPr>
          <w:rFonts w:ascii="Arial-BoldMT" w:hAnsi="Arial-BoldMT" w:cs="Arial-BoldMT"/>
          <w:bCs/>
          <w:color w:val="FF0000"/>
          <w:sz w:val="24"/>
          <w:szCs w:val="24"/>
          <w:u w:val="single"/>
          <w:lang w:val="en-US" w:eastAsia="zh-CN"/>
        </w:rPr>
        <w:t>in a</w:t>
      </w:r>
      <w:r w:rsidR="00C130B6" w:rsidRPr="00F9318D">
        <w:rPr>
          <w:rFonts w:ascii="Arial-BoldMT" w:hAnsi="Arial-BoldMT" w:cs="Arial-BoldMT"/>
          <w:bCs/>
          <w:color w:val="FF0000"/>
          <w:sz w:val="24"/>
          <w:szCs w:val="24"/>
          <w:u w:val="single"/>
          <w:lang w:val="en-US" w:eastAsia="zh-CN"/>
        </w:rPr>
        <w:t>n</w:t>
      </w:r>
      <w:r w:rsidRPr="00F9318D">
        <w:rPr>
          <w:rFonts w:ascii="Arial-BoldMT" w:hAnsi="Arial-BoldMT" w:cs="Arial-BoldMT"/>
          <w:bCs/>
          <w:color w:val="FF0000"/>
          <w:sz w:val="24"/>
          <w:szCs w:val="24"/>
          <w:u w:val="single"/>
          <w:lang w:val="en-US" w:eastAsia="zh-CN"/>
        </w:rPr>
        <w:t xml:space="preserve"> SP with TDD channel access</w:t>
      </w:r>
      <w:r w:rsidR="00AE0003">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upon</w:t>
      </w:r>
      <w:r w:rsidR="00516053" w:rsidRPr="00F9318D">
        <w:rPr>
          <w:rFonts w:ascii="Arial-BoldMT" w:hAnsi="Arial-BoldMT" w:cs="Arial-BoldMT"/>
          <w:bCs/>
          <w:color w:val="FF0000"/>
          <w:sz w:val="24"/>
          <w:szCs w:val="24"/>
          <w:u w:val="single"/>
          <w:lang w:val="en-US" w:eastAsia="zh-CN"/>
        </w:rPr>
        <w:t xml:space="preserve"> reception of a frame</w:t>
      </w:r>
      <w:r w:rsidR="0032699D">
        <w:rPr>
          <w:rFonts w:ascii="Arial-BoldMT" w:hAnsi="Arial-BoldMT" w:cs="Arial-BoldMT"/>
          <w:bCs/>
          <w:color w:val="FF0000"/>
          <w:sz w:val="24"/>
          <w:szCs w:val="24"/>
          <w:u w:val="single"/>
          <w:lang w:val="en-US" w:eastAsia="zh-CN"/>
        </w:rPr>
        <w:t xml:space="preserve"> </w:t>
      </w:r>
      <w:r w:rsidR="0032699D" w:rsidRPr="00553A16">
        <w:rPr>
          <w:rFonts w:ascii="Arial-BoldMT" w:hAnsi="Arial-BoldMT" w:cs="Arial-BoldMT"/>
          <w:bCs/>
          <w:color w:val="FF0000"/>
          <w:sz w:val="24"/>
          <w:szCs w:val="24"/>
          <w:u w:val="single"/>
          <w:lang w:val="en-US" w:eastAsia="zh-CN"/>
        </w:rPr>
        <w:t>from a non-AP and non-PCP STA</w:t>
      </w:r>
      <w:r w:rsidR="00516053" w:rsidRPr="00F9318D">
        <w:rPr>
          <w:rFonts w:ascii="Arial-BoldMT" w:hAnsi="Arial-BoldMT" w:cs="Arial-BoldMT"/>
          <w:bCs/>
          <w:color w:val="FF0000"/>
          <w:sz w:val="24"/>
          <w:szCs w:val="24"/>
          <w:u w:val="single"/>
          <w:lang w:val="en-US" w:eastAsia="zh-CN"/>
        </w:rPr>
        <w:t xml:space="preserve"> that requires acknowledgement and, for an </w:t>
      </w:r>
      <w:r w:rsidR="00076FAB" w:rsidRPr="00F9318D">
        <w:rPr>
          <w:rFonts w:ascii="Arial-BoldMT" w:hAnsi="Arial-BoldMT" w:cs="Arial-BoldMT"/>
          <w:bCs/>
          <w:color w:val="FF0000"/>
          <w:sz w:val="24"/>
          <w:szCs w:val="24"/>
          <w:u w:val="single"/>
          <w:lang w:val="en-US" w:eastAsia="zh-CN"/>
        </w:rPr>
        <w:t xml:space="preserve">DMG </w:t>
      </w:r>
      <w:r w:rsidR="00516053" w:rsidRPr="00F9318D">
        <w:rPr>
          <w:rFonts w:ascii="Arial-BoldMT" w:hAnsi="Arial-BoldMT" w:cs="Arial-BoldMT"/>
          <w:bCs/>
          <w:color w:val="FF0000"/>
          <w:sz w:val="24"/>
          <w:szCs w:val="24"/>
          <w:u w:val="single"/>
          <w:lang w:val="en-US" w:eastAsia="zh-CN"/>
        </w:rPr>
        <w:t xml:space="preserve">AP, with the To DS subfield equal to 1, shall transmit an Ack or </w:t>
      </w:r>
      <w:proofErr w:type="spellStart"/>
      <w:r w:rsidR="00516053" w:rsidRPr="00F9318D">
        <w:rPr>
          <w:rFonts w:ascii="Arial-BoldMT" w:hAnsi="Arial-BoldMT" w:cs="Arial-BoldMT"/>
          <w:bCs/>
          <w:color w:val="FF0000"/>
          <w:sz w:val="24"/>
          <w:szCs w:val="24"/>
          <w:u w:val="single"/>
          <w:lang w:val="en-US" w:eastAsia="zh-CN"/>
        </w:rPr>
        <w:t>BlockAck</w:t>
      </w:r>
      <w:proofErr w:type="spellEnd"/>
      <w:r w:rsidR="00516053" w:rsidRPr="00F9318D">
        <w:rPr>
          <w:rFonts w:ascii="Arial-BoldMT" w:hAnsi="Arial-BoldMT" w:cs="Arial-BoldMT"/>
          <w:bCs/>
          <w:color w:val="FF0000"/>
          <w:sz w:val="24"/>
          <w:szCs w:val="24"/>
          <w:u w:val="single"/>
          <w:lang w:val="en-US" w:eastAsia="zh-CN"/>
        </w:rPr>
        <w:t xml:space="preserve"> frame at the start of the earliest occurring </w:t>
      </w:r>
      <w:r w:rsidR="00AE0003">
        <w:rPr>
          <w:rFonts w:ascii="Arial-BoldMT" w:hAnsi="Arial-BoldMT" w:cs="Arial-BoldMT"/>
          <w:bCs/>
          <w:color w:val="FF0000"/>
          <w:sz w:val="24"/>
          <w:szCs w:val="24"/>
          <w:u w:val="single"/>
          <w:lang w:val="en-US" w:eastAsia="zh-CN"/>
        </w:rPr>
        <w:t>TDD slot</w:t>
      </w:r>
      <w:r w:rsidR="00516053" w:rsidRPr="00F9318D">
        <w:rPr>
          <w:rFonts w:ascii="Arial-BoldMT" w:hAnsi="Arial-BoldMT" w:cs="Arial-BoldMT"/>
          <w:bCs/>
          <w:color w:val="FF0000"/>
          <w:sz w:val="24"/>
          <w:szCs w:val="24"/>
          <w:u w:val="single"/>
          <w:lang w:val="en-US" w:eastAsia="zh-CN"/>
        </w:rPr>
        <w:t xml:space="preserve"> </w:t>
      </w:r>
      <w:r w:rsidR="00553A16" w:rsidRPr="00553A16">
        <w:rPr>
          <w:rFonts w:ascii="Arial-BoldMT" w:hAnsi="Arial-BoldMT" w:cs="Arial-BoldMT"/>
          <w:bCs/>
          <w:color w:val="FF0000"/>
          <w:sz w:val="24"/>
          <w:szCs w:val="24"/>
          <w:u w:val="single"/>
          <w:lang w:val="en-US" w:eastAsia="zh-CN"/>
        </w:rPr>
        <w:t xml:space="preserve">the </w:t>
      </w:r>
      <w:r w:rsidR="0032699D" w:rsidRPr="00553A16">
        <w:rPr>
          <w:rFonts w:ascii="Arial-BoldMT" w:hAnsi="Arial-BoldMT" w:cs="Arial-BoldMT"/>
          <w:bCs/>
          <w:color w:val="FF0000"/>
          <w:sz w:val="24"/>
          <w:szCs w:val="24"/>
          <w:u w:val="single"/>
          <w:lang w:val="en-US" w:eastAsia="zh-CN"/>
        </w:rPr>
        <w:t>non-AP and non-PCP STA</w:t>
      </w:r>
      <w:r w:rsidR="001036EA">
        <w:rPr>
          <w:rFonts w:ascii="Arial-BoldMT" w:hAnsi="Arial-BoldMT" w:cs="Arial-BoldMT"/>
          <w:bCs/>
          <w:color w:val="FF0000"/>
          <w:sz w:val="24"/>
          <w:szCs w:val="24"/>
          <w:u w:val="single"/>
          <w:lang w:val="en-US" w:eastAsia="zh-CN"/>
        </w:rPr>
        <w:t xml:space="preserve"> </w:t>
      </w:r>
      <w:r w:rsidR="00553A16">
        <w:rPr>
          <w:rFonts w:ascii="Arial-BoldMT" w:hAnsi="Arial-BoldMT" w:cs="Arial-BoldMT"/>
          <w:bCs/>
          <w:color w:val="FF0000"/>
          <w:sz w:val="24"/>
          <w:szCs w:val="24"/>
          <w:u w:val="single"/>
          <w:lang w:val="en-US" w:eastAsia="zh-CN"/>
        </w:rPr>
        <w:t xml:space="preserve">is assigned to, </w:t>
      </w:r>
      <w:r w:rsidR="001036EA">
        <w:rPr>
          <w:rFonts w:ascii="Arial-BoldMT" w:hAnsi="Arial-BoldMT" w:cs="Arial-BoldMT"/>
          <w:bCs/>
          <w:color w:val="FF0000"/>
          <w:sz w:val="24"/>
          <w:szCs w:val="24"/>
          <w:u w:val="single"/>
          <w:lang w:val="en-US" w:eastAsia="zh-CN"/>
        </w:rPr>
        <w:t>with access permission of the TDD slot set to simplex TX TDD slot, and</w:t>
      </w:r>
      <w:r w:rsidR="00516053" w:rsidRPr="00F9318D">
        <w:rPr>
          <w:rFonts w:ascii="Arial-BoldMT" w:hAnsi="Arial-BoldMT" w:cs="Arial-BoldMT"/>
          <w:bCs/>
          <w:color w:val="FF0000"/>
          <w:sz w:val="24"/>
          <w:szCs w:val="24"/>
          <w:u w:val="single"/>
          <w:lang w:val="en-US" w:eastAsia="zh-CN"/>
        </w:rPr>
        <w:t xml:space="preserve"> with </w:t>
      </w:r>
      <w:r w:rsidR="00AE0003">
        <w:rPr>
          <w:rFonts w:ascii="Arial-BoldMT" w:hAnsi="Arial-BoldMT" w:cs="Arial-BoldMT"/>
          <w:bCs/>
          <w:color w:val="FF0000"/>
          <w:sz w:val="24"/>
          <w:szCs w:val="24"/>
          <w:u w:val="single"/>
          <w:lang w:val="en-US" w:eastAsia="zh-CN"/>
        </w:rPr>
        <w:t>slot category</w:t>
      </w:r>
      <w:r w:rsidR="00C130B6" w:rsidRPr="00F9318D">
        <w:rPr>
          <w:rFonts w:ascii="Arial-BoldMT" w:hAnsi="Arial-BoldMT" w:cs="Arial-BoldMT"/>
          <w:bCs/>
          <w:color w:val="FF0000"/>
          <w:sz w:val="24"/>
          <w:szCs w:val="24"/>
          <w:u w:val="single"/>
          <w:lang w:val="en-US" w:eastAsia="zh-CN"/>
        </w:rPr>
        <w:t xml:space="preserve"> of the</w:t>
      </w:r>
      <w:r w:rsidR="00516053" w:rsidRPr="00F9318D">
        <w:rPr>
          <w:rFonts w:ascii="Arial-BoldMT" w:hAnsi="Arial-BoldMT" w:cs="Arial-BoldMT"/>
          <w:bCs/>
          <w:color w:val="FF0000"/>
          <w:sz w:val="24"/>
          <w:szCs w:val="24"/>
          <w:u w:val="single"/>
          <w:lang w:val="en-US" w:eastAsia="zh-CN"/>
        </w:rPr>
        <w:t xml:space="preserve"> </w:t>
      </w:r>
      <w:r w:rsidR="00AE0003">
        <w:rPr>
          <w:rFonts w:ascii="Arial-BoldMT" w:hAnsi="Arial-BoldMT" w:cs="Arial-BoldMT"/>
          <w:bCs/>
          <w:color w:val="FF0000"/>
          <w:sz w:val="24"/>
          <w:szCs w:val="24"/>
          <w:u w:val="single"/>
          <w:lang w:val="en-US" w:eastAsia="zh-CN"/>
        </w:rPr>
        <w:t>TDD slot</w:t>
      </w:r>
      <w:r w:rsidR="00C130B6" w:rsidRPr="00F9318D">
        <w:rPr>
          <w:rFonts w:ascii="Arial-BoldMT" w:hAnsi="Arial-BoldMT" w:cs="Arial-BoldMT"/>
          <w:bCs/>
          <w:color w:val="FF0000"/>
          <w:sz w:val="24"/>
          <w:szCs w:val="24"/>
          <w:u w:val="single"/>
          <w:lang w:val="en-US" w:eastAsia="zh-CN"/>
        </w:rPr>
        <w:t xml:space="preserve"> </w:t>
      </w:r>
      <w:r w:rsidR="005A1634" w:rsidRPr="00F9318D">
        <w:rPr>
          <w:rFonts w:ascii="Arial-BoldMT" w:hAnsi="Arial-BoldMT" w:cs="Arial-BoldMT"/>
          <w:bCs/>
          <w:color w:val="FF0000"/>
          <w:sz w:val="24"/>
          <w:szCs w:val="24"/>
          <w:u w:val="single"/>
          <w:lang w:val="en-US" w:eastAsia="zh-CN"/>
        </w:rPr>
        <w:t>set to</w:t>
      </w:r>
      <w:r w:rsidR="00C130B6" w:rsidRPr="00F9318D">
        <w:rPr>
          <w:rFonts w:ascii="Arial-BoldMT" w:hAnsi="Arial-BoldMT" w:cs="Arial-BoldMT"/>
          <w:bCs/>
          <w:color w:val="FF0000"/>
          <w:sz w:val="24"/>
          <w:szCs w:val="24"/>
          <w:u w:val="single"/>
          <w:lang w:val="en-US" w:eastAsia="zh-CN"/>
        </w:rPr>
        <w:t xml:space="preserve"> </w:t>
      </w:r>
      <w:r w:rsidR="00DB10A7">
        <w:rPr>
          <w:rFonts w:ascii="Arial-BoldMT" w:hAnsi="Arial-BoldMT" w:cs="Arial-BoldMT"/>
          <w:bCs/>
          <w:color w:val="FF0000"/>
          <w:sz w:val="24"/>
          <w:szCs w:val="24"/>
          <w:u w:val="single"/>
          <w:lang w:val="en-US" w:eastAsia="zh-CN"/>
        </w:rPr>
        <w:t xml:space="preserve">Basic TDD </w:t>
      </w:r>
      <w:r w:rsidR="001036EA">
        <w:rPr>
          <w:rFonts w:ascii="Arial-BoldMT" w:hAnsi="Arial-BoldMT" w:cs="Arial-BoldMT"/>
          <w:bCs/>
          <w:color w:val="FF0000"/>
          <w:sz w:val="24"/>
          <w:szCs w:val="24"/>
          <w:u w:val="single"/>
          <w:lang w:val="en-US" w:eastAsia="zh-CN"/>
        </w:rPr>
        <w:t>s</w:t>
      </w:r>
      <w:r w:rsidR="00DB10A7">
        <w:rPr>
          <w:rFonts w:ascii="Arial-BoldMT" w:hAnsi="Arial-BoldMT" w:cs="Arial-BoldMT"/>
          <w:bCs/>
          <w:color w:val="FF0000"/>
          <w:sz w:val="24"/>
          <w:szCs w:val="24"/>
          <w:u w:val="single"/>
          <w:lang w:val="en-US" w:eastAsia="zh-CN"/>
        </w:rPr>
        <w:t>lot</w:t>
      </w:r>
      <w:r w:rsidRPr="00F9318D">
        <w:rPr>
          <w:rFonts w:ascii="Arial-BoldMT" w:hAnsi="Arial-BoldMT" w:cs="Arial-BoldMT"/>
          <w:bCs/>
          <w:color w:val="FF0000"/>
          <w:sz w:val="24"/>
          <w:szCs w:val="24"/>
          <w:u w:val="single"/>
          <w:lang w:val="en-US" w:eastAsia="zh-CN"/>
        </w:rPr>
        <w:t>,</w:t>
      </w:r>
      <w:r w:rsidR="00C130B6" w:rsidRPr="00F9318D">
        <w:rPr>
          <w:rFonts w:ascii="Arial-BoldMT" w:hAnsi="Arial-BoldMT" w:cs="Arial-BoldMT"/>
          <w:bCs/>
          <w:color w:val="FF0000"/>
          <w:sz w:val="24"/>
          <w:szCs w:val="24"/>
          <w:u w:val="single"/>
          <w:lang w:val="en-US" w:eastAsia="zh-CN"/>
        </w:rPr>
        <w:t xml:space="preserve"> as indicated in the TDD </w:t>
      </w:r>
      <w:r w:rsidR="00DB10A7">
        <w:rPr>
          <w:rFonts w:ascii="Arial-BoldMT" w:hAnsi="Arial-BoldMT" w:cs="Arial-BoldMT"/>
          <w:bCs/>
          <w:color w:val="FF0000"/>
          <w:sz w:val="24"/>
          <w:szCs w:val="24"/>
          <w:u w:val="single"/>
          <w:lang w:val="en-US" w:eastAsia="zh-CN"/>
        </w:rPr>
        <w:t>Slot</w:t>
      </w:r>
      <w:r w:rsidR="00C130B6"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00C130B6" w:rsidRPr="00F9318D">
        <w:rPr>
          <w:rFonts w:ascii="Arial-BoldMT" w:hAnsi="Arial-BoldMT" w:cs="Arial-BoldMT"/>
          <w:bCs/>
          <w:color w:val="FF0000"/>
          <w:sz w:val="24"/>
          <w:szCs w:val="24"/>
          <w:u w:val="single"/>
          <w:lang w:val="en-US" w:eastAsia="zh-CN"/>
        </w:rPr>
        <w:t xml:space="preserve">). </w:t>
      </w:r>
      <w:r w:rsidR="001F5448" w:rsidRPr="00F9318D">
        <w:rPr>
          <w:rFonts w:ascii="Arial-BoldMT" w:hAnsi="Arial-BoldMT" w:cs="Arial-BoldMT"/>
          <w:bCs/>
          <w:color w:val="FF0000"/>
          <w:sz w:val="24"/>
          <w:szCs w:val="24"/>
          <w:u w:val="single"/>
          <w:lang w:val="en-US" w:eastAsia="zh-CN"/>
        </w:rPr>
        <w:t xml:space="preserve"> </w:t>
      </w:r>
    </w:p>
    <w:p w14:paraId="1D39897B" w14:textId="5C12FDCB" w:rsidR="001F5448" w:rsidRPr="00F9318D" w:rsidRDefault="001F5448" w:rsidP="003873CF">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41497C25" w14:textId="6F22FB60" w:rsidR="001F5448" w:rsidRPr="00F9318D" w:rsidRDefault="001F5448" w:rsidP="003873CF">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After transmitting an MPDU that requires an Ack or </w:t>
      </w:r>
      <w:proofErr w:type="spellStart"/>
      <w:r w:rsidRPr="00F9318D">
        <w:rPr>
          <w:rFonts w:ascii="Arial-BoldMT" w:hAnsi="Arial-BoldMT" w:cs="Arial-BoldMT"/>
          <w:bCs/>
          <w:sz w:val="24"/>
          <w:szCs w:val="24"/>
          <w:lang w:val="en-US" w:eastAsia="zh-CN"/>
        </w:rPr>
        <w:t>BlockAck</w:t>
      </w:r>
      <w:proofErr w:type="spellEnd"/>
      <w:r w:rsidRPr="00F9318D">
        <w:rPr>
          <w:rFonts w:ascii="Arial-BoldMT" w:hAnsi="Arial-BoldMT" w:cs="Arial-BoldMT"/>
          <w:bCs/>
          <w:sz w:val="24"/>
          <w:szCs w:val="24"/>
          <w:lang w:val="en-US" w:eastAsia="zh-CN"/>
        </w:rPr>
        <w:t xml:space="preserve"> frame as a response (see Annex G), the STA shall wait for an </w:t>
      </w:r>
      <w:proofErr w:type="spellStart"/>
      <w:r w:rsidRPr="00F9318D">
        <w:rPr>
          <w:rFonts w:ascii="Arial-BoldMT" w:hAnsi="Arial-BoldMT" w:cs="Arial-BoldMT"/>
          <w:bCs/>
          <w:sz w:val="24"/>
          <w:szCs w:val="24"/>
          <w:lang w:val="en-US" w:eastAsia="zh-CN"/>
        </w:rPr>
        <w:t>AckTimeout</w:t>
      </w:r>
      <w:proofErr w:type="spellEnd"/>
      <w:r w:rsidRPr="00F9318D">
        <w:rPr>
          <w:rFonts w:ascii="Arial-BoldMT" w:hAnsi="Arial-BoldMT" w:cs="Arial-BoldMT"/>
          <w:bCs/>
          <w:sz w:val="24"/>
          <w:szCs w:val="24"/>
          <w:lang w:val="en-US" w:eastAsia="zh-CN"/>
        </w:rPr>
        <w:t xml:space="preserve"> interval, with a value of </w:t>
      </w:r>
      <w:proofErr w:type="spellStart"/>
      <w:r w:rsidRPr="00F9318D">
        <w:rPr>
          <w:rFonts w:ascii="Arial-BoldMT" w:hAnsi="Arial-BoldMT" w:cs="Arial-BoldMT"/>
          <w:bCs/>
          <w:sz w:val="24"/>
          <w:szCs w:val="24"/>
          <w:lang w:val="en-US" w:eastAsia="zh-CN"/>
        </w:rPr>
        <w:t>aSIFSTime</w:t>
      </w:r>
      <w:proofErr w:type="spellEnd"/>
      <w:r w:rsidRPr="00F9318D">
        <w:rPr>
          <w:rFonts w:ascii="Arial-BoldMT" w:hAnsi="Arial-BoldMT" w:cs="Arial-BoldMT"/>
          <w:bCs/>
          <w:sz w:val="24"/>
          <w:szCs w:val="24"/>
          <w:lang w:val="en-US" w:eastAsia="zh-CN"/>
        </w:rPr>
        <w:t xml:space="preserve"> + </w:t>
      </w:r>
      <w:proofErr w:type="spellStart"/>
      <w:r w:rsidRPr="00F9318D">
        <w:rPr>
          <w:rFonts w:ascii="Arial-BoldMT" w:hAnsi="Arial-BoldMT" w:cs="Arial-BoldMT"/>
          <w:bCs/>
          <w:sz w:val="24"/>
          <w:szCs w:val="24"/>
          <w:lang w:val="en-US" w:eastAsia="zh-CN"/>
        </w:rPr>
        <w:t>aSlotTime</w:t>
      </w:r>
      <w:proofErr w:type="spellEnd"/>
      <w:r w:rsidRPr="00F9318D">
        <w:rPr>
          <w:rFonts w:ascii="Arial-BoldMT" w:hAnsi="Arial-BoldMT" w:cs="Arial-BoldMT"/>
          <w:bCs/>
          <w:sz w:val="24"/>
          <w:szCs w:val="24"/>
          <w:lang w:val="en-US" w:eastAsia="zh-CN"/>
        </w:rPr>
        <w:t xml:space="preserve"> + </w:t>
      </w:r>
      <w:proofErr w:type="spellStart"/>
      <w:r w:rsidRPr="00F9318D">
        <w:rPr>
          <w:rFonts w:ascii="Arial-BoldMT" w:hAnsi="Arial-BoldMT" w:cs="Arial-BoldMT"/>
          <w:bCs/>
          <w:sz w:val="24"/>
          <w:szCs w:val="24"/>
          <w:lang w:val="en-US" w:eastAsia="zh-CN"/>
        </w:rPr>
        <w:t>aRxPHYStartDelay</w:t>
      </w:r>
      <w:proofErr w:type="spellEnd"/>
      <w:r w:rsidRPr="00F9318D">
        <w:rPr>
          <w:rFonts w:ascii="Arial-BoldMT" w:hAnsi="Arial-BoldMT" w:cs="Arial-BoldMT"/>
          <w:bCs/>
          <w:sz w:val="24"/>
          <w:szCs w:val="24"/>
          <w:lang w:val="en-US" w:eastAsia="zh-CN"/>
        </w:rPr>
        <w:t>, starting at the PHY-</w:t>
      </w:r>
      <w:proofErr w:type="spellStart"/>
      <w:r w:rsidRPr="00F9318D">
        <w:rPr>
          <w:rFonts w:ascii="Arial-BoldMT" w:hAnsi="Arial-BoldMT" w:cs="Arial-BoldMT"/>
          <w:bCs/>
          <w:sz w:val="24"/>
          <w:szCs w:val="24"/>
          <w:lang w:val="en-US" w:eastAsia="zh-CN"/>
        </w:rPr>
        <w:t>TXEND.confirm</w:t>
      </w:r>
      <w:proofErr w:type="spellEnd"/>
      <w:r w:rsidRPr="00F9318D">
        <w:rPr>
          <w:rFonts w:ascii="Arial-BoldMT" w:hAnsi="Arial-BoldMT" w:cs="Arial-BoldMT"/>
          <w:bCs/>
          <w:sz w:val="24"/>
          <w:szCs w:val="24"/>
          <w:lang w:val="en-US" w:eastAsia="zh-CN"/>
        </w:rPr>
        <w:t xml:space="preserve"> primitive. If a PHY-</w:t>
      </w:r>
      <w:proofErr w:type="spellStart"/>
      <w:r w:rsidRPr="00F9318D">
        <w:rPr>
          <w:rFonts w:ascii="Arial-BoldMT" w:hAnsi="Arial-BoldMT" w:cs="Arial-BoldMT"/>
          <w:bCs/>
          <w:sz w:val="24"/>
          <w:szCs w:val="24"/>
          <w:lang w:val="en-US" w:eastAsia="zh-CN"/>
        </w:rPr>
        <w:t>RXSTART.indication</w:t>
      </w:r>
      <w:proofErr w:type="spellEnd"/>
      <w:r w:rsidRPr="00F9318D">
        <w:rPr>
          <w:rFonts w:ascii="Arial-BoldMT" w:hAnsi="Arial-BoldMT" w:cs="Arial-BoldMT"/>
          <w:bCs/>
          <w:sz w:val="24"/>
          <w:szCs w:val="24"/>
          <w:lang w:val="en-US" w:eastAsia="zh-CN"/>
        </w:rPr>
        <w:t xml:space="preserve"> primitive does not occur during the </w:t>
      </w:r>
      <w:proofErr w:type="spellStart"/>
      <w:r w:rsidRPr="00F9318D">
        <w:rPr>
          <w:rFonts w:ascii="Arial-BoldMT" w:hAnsi="Arial-BoldMT" w:cs="Arial-BoldMT"/>
          <w:bCs/>
          <w:sz w:val="24"/>
          <w:szCs w:val="24"/>
          <w:lang w:val="en-US" w:eastAsia="zh-CN"/>
        </w:rPr>
        <w:t>AckTimeout</w:t>
      </w:r>
      <w:proofErr w:type="spellEnd"/>
      <w:r w:rsidRPr="00F9318D">
        <w:rPr>
          <w:rFonts w:ascii="Arial-BoldMT" w:hAnsi="Arial-BoldMT" w:cs="Arial-BoldMT"/>
          <w:bCs/>
          <w:sz w:val="24"/>
          <w:szCs w:val="24"/>
          <w:lang w:val="en-US" w:eastAsia="zh-CN"/>
        </w:rPr>
        <w:t xml:space="preserve"> interval, the STA concludes that the transmission of the MPDU has failed, and this STA shall invoke its </w:t>
      </w:r>
      <w:proofErr w:type="spellStart"/>
      <w:r w:rsidRPr="00F9318D">
        <w:rPr>
          <w:rFonts w:ascii="Arial-BoldMT" w:hAnsi="Arial-BoldMT" w:cs="Arial-BoldMT"/>
          <w:bCs/>
          <w:sz w:val="24"/>
          <w:szCs w:val="24"/>
          <w:lang w:val="en-US" w:eastAsia="zh-CN"/>
        </w:rPr>
        <w:t>backoff</w:t>
      </w:r>
      <w:proofErr w:type="spellEnd"/>
      <w:r w:rsidRPr="00F9318D">
        <w:rPr>
          <w:rFonts w:ascii="Arial-BoldMT" w:hAnsi="Arial-BoldMT" w:cs="Arial-BoldMT"/>
          <w:bCs/>
          <w:sz w:val="24"/>
          <w:szCs w:val="24"/>
          <w:lang w:val="en-US" w:eastAsia="zh-CN"/>
        </w:rPr>
        <w:t xml:space="preserve"> procedure upon expiration of the Ack Timeout interval.</w:t>
      </w:r>
    </w:p>
    <w:p w14:paraId="49B4355E" w14:textId="01B8CCF3" w:rsidR="00EF5E97" w:rsidRDefault="00EF5E97" w:rsidP="003873CF">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0E4BEB45" w14:textId="50847DBB" w:rsidR="00EF5E97" w:rsidRPr="00F9318D" w:rsidRDefault="00EF5E97" w:rsidP="00EF5E97">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 xml:space="preserve">A </w:t>
      </w:r>
      <w:r>
        <w:rPr>
          <w:rFonts w:ascii="Arial-BoldMT" w:hAnsi="Arial-BoldMT" w:cs="Arial-BoldMT"/>
          <w:bCs/>
          <w:color w:val="FF0000"/>
          <w:sz w:val="24"/>
          <w:szCs w:val="24"/>
          <w:u w:val="single"/>
          <w:lang w:val="en-US" w:eastAsia="zh-CN"/>
        </w:rPr>
        <w:t>non-AP and non-PCP</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STA </w:t>
      </w:r>
      <w:r w:rsidRPr="00F9318D">
        <w:rPr>
          <w:rFonts w:ascii="Arial-BoldMT" w:hAnsi="Arial-BoldMT" w:cs="Arial-BoldMT"/>
          <w:bCs/>
          <w:color w:val="FF0000"/>
          <w:sz w:val="24"/>
          <w:szCs w:val="24"/>
          <w:u w:val="single"/>
          <w:lang w:val="en-US" w:eastAsia="zh-CN"/>
        </w:rPr>
        <w:t>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xml:space="preserve"> has </w:t>
      </w:r>
      <w:proofErr w:type="spellStart"/>
      <w:r w:rsidRPr="00F9318D">
        <w:rPr>
          <w:rFonts w:ascii="Arial-BoldMT" w:hAnsi="Arial-BoldMT" w:cs="Arial-BoldMT"/>
          <w:bCs/>
          <w:color w:val="FF0000"/>
          <w:sz w:val="24"/>
          <w:szCs w:val="24"/>
          <w:u w:val="single"/>
          <w:lang w:val="en-US" w:eastAsia="zh-CN"/>
        </w:rPr>
        <w:t>AckTimeout</w:t>
      </w:r>
      <w:proofErr w:type="spellEnd"/>
      <w:r w:rsidRPr="00F9318D">
        <w:rPr>
          <w:rFonts w:ascii="Arial-BoldMT" w:hAnsi="Arial-BoldMT" w:cs="Arial-BoldMT"/>
          <w:bCs/>
          <w:color w:val="FF0000"/>
          <w:sz w:val="24"/>
          <w:szCs w:val="24"/>
          <w:u w:val="single"/>
          <w:lang w:val="en-US" w:eastAsia="zh-CN"/>
        </w:rPr>
        <w:t xml:space="preserve"> interval value </w:t>
      </w:r>
      <w:r>
        <w:rPr>
          <w:rFonts w:ascii="Arial-BoldMT" w:hAnsi="Arial-BoldMT" w:cs="Arial-BoldMT"/>
          <w:bCs/>
          <w:color w:val="FF0000"/>
          <w:sz w:val="24"/>
          <w:szCs w:val="24"/>
          <w:u w:val="single"/>
          <w:lang w:val="en-US" w:eastAsia="zh-CN"/>
        </w:rPr>
        <w:t>equal to the</w:t>
      </w:r>
      <w:r w:rsidRPr="00F9318D">
        <w:rPr>
          <w:rFonts w:ascii="Arial-BoldMT" w:hAnsi="Arial-BoldMT" w:cs="Arial-BoldMT"/>
          <w:bCs/>
          <w:color w:val="FF0000"/>
          <w:sz w:val="24"/>
          <w:szCs w:val="24"/>
          <w:u w:val="single"/>
          <w:lang w:val="en-US" w:eastAsia="zh-CN"/>
        </w:rPr>
        <w:t xml:space="preserve"> duration </w:t>
      </w:r>
      <w:r w:rsidR="00435682">
        <w:rPr>
          <w:rFonts w:ascii="Arial-BoldMT" w:hAnsi="Arial-BoldMT" w:cs="Arial-BoldMT"/>
          <w:bCs/>
          <w:color w:val="FF0000"/>
          <w:sz w:val="24"/>
          <w:szCs w:val="24"/>
          <w:u w:val="single"/>
          <w:lang w:val="en-US" w:eastAsia="zh-CN"/>
        </w:rPr>
        <w:t>from</w:t>
      </w:r>
      <w:r w:rsidR="00F833CF">
        <w:rPr>
          <w:rFonts w:ascii="Arial-BoldMT" w:hAnsi="Arial-BoldMT" w:cs="Arial-BoldMT"/>
          <w:bCs/>
          <w:color w:val="FF0000"/>
          <w:sz w:val="24"/>
          <w:szCs w:val="24"/>
          <w:u w:val="single"/>
          <w:lang w:val="en-US" w:eastAsia="zh-CN"/>
        </w:rPr>
        <w:t xml:space="preserve"> the PHY-</w:t>
      </w:r>
      <w:proofErr w:type="spellStart"/>
      <w:r w:rsidR="00F833CF">
        <w:rPr>
          <w:rFonts w:ascii="Arial-BoldMT" w:hAnsi="Arial-BoldMT" w:cs="Arial-BoldMT"/>
          <w:bCs/>
          <w:color w:val="FF0000"/>
          <w:sz w:val="24"/>
          <w:szCs w:val="24"/>
          <w:u w:val="single"/>
          <w:lang w:val="en-US" w:eastAsia="zh-CN"/>
        </w:rPr>
        <w:t>TXEND.confirm</w:t>
      </w:r>
      <w:proofErr w:type="spellEnd"/>
      <w:r w:rsidR="00F833CF">
        <w:rPr>
          <w:rFonts w:ascii="Arial-BoldMT" w:hAnsi="Arial-BoldMT" w:cs="Arial-BoldMT"/>
          <w:bCs/>
          <w:color w:val="FF0000"/>
          <w:sz w:val="24"/>
          <w:szCs w:val="24"/>
          <w:u w:val="single"/>
          <w:lang w:val="en-US" w:eastAsia="zh-CN"/>
        </w:rPr>
        <w:t xml:space="preserve"> primitive</w:t>
      </w:r>
      <w:r w:rsidR="00A72DFA">
        <w:rPr>
          <w:rFonts w:ascii="Arial-BoldMT" w:hAnsi="Arial-BoldMT" w:cs="Arial-BoldMT"/>
          <w:bCs/>
          <w:color w:val="FF0000"/>
          <w:sz w:val="24"/>
          <w:szCs w:val="24"/>
          <w:u w:val="single"/>
          <w:lang w:val="en-US" w:eastAsia="zh-CN"/>
        </w:rPr>
        <w:t xml:space="preserve"> </w:t>
      </w:r>
      <w:r w:rsidR="00A72DFA" w:rsidRPr="00553A16">
        <w:rPr>
          <w:rFonts w:ascii="Arial-BoldMT" w:hAnsi="Arial-BoldMT" w:cs="Arial-BoldMT"/>
          <w:bCs/>
          <w:color w:val="FF0000"/>
          <w:sz w:val="24"/>
          <w:szCs w:val="24"/>
          <w:u w:val="single"/>
          <w:lang w:val="en-US" w:eastAsia="zh-CN"/>
        </w:rPr>
        <w:t xml:space="preserve">of the current </w:t>
      </w:r>
      <w:r w:rsidR="00662E71" w:rsidRPr="00553A16">
        <w:rPr>
          <w:rFonts w:ascii="Arial-BoldMT" w:hAnsi="Arial-BoldMT" w:cs="Arial-BoldMT"/>
          <w:bCs/>
          <w:color w:val="FF0000"/>
          <w:sz w:val="24"/>
          <w:szCs w:val="24"/>
          <w:u w:val="single"/>
          <w:lang w:val="en-US" w:eastAsia="zh-CN"/>
        </w:rPr>
        <w:t>frame</w:t>
      </w:r>
      <w:r>
        <w:rPr>
          <w:rFonts w:ascii="Arial-BoldMT" w:hAnsi="Arial-BoldMT" w:cs="Arial-BoldMT"/>
          <w:bCs/>
          <w:color w:val="FF0000"/>
          <w:sz w:val="24"/>
          <w:szCs w:val="24"/>
          <w:u w:val="single"/>
          <w:lang w:val="en-US" w:eastAsia="zh-CN"/>
        </w:rPr>
        <w:t xml:space="preserve"> to the end of the </w:t>
      </w:r>
      <w:r w:rsidRPr="00F9318D">
        <w:rPr>
          <w:rFonts w:ascii="Arial-BoldMT" w:hAnsi="Arial-BoldMT" w:cs="Arial-BoldMT"/>
          <w:bCs/>
          <w:color w:val="FF0000"/>
          <w:sz w:val="24"/>
          <w:szCs w:val="24"/>
          <w:u w:val="single"/>
          <w:lang w:val="en-US" w:eastAsia="zh-CN"/>
        </w:rPr>
        <w:t>earliest occurring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the addressed recipient of the MPDU</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 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TX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w:t>
      </w:r>
    </w:p>
    <w:p w14:paraId="51903446" w14:textId="77777777" w:rsidR="00A607EE" w:rsidRDefault="00A607EE" w:rsidP="00A607EE">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3EA85B26" w14:textId="0A7580F7" w:rsidR="00A607EE" w:rsidRPr="00F9318D" w:rsidRDefault="00A607EE" w:rsidP="00A607EE">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 xml:space="preserve">A </w:t>
      </w:r>
      <w:r>
        <w:rPr>
          <w:rFonts w:ascii="Arial-BoldMT" w:hAnsi="Arial-BoldMT" w:cs="Arial-BoldMT"/>
          <w:bCs/>
          <w:color w:val="FF0000"/>
          <w:sz w:val="24"/>
          <w:szCs w:val="24"/>
          <w:u w:val="single"/>
          <w:lang w:val="en-US" w:eastAsia="zh-CN"/>
        </w:rPr>
        <w:t>DMG AP or DMG PCP</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xml:space="preserve"> has </w:t>
      </w:r>
      <w:bookmarkStart w:id="1" w:name="_Hlk499738473"/>
      <w:proofErr w:type="spellStart"/>
      <w:r w:rsidRPr="00F9318D">
        <w:rPr>
          <w:rFonts w:ascii="Arial-BoldMT" w:hAnsi="Arial-BoldMT" w:cs="Arial-BoldMT"/>
          <w:bCs/>
          <w:color w:val="FF0000"/>
          <w:sz w:val="24"/>
          <w:szCs w:val="24"/>
          <w:u w:val="single"/>
          <w:lang w:val="en-US" w:eastAsia="zh-CN"/>
        </w:rPr>
        <w:t>AckTimeout</w:t>
      </w:r>
      <w:proofErr w:type="spellEnd"/>
      <w:r w:rsidRPr="00F9318D">
        <w:rPr>
          <w:rFonts w:ascii="Arial-BoldMT" w:hAnsi="Arial-BoldMT" w:cs="Arial-BoldMT"/>
          <w:bCs/>
          <w:color w:val="FF0000"/>
          <w:sz w:val="24"/>
          <w:szCs w:val="24"/>
          <w:u w:val="single"/>
          <w:lang w:val="en-US" w:eastAsia="zh-CN"/>
        </w:rPr>
        <w:t xml:space="preserve"> interval value </w:t>
      </w:r>
      <w:r>
        <w:rPr>
          <w:rFonts w:ascii="Arial-BoldMT" w:hAnsi="Arial-BoldMT" w:cs="Arial-BoldMT"/>
          <w:bCs/>
          <w:color w:val="FF0000"/>
          <w:sz w:val="24"/>
          <w:szCs w:val="24"/>
          <w:u w:val="single"/>
          <w:lang w:val="en-US" w:eastAsia="zh-CN"/>
        </w:rPr>
        <w:t>equal to the</w:t>
      </w:r>
      <w:r w:rsidRPr="00F9318D">
        <w:rPr>
          <w:rFonts w:ascii="Arial-BoldMT" w:hAnsi="Arial-BoldMT" w:cs="Arial-BoldMT"/>
          <w:bCs/>
          <w:color w:val="FF0000"/>
          <w:sz w:val="24"/>
          <w:szCs w:val="24"/>
          <w:u w:val="single"/>
          <w:lang w:val="en-US" w:eastAsia="zh-CN"/>
        </w:rPr>
        <w:t xml:space="preserve"> duration from </w:t>
      </w:r>
      <w:r w:rsidR="00435682">
        <w:rPr>
          <w:rFonts w:ascii="Arial-BoldMT" w:hAnsi="Arial-BoldMT" w:cs="Arial-BoldMT"/>
          <w:bCs/>
          <w:color w:val="FF0000"/>
          <w:sz w:val="24"/>
          <w:szCs w:val="24"/>
          <w:u w:val="single"/>
          <w:lang w:val="en-US" w:eastAsia="zh-CN"/>
        </w:rPr>
        <w:t>the PHY-</w:t>
      </w:r>
      <w:proofErr w:type="spellStart"/>
      <w:r w:rsidR="00435682">
        <w:rPr>
          <w:rFonts w:ascii="Arial-BoldMT" w:hAnsi="Arial-BoldMT" w:cs="Arial-BoldMT"/>
          <w:bCs/>
          <w:color w:val="FF0000"/>
          <w:sz w:val="24"/>
          <w:szCs w:val="24"/>
          <w:u w:val="single"/>
          <w:lang w:val="en-US" w:eastAsia="zh-CN"/>
        </w:rPr>
        <w:t>TXEND.confirm</w:t>
      </w:r>
      <w:proofErr w:type="spellEnd"/>
      <w:r w:rsidR="00435682">
        <w:rPr>
          <w:rFonts w:ascii="Arial-BoldMT" w:hAnsi="Arial-BoldMT" w:cs="Arial-BoldMT"/>
          <w:bCs/>
          <w:color w:val="FF0000"/>
          <w:sz w:val="24"/>
          <w:szCs w:val="24"/>
          <w:u w:val="single"/>
          <w:lang w:val="en-US" w:eastAsia="zh-CN"/>
        </w:rPr>
        <w:t xml:space="preserve"> </w:t>
      </w:r>
      <w:r w:rsidR="00435682" w:rsidRPr="00114487">
        <w:rPr>
          <w:rFonts w:ascii="Arial-BoldMT" w:hAnsi="Arial-BoldMT" w:cs="Arial-BoldMT"/>
          <w:bCs/>
          <w:color w:val="FF0000"/>
          <w:sz w:val="24"/>
          <w:szCs w:val="24"/>
          <w:u w:val="single"/>
          <w:lang w:val="en-US" w:eastAsia="zh-CN"/>
        </w:rPr>
        <w:t>primitive</w:t>
      </w:r>
      <w:r w:rsidR="00BC2C6A" w:rsidRPr="00114487">
        <w:rPr>
          <w:rFonts w:ascii="Arial-BoldMT" w:hAnsi="Arial-BoldMT" w:cs="Arial-BoldMT"/>
          <w:bCs/>
          <w:color w:val="FF0000"/>
          <w:sz w:val="24"/>
          <w:szCs w:val="24"/>
          <w:u w:val="single"/>
          <w:lang w:val="en-US" w:eastAsia="zh-CN"/>
        </w:rPr>
        <w:t xml:space="preserve"> of the current frame</w:t>
      </w:r>
      <w:r w:rsidR="00435682">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 xml:space="preserve">to the end of the </w:t>
      </w:r>
      <w:r w:rsidRPr="00F9318D">
        <w:rPr>
          <w:rFonts w:ascii="Arial-BoldMT" w:hAnsi="Arial-BoldMT" w:cs="Arial-BoldMT"/>
          <w:bCs/>
          <w:color w:val="FF0000"/>
          <w:sz w:val="24"/>
          <w:szCs w:val="24"/>
          <w:u w:val="single"/>
          <w:lang w:val="en-US" w:eastAsia="zh-CN"/>
        </w:rPr>
        <w:t>earliest occurring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the addressed recipient of the MPDU</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 </w:t>
      </w:r>
      <w:bookmarkEnd w:id="1"/>
      <w:r w:rsidRPr="00F9318D">
        <w:rPr>
          <w:rFonts w:ascii="Arial-BoldMT" w:hAnsi="Arial-BoldMT" w:cs="Arial-BoldMT"/>
          <w:bCs/>
          <w:color w:val="FF0000"/>
          <w:sz w:val="24"/>
          <w:szCs w:val="24"/>
          <w:u w:val="single"/>
          <w:lang w:val="en-US" w:eastAsia="zh-CN"/>
        </w:rPr>
        <w:t>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RX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w:t>
      </w:r>
    </w:p>
    <w:p w14:paraId="299B4871" w14:textId="77777777" w:rsidR="00EF5E97" w:rsidRDefault="00EF5E97" w:rsidP="003873CF">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192632D7" w14:textId="7BD5CE2F" w:rsidR="00D73CF2" w:rsidRPr="00F9318D" w:rsidRDefault="000D5A2B" w:rsidP="002E0633">
      <w:pPr>
        <w:widowControl w:val="0"/>
        <w:autoSpaceDE w:val="0"/>
        <w:autoSpaceDN w:val="0"/>
        <w:adjustRightInd w:val="0"/>
        <w:rPr>
          <w:rFonts w:ascii="Arial-BoldMT" w:hAnsi="Arial-BoldMT" w:cs="Arial-BoldMT" w:hint="eastAsia"/>
          <w:b/>
          <w:bCs/>
          <w:color w:val="000000" w:themeColor="text1"/>
          <w:sz w:val="24"/>
          <w:szCs w:val="24"/>
          <w:lang w:val="en-US" w:eastAsia="zh-CN"/>
        </w:rPr>
      </w:pPr>
      <w:r>
        <w:rPr>
          <w:rFonts w:ascii="Arial-BoldMT" w:hAnsi="Arial-BoldMT" w:cs="Arial-BoldMT"/>
          <w:b/>
          <w:bCs/>
          <w:color w:val="000000" w:themeColor="text1"/>
          <w:sz w:val="24"/>
          <w:szCs w:val="24"/>
          <w:lang w:val="en-US" w:eastAsia="zh-CN"/>
        </w:rPr>
        <w:t>10.2</w:t>
      </w:r>
      <w:r w:rsidR="00EC0E70">
        <w:rPr>
          <w:rFonts w:ascii="Arial-BoldMT" w:hAnsi="Arial-BoldMT" w:cs="Arial-BoldMT"/>
          <w:b/>
          <w:bCs/>
          <w:color w:val="000000" w:themeColor="text1"/>
          <w:sz w:val="24"/>
          <w:szCs w:val="24"/>
          <w:lang w:val="en-US" w:eastAsia="zh-CN"/>
        </w:rPr>
        <w:t>4</w:t>
      </w:r>
      <w:r w:rsidR="002C1F7A" w:rsidRPr="00F9318D">
        <w:rPr>
          <w:rFonts w:ascii="Arial-BoldMT" w:hAnsi="Arial-BoldMT" w:cs="Arial-BoldMT"/>
          <w:b/>
          <w:bCs/>
          <w:color w:val="000000" w:themeColor="text1"/>
          <w:sz w:val="24"/>
          <w:szCs w:val="24"/>
          <w:lang w:val="en-US" w:eastAsia="zh-CN"/>
        </w:rPr>
        <w:t xml:space="preserve">.7.5 Generation and transmission of </w:t>
      </w:r>
      <w:proofErr w:type="spellStart"/>
      <w:r w:rsidR="002C1F7A" w:rsidRPr="00F9318D">
        <w:rPr>
          <w:rFonts w:ascii="Arial-BoldMT" w:hAnsi="Arial-BoldMT" w:cs="Arial-BoldMT"/>
          <w:b/>
          <w:bCs/>
          <w:color w:val="000000" w:themeColor="text1"/>
          <w:sz w:val="24"/>
          <w:szCs w:val="24"/>
          <w:lang w:val="en-US" w:eastAsia="zh-CN"/>
        </w:rPr>
        <w:t>BlockAck</w:t>
      </w:r>
      <w:proofErr w:type="spellEnd"/>
      <w:r w:rsidR="002C1F7A" w:rsidRPr="00F9318D">
        <w:rPr>
          <w:rFonts w:ascii="Arial-BoldMT" w:hAnsi="Arial-BoldMT" w:cs="Arial-BoldMT"/>
          <w:b/>
          <w:bCs/>
          <w:color w:val="000000" w:themeColor="text1"/>
          <w:sz w:val="24"/>
          <w:szCs w:val="24"/>
          <w:lang w:val="en-US" w:eastAsia="zh-CN"/>
        </w:rPr>
        <w:t xml:space="preserve"> frames by an HT STA or DMG STA</w:t>
      </w:r>
    </w:p>
    <w:p w14:paraId="5285712D" w14:textId="5E3C14D5" w:rsidR="00D616F1" w:rsidRPr="00F9318D" w:rsidRDefault="00D616F1" w:rsidP="00D616F1">
      <w:pPr>
        <w:widowControl w:val="0"/>
        <w:autoSpaceDE w:val="0"/>
        <w:autoSpaceDN w:val="0"/>
        <w:adjustRightInd w:val="0"/>
        <w:jc w:val="both"/>
        <w:rPr>
          <w:rFonts w:ascii="Arial-BoldMT" w:hAnsi="Arial-BoldMT" w:cs="Arial-BoldMT" w:hint="eastAsia"/>
          <w:bCs/>
          <w:color w:val="000000" w:themeColor="text1"/>
          <w:sz w:val="24"/>
          <w:szCs w:val="24"/>
          <w:lang w:val="en-US" w:eastAsia="zh-CN"/>
        </w:rPr>
      </w:pPr>
      <w:r w:rsidRPr="00F9318D">
        <w:rPr>
          <w:rFonts w:ascii="Arial-BoldMT" w:hAnsi="Arial-BoldMT" w:cs="Arial-BoldMT"/>
          <w:bCs/>
          <w:color w:val="000000" w:themeColor="text1"/>
          <w:sz w:val="24"/>
          <w:szCs w:val="24"/>
          <w:lang w:val="en-US" w:eastAsia="zh-CN"/>
        </w:rPr>
        <w:t xml:space="preserve">Except when operating within a PSMP exchange, a STA that receives a PPDU that contains a </w:t>
      </w:r>
      <w:proofErr w:type="spellStart"/>
      <w:r w:rsidRPr="00F9318D">
        <w:rPr>
          <w:rFonts w:ascii="Arial-BoldMT" w:hAnsi="Arial-BoldMT" w:cs="Arial-BoldMT"/>
          <w:bCs/>
          <w:color w:val="000000" w:themeColor="text1"/>
          <w:sz w:val="24"/>
          <w:szCs w:val="24"/>
          <w:lang w:val="en-US" w:eastAsia="zh-CN"/>
        </w:rPr>
        <w:t>BlockAckReq</w:t>
      </w:r>
      <w:proofErr w:type="spellEnd"/>
      <w:r w:rsidRPr="00F9318D">
        <w:rPr>
          <w:rFonts w:ascii="Arial-BoldMT" w:hAnsi="Arial-BoldMT" w:cs="Arial-BoldMT"/>
          <w:bCs/>
          <w:color w:val="000000" w:themeColor="text1"/>
          <w:sz w:val="24"/>
          <w:szCs w:val="24"/>
          <w:lang w:val="en-US" w:eastAsia="zh-CN"/>
        </w:rPr>
        <w:t xml:space="preserve"> frame in which the Address 1 field matches its MAC address during either full-state operation or partial-state operation shall transmit a PPDU containing a </w:t>
      </w:r>
      <w:proofErr w:type="spellStart"/>
      <w:r w:rsidRPr="00F9318D">
        <w:rPr>
          <w:rFonts w:ascii="Arial-BoldMT" w:hAnsi="Arial-BoldMT" w:cs="Arial-BoldMT"/>
          <w:bCs/>
          <w:color w:val="000000" w:themeColor="text1"/>
          <w:sz w:val="24"/>
          <w:szCs w:val="24"/>
          <w:lang w:val="en-US" w:eastAsia="zh-CN"/>
        </w:rPr>
        <w:t>BlockAck</w:t>
      </w:r>
      <w:proofErr w:type="spellEnd"/>
      <w:r w:rsidRPr="00F9318D">
        <w:rPr>
          <w:rFonts w:ascii="Arial-BoldMT" w:hAnsi="Arial-BoldMT" w:cs="Arial-BoldMT"/>
          <w:bCs/>
          <w:color w:val="000000" w:themeColor="text1"/>
          <w:sz w:val="24"/>
          <w:szCs w:val="24"/>
          <w:lang w:val="en-US" w:eastAsia="zh-CN"/>
        </w:rPr>
        <w:t xml:space="preserve"> frame that is separated on the WM by a SIFS from the PPDU that elicited the </w:t>
      </w:r>
      <w:proofErr w:type="spellStart"/>
      <w:r w:rsidRPr="00F9318D">
        <w:rPr>
          <w:rFonts w:ascii="Arial-BoldMT" w:hAnsi="Arial-BoldMT" w:cs="Arial-BoldMT"/>
          <w:bCs/>
          <w:color w:val="000000" w:themeColor="text1"/>
          <w:sz w:val="24"/>
          <w:szCs w:val="24"/>
          <w:lang w:val="en-US" w:eastAsia="zh-CN"/>
        </w:rPr>
        <w:t>BlockAck</w:t>
      </w:r>
      <w:proofErr w:type="spellEnd"/>
      <w:r w:rsidRPr="00F9318D">
        <w:rPr>
          <w:rFonts w:ascii="Arial-BoldMT" w:hAnsi="Arial-BoldMT" w:cs="Arial-BoldMT"/>
          <w:bCs/>
          <w:color w:val="000000" w:themeColor="text1"/>
          <w:sz w:val="24"/>
          <w:szCs w:val="24"/>
          <w:lang w:val="en-US" w:eastAsia="zh-CN"/>
        </w:rPr>
        <w:t xml:space="preserve"> frame as a response. A STA that receives an A-MPDU that contains one or more MPDUs in which the Address 1 field matches its MAC address with the Ack Policy field equal to Normal Ack (i.e., implicit block ack request) during either full-state operation or partial-state operation shall transmit a PPDU containing a </w:t>
      </w:r>
      <w:proofErr w:type="spellStart"/>
      <w:r w:rsidRPr="00F9318D">
        <w:rPr>
          <w:rFonts w:ascii="Arial-BoldMT" w:hAnsi="Arial-BoldMT" w:cs="Arial-BoldMT"/>
          <w:bCs/>
          <w:color w:val="000000" w:themeColor="text1"/>
          <w:sz w:val="24"/>
          <w:szCs w:val="24"/>
          <w:lang w:val="en-US" w:eastAsia="zh-CN"/>
        </w:rPr>
        <w:t>BlockAck</w:t>
      </w:r>
      <w:proofErr w:type="spellEnd"/>
      <w:r w:rsidRPr="00F9318D">
        <w:rPr>
          <w:rFonts w:ascii="Arial-BoldMT" w:hAnsi="Arial-BoldMT" w:cs="Arial-BoldMT"/>
          <w:bCs/>
          <w:color w:val="000000" w:themeColor="text1"/>
          <w:sz w:val="24"/>
          <w:szCs w:val="24"/>
          <w:lang w:val="en-US" w:eastAsia="zh-CN"/>
        </w:rPr>
        <w:t xml:space="preserve"> frame that is separated on the WM by a SIFS from the PPDU that elicited the </w:t>
      </w:r>
      <w:proofErr w:type="spellStart"/>
      <w:r w:rsidRPr="00F9318D">
        <w:rPr>
          <w:rFonts w:ascii="Arial-BoldMT" w:hAnsi="Arial-BoldMT" w:cs="Arial-BoldMT"/>
          <w:bCs/>
          <w:color w:val="000000" w:themeColor="text1"/>
          <w:sz w:val="24"/>
          <w:szCs w:val="24"/>
          <w:lang w:val="en-US" w:eastAsia="zh-CN"/>
        </w:rPr>
        <w:t>BlockAck</w:t>
      </w:r>
      <w:proofErr w:type="spellEnd"/>
      <w:r w:rsidRPr="00F9318D">
        <w:rPr>
          <w:rFonts w:ascii="Arial-BoldMT" w:hAnsi="Arial-BoldMT" w:cs="Arial-BoldMT"/>
          <w:bCs/>
          <w:color w:val="000000" w:themeColor="text1"/>
          <w:sz w:val="24"/>
          <w:szCs w:val="24"/>
          <w:lang w:val="en-US" w:eastAsia="zh-CN"/>
        </w:rPr>
        <w:t xml:space="preserve"> frame as a response.</w:t>
      </w:r>
    </w:p>
    <w:p w14:paraId="41F82A7C" w14:textId="73748A20" w:rsidR="00D616F1" w:rsidRDefault="00D616F1" w:rsidP="00D616F1">
      <w:pPr>
        <w:widowControl w:val="0"/>
        <w:autoSpaceDE w:val="0"/>
        <w:autoSpaceDN w:val="0"/>
        <w:adjustRightInd w:val="0"/>
        <w:jc w:val="both"/>
        <w:rPr>
          <w:rFonts w:ascii="Arial-BoldMT" w:hAnsi="Arial-BoldMT" w:cs="Arial-BoldMT" w:hint="eastAsia"/>
          <w:bCs/>
          <w:color w:val="000000" w:themeColor="text1"/>
          <w:sz w:val="24"/>
          <w:szCs w:val="24"/>
          <w:lang w:val="en-US" w:eastAsia="zh-CN"/>
        </w:rPr>
      </w:pPr>
    </w:p>
    <w:p w14:paraId="4F3B0BEC" w14:textId="6638D56F" w:rsidR="00E000C5" w:rsidRPr="00F9318D" w:rsidRDefault="00D616F1"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A</w:t>
      </w:r>
      <w:r w:rsidR="00A53D15">
        <w:rPr>
          <w:rFonts w:ascii="Arial-BoldMT" w:hAnsi="Arial-BoldMT" w:cs="Arial-BoldMT"/>
          <w:bCs/>
          <w:color w:val="FF0000"/>
          <w:sz w:val="24"/>
          <w:szCs w:val="24"/>
          <w:u w:val="single"/>
          <w:lang w:val="en-US" w:eastAsia="zh-CN"/>
        </w:rPr>
        <w:t xml:space="preserve"> non-AP and non-PCP</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STA </w:t>
      </w:r>
      <w:r w:rsidR="00A57725" w:rsidRPr="00F9318D">
        <w:rPr>
          <w:rFonts w:ascii="Arial-BoldMT" w:hAnsi="Arial-BoldMT" w:cs="Arial-BoldMT"/>
          <w:bCs/>
          <w:color w:val="FF0000"/>
          <w:sz w:val="24"/>
          <w:szCs w:val="24"/>
          <w:u w:val="single"/>
          <w:lang w:val="en-US" w:eastAsia="zh-CN"/>
        </w:rPr>
        <w:t>operating in a</w:t>
      </w:r>
      <w:r w:rsidR="00FE71E0" w:rsidRPr="00F9318D">
        <w:rPr>
          <w:rFonts w:ascii="Arial-BoldMT" w:hAnsi="Arial-BoldMT" w:cs="Arial-BoldMT"/>
          <w:bCs/>
          <w:color w:val="FF0000"/>
          <w:sz w:val="24"/>
          <w:szCs w:val="24"/>
          <w:u w:val="single"/>
          <w:lang w:val="en-US" w:eastAsia="zh-CN"/>
        </w:rPr>
        <w:t>n</w:t>
      </w:r>
      <w:r w:rsidR="00A57725" w:rsidRPr="00F9318D">
        <w:rPr>
          <w:rFonts w:ascii="Arial-BoldMT" w:hAnsi="Arial-BoldMT" w:cs="Arial-BoldMT"/>
          <w:bCs/>
          <w:color w:val="FF0000"/>
          <w:sz w:val="24"/>
          <w:szCs w:val="24"/>
          <w:u w:val="single"/>
          <w:lang w:val="en-US" w:eastAsia="zh-CN"/>
        </w:rPr>
        <w:t xml:space="preserve"> SP with TDD channel access</w:t>
      </w:r>
      <w:r w:rsidR="00A53D15">
        <w:rPr>
          <w:rFonts w:ascii="Arial-BoldMT" w:hAnsi="Arial-BoldMT" w:cs="Arial-BoldMT"/>
          <w:bCs/>
          <w:color w:val="FF0000"/>
          <w:sz w:val="24"/>
          <w:szCs w:val="24"/>
          <w:u w:val="single"/>
          <w:lang w:val="en-US" w:eastAsia="zh-CN"/>
        </w:rPr>
        <w:t xml:space="preserve"> (see 10.36.6.2.2 (SP with TDD Channel Access))</w:t>
      </w:r>
      <w:r w:rsidR="00677AEE" w:rsidRPr="00F9318D">
        <w:rPr>
          <w:rFonts w:ascii="Arial-BoldMT" w:hAnsi="Arial-BoldMT" w:cs="Arial-BoldMT"/>
          <w:bCs/>
          <w:color w:val="FF0000"/>
          <w:sz w:val="24"/>
          <w:szCs w:val="24"/>
          <w:u w:val="single"/>
          <w:lang w:val="en-US" w:eastAsia="zh-CN"/>
        </w:rPr>
        <w:t>,</w:t>
      </w:r>
      <w:r w:rsidR="00A57725" w:rsidRPr="00F9318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that receives a PPDU that contains a </w:t>
      </w:r>
      <w:proofErr w:type="spellStart"/>
      <w:r w:rsidRPr="00F9318D">
        <w:rPr>
          <w:rFonts w:ascii="Arial-BoldMT" w:hAnsi="Arial-BoldMT" w:cs="Arial-BoldMT"/>
          <w:bCs/>
          <w:color w:val="FF0000"/>
          <w:sz w:val="24"/>
          <w:szCs w:val="24"/>
          <w:u w:val="single"/>
          <w:lang w:val="en-US" w:eastAsia="zh-CN"/>
        </w:rPr>
        <w:t>BlockAckReq</w:t>
      </w:r>
      <w:proofErr w:type="spellEnd"/>
      <w:r w:rsidRPr="00F9318D">
        <w:rPr>
          <w:rFonts w:ascii="Arial-BoldMT" w:hAnsi="Arial-BoldMT" w:cs="Arial-BoldMT"/>
          <w:bCs/>
          <w:color w:val="FF0000"/>
          <w:sz w:val="24"/>
          <w:szCs w:val="24"/>
          <w:u w:val="single"/>
          <w:lang w:val="en-US" w:eastAsia="zh-CN"/>
        </w:rPr>
        <w:t xml:space="preserve"> frame in which </w:t>
      </w:r>
      <w:r w:rsidRPr="00F9318D">
        <w:rPr>
          <w:rFonts w:ascii="Arial-BoldMT" w:hAnsi="Arial-BoldMT" w:cs="Arial-BoldMT"/>
          <w:bCs/>
          <w:color w:val="FF0000"/>
          <w:sz w:val="24"/>
          <w:szCs w:val="24"/>
          <w:u w:val="single"/>
          <w:lang w:val="en-US" w:eastAsia="zh-CN"/>
        </w:rPr>
        <w:lastRenderedPageBreak/>
        <w:t xml:space="preserve">the Address 1 field matches its MAC address during either full-state or partial-state operation shall transmit a PPDU containing a </w:t>
      </w:r>
      <w:proofErr w:type="spellStart"/>
      <w:r w:rsidRPr="00F9318D">
        <w:rPr>
          <w:rFonts w:ascii="Arial-BoldMT" w:hAnsi="Arial-BoldMT" w:cs="Arial-BoldMT"/>
          <w:bCs/>
          <w:color w:val="FF0000"/>
          <w:sz w:val="24"/>
          <w:szCs w:val="24"/>
          <w:u w:val="single"/>
          <w:lang w:val="en-US" w:eastAsia="zh-CN"/>
        </w:rPr>
        <w:t>BlockAck</w:t>
      </w:r>
      <w:proofErr w:type="spellEnd"/>
      <w:r w:rsidRPr="00F9318D">
        <w:rPr>
          <w:rFonts w:ascii="Arial-BoldMT" w:hAnsi="Arial-BoldMT" w:cs="Arial-BoldMT"/>
          <w:bCs/>
          <w:color w:val="FF0000"/>
          <w:sz w:val="24"/>
          <w:szCs w:val="24"/>
          <w:u w:val="single"/>
          <w:lang w:val="en-US" w:eastAsia="zh-CN"/>
        </w:rPr>
        <w:t xml:space="preserve"> frame startin</w:t>
      </w:r>
      <w:r w:rsidR="00A53D15">
        <w:rPr>
          <w:rFonts w:ascii="Arial-BoldMT" w:hAnsi="Arial-BoldMT" w:cs="Arial-BoldMT"/>
          <w:bCs/>
          <w:color w:val="FF0000"/>
          <w:sz w:val="24"/>
          <w:szCs w:val="24"/>
          <w:u w:val="single"/>
          <w:lang w:val="en-US" w:eastAsia="zh-CN"/>
        </w:rPr>
        <w:t>g at the earliest occurring TDD slot</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the non-AP and non-PCP STA is </w:t>
      </w:r>
      <w:r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w:t>
      </w:r>
      <w:r w:rsidR="00286A9C" w:rsidRPr="00F9318D">
        <w:rPr>
          <w:rFonts w:ascii="Arial-BoldMT" w:hAnsi="Arial-BoldMT" w:cs="Arial-BoldMT"/>
          <w:bCs/>
          <w:color w:val="FF0000"/>
          <w:sz w:val="24"/>
          <w:szCs w:val="24"/>
          <w:u w:val="single"/>
          <w:lang w:val="en-US" w:eastAsia="zh-CN"/>
        </w:rPr>
        <w:t xml:space="preserve"> of the TDD</w:t>
      </w:r>
      <w:r w:rsidR="00A53D15">
        <w:rPr>
          <w:rFonts w:ascii="Arial-BoldMT" w:hAnsi="Arial-BoldMT" w:cs="Arial-BoldMT"/>
          <w:bCs/>
          <w:color w:val="FF0000"/>
          <w:sz w:val="24"/>
          <w:szCs w:val="24"/>
          <w:u w:val="single"/>
          <w:lang w:val="en-US" w:eastAsia="zh-CN"/>
        </w:rPr>
        <w:t xml:space="preserve"> slot</w:t>
      </w:r>
      <w:r w:rsidR="00286A9C" w:rsidRPr="00F9318D">
        <w:rPr>
          <w:rFonts w:ascii="Arial-BoldMT" w:hAnsi="Arial-BoldMT" w:cs="Arial-BoldMT"/>
          <w:bCs/>
          <w:color w:val="FF0000"/>
          <w:sz w:val="24"/>
          <w:szCs w:val="24"/>
          <w:u w:val="single"/>
          <w:lang w:val="en-US" w:eastAsia="zh-CN"/>
        </w:rPr>
        <w:t xml:space="preserve"> set to</w:t>
      </w:r>
      <w:r w:rsidRPr="00F9318D">
        <w:rPr>
          <w:rFonts w:ascii="Arial-BoldMT" w:hAnsi="Arial-BoldMT" w:cs="Arial-BoldMT"/>
          <w:bCs/>
          <w:color w:val="FF0000"/>
          <w:sz w:val="24"/>
          <w:szCs w:val="24"/>
          <w:u w:val="single"/>
          <w:lang w:val="en-US" w:eastAsia="zh-CN"/>
        </w:rPr>
        <w:t xml:space="preserve"> </w:t>
      </w:r>
      <w:r w:rsidR="00A53D15">
        <w:rPr>
          <w:rFonts w:ascii="Arial-BoldMT" w:hAnsi="Arial-BoldMT" w:cs="Arial-BoldMT"/>
          <w:bCs/>
          <w:color w:val="FF0000"/>
          <w:sz w:val="24"/>
          <w:szCs w:val="24"/>
          <w:u w:val="single"/>
          <w:lang w:val="en-US" w:eastAsia="zh-CN"/>
        </w:rPr>
        <w:t>simplex RX TDD slot</w:t>
      </w:r>
      <w:r w:rsidR="00286A9C" w:rsidRPr="00F9318D">
        <w:rPr>
          <w:rFonts w:ascii="Arial-BoldMT" w:hAnsi="Arial-BoldMT" w:cs="Arial-BoldMT"/>
          <w:bCs/>
          <w:color w:val="FF0000"/>
          <w:sz w:val="24"/>
          <w:szCs w:val="24"/>
          <w:u w:val="single"/>
          <w:lang w:val="en-US" w:eastAsia="zh-CN"/>
        </w:rPr>
        <w:t>,</w:t>
      </w:r>
      <w:r w:rsidR="00A53D15">
        <w:rPr>
          <w:rFonts w:ascii="Arial-BoldMT" w:hAnsi="Arial-BoldMT" w:cs="Arial-BoldMT"/>
          <w:bCs/>
          <w:color w:val="FF0000"/>
          <w:sz w:val="24"/>
          <w:szCs w:val="24"/>
          <w:u w:val="single"/>
          <w:lang w:val="en-US" w:eastAsia="zh-CN"/>
        </w:rPr>
        <w:t xml:space="preserve"> and with slot category of the TDD slot set to Basic TDD slot,</w:t>
      </w:r>
      <w:r w:rsidR="00286A9C" w:rsidRPr="00F9318D">
        <w:rPr>
          <w:rFonts w:ascii="Arial-BoldMT" w:hAnsi="Arial-BoldMT" w:cs="Arial-BoldMT"/>
          <w:bCs/>
          <w:color w:val="FF0000"/>
          <w:sz w:val="24"/>
          <w:szCs w:val="24"/>
          <w:u w:val="single"/>
          <w:lang w:val="en-US" w:eastAsia="zh-CN"/>
        </w:rPr>
        <w:t xml:space="preserve"> as indicated in the TDD </w:t>
      </w:r>
      <w:r w:rsidR="00A53D15">
        <w:rPr>
          <w:rFonts w:ascii="Arial-BoldMT" w:hAnsi="Arial-BoldMT" w:cs="Arial-BoldMT"/>
          <w:bCs/>
          <w:color w:val="FF0000"/>
          <w:sz w:val="24"/>
          <w:szCs w:val="24"/>
          <w:u w:val="single"/>
          <w:lang w:val="en-US" w:eastAsia="zh-CN"/>
        </w:rPr>
        <w:t>Slot</w:t>
      </w:r>
      <w:r w:rsidR="00286A9C"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00286A9C" w:rsidRPr="00F9318D">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w:t>
      </w:r>
      <w:r w:rsidR="00E000C5" w:rsidRPr="00F9318D">
        <w:rPr>
          <w:rFonts w:ascii="Arial-BoldMT" w:hAnsi="Arial-BoldMT" w:cs="Arial-BoldMT"/>
          <w:bCs/>
          <w:color w:val="FF0000"/>
          <w:sz w:val="24"/>
          <w:szCs w:val="24"/>
          <w:u w:val="single"/>
          <w:lang w:val="en-US" w:eastAsia="zh-CN"/>
        </w:rPr>
        <w:t xml:space="preserve"> </w:t>
      </w:r>
    </w:p>
    <w:p w14:paraId="39B67FEB" w14:textId="2A8E78B5" w:rsidR="00A53D15" w:rsidRDefault="00A53D15"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32C4439C" w14:textId="6F74F8D5" w:rsidR="00A53D15" w:rsidRPr="00F9318D" w:rsidRDefault="00A53D15" w:rsidP="00A53D15">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A</w:t>
      </w:r>
      <w:r w:rsidR="00BC2C6A">
        <w:rPr>
          <w:rFonts w:ascii="Arial-BoldMT" w:hAnsi="Arial-BoldMT" w:cs="Arial-BoldMT"/>
          <w:bCs/>
          <w:color w:val="FF0000"/>
          <w:sz w:val="24"/>
          <w:szCs w:val="24"/>
          <w:u w:val="single"/>
          <w:lang w:val="en-US" w:eastAsia="zh-CN"/>
        </w:rPr>
        <w:t xml:space="preserve"> DMG</w:t>
      </w:r>
      <w:r>
        <w:rPr>
          <w:rFonts w:ascii="Arial-BoldMT" w:hAnsi="Arial-BoldMT" w:cs="Arial-BoldMT"/>
          <w:bCs/>
          <w:color w:val="FF0000"/>
          <w:sz w:val="24"/>
          <w:szCs w:val="24"/>
          <w:u w:val="single"/>
          <w:lang w:val="en-US" w:eastAsia="zh-CN"/>
        </w:rPr>
        <w:t xml:space="preserve"> AP or PCP</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that receives</w:t>
      </w:r>
      <w:r w:rsidR="00E72A37">
        <w:rPr>
          <w:rFonts w:ascii="Arial-BoldMT" w:hAnsi="Arial-BoldMT" w:cs="Arial-BoldMT"/>
          <w:bCs/>
          <w:color w:val="FF0000"/>
          <w:sz w:val="24"/>
          <w:szCs w:val="24"/>
          <w:u w:val="single"/>
          <w:lang w:val="en-US" w:eastAsia="zh-CN"/>
        </w:rPr>
        <w:t xml:space="preserve"> </w:t>
      </w:r>
      <w:r w:rsidR="00E72A37" w:rsidRPr="00114487">
        <w:rPr>
          <w:rFonts w:ascii="Arial-BoldMT" w:hAnsi="Arial-BoldMT" w:cs="Arial-BoldMT"/>
          <w:bCs/>
          <w:color w:val="FF0000"/>
          <w:sz w:val="24"/>
          <w:szCs w:val="24"/>
          <w:u w:val="single"/>
          <w:lang w:val="en-US" w:eastAsia="zh-CN"/>
        </w:rPr>
        <w:t>from a non-AP and non-PCP STA,</w:t>
      </w:r>
      <w:r w:rsidR="0032699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a PPDU that contains a </w:t>
      </w:r>
      <w:proofErr w:type="spellStart"/>
      <w:r w:rsidRPr="00F9318D">
        <w:rPr>
          <w:rFonts w:ascii="Arial-BoldMT" w:hAnsi="Arial-BoldMT" w:cs="Arial-BoldMT"/>
          <w:bCs/>
          <w:color w:val="FF0000"/>
          <w:sz w:val="24"/>
          <w:szCs w:val="24"/>
          <w:u w:val="single"/>
          <w:lang w:val="en-US" w:eastAsia="zh-CN"/>
        </w:rPr>
        <w:t>BlockAckReq</w:t>
      </w:r>
      <w:proofErr w:type="spellEnd"/>
      <w:r w:rsidRPr="00F9318D">
        <w:rPr>
          <w:rFonts w:ascii="Arial-BoldMT" w:hAnsi="Arial-BoldMT" w:cs="Arial-BoldMT"/>
          <w:bCs/>
          <w:color w:val="FF0000"/>
          <w:sz w:val="24"/>
          <w:szCs w:val="24"/>
          <w:u w:val="single"/>
          <w:lang w:val="en-US" w:eastAsia="zh-CN"/>
        </w:rPr>
        <w:t xml:space="preserve"> frame in which the Address 1 field matches its MAC address during either full-state or partial-state operation shall transmit</w:t>
      </w:r>
      <w:r w:rsidR="00E72A37">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a PPDU containing a </w:t>
      </w:r>
      <w:proofErr w:type="spellStart"/>
      <w:r w:rsidRPr="00F9318D">
        <w:rPr>
          <w:rFonts w:ascii="Arial-BoldMT" w:hAnsi="Arial-BoldMT" w:cs="Arial-BoldMT"/>
          <w:bCs/>
          <w:color w:val="FF0000"/>
          <w:sz w:val="24"/>
          <w:szCs w:val="24"/>
          <w:u w:val="single"/>
          <w:lang w:val="en-US" w:eastAsia="zh-CN"/>
        </w:rPr>
        <w:t>BlockAck</w:t>
      </w:r>
      <w:proofErr w:type="spellEnd"/>
      <w:r w:rsidRPr="00F9318D">
        <w:rPr>
          <w:rFonts w:ascii="Arial-BoldMT" w:hAnsi="Arial-BoldMT" w:cs="Arial-BoldMT"/>
          <w:bCs/>
          <w:color w:val="FF0000"/>
          <w:sz w:val="24"/>
          <w:szCs w:val="24"/>
          <w:u w:val="single"/>
          <w:lang w:val="en-US" w:eastAsia="zh-CN"/>
        </w:rPr>
        <w:t xml:space="preserve"> frame startin</w:t>
      </w:r>
      <w:r>
        <w:rPr>
          <w:rFonts w:ascii="Arial-BoldMT" w:hAnsi="Arial-BoldMT" w:cs="Arial-BoldMT"/>
          <w:bCs/>
          <w:color w:val="FF0000"/>
          <w:sz w:val="24"/>
          <w:szCs w:val="24"/>
          <w:u w:val="single"/>
          <w:lang w:val="en-US" w:eastAsia="zh-CN"/>
        </w:rPr>
        <w:t>g at the earliest occurring TDD slot</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the</w:t>
      </w:r>
      <w:r w:rsidR="00E72A37" w:rsidRPr="00114487">
        <w:rPr>
          <w:rFonts w:ascii="Arial-BoldMT" w:hAnsi="Arial-BoldMT" w:cs="Arial-BoldMT"/>
          <w:bCs/>
          <w:color w:val="FF0000"/>
          <w:sz w:val="24"/>
          <w:szCs w:val="24"/>
          <w:u w:val="single"/>
          <w:lang w:val="en-US" w:eastAsia="zh-CN"/>
        </w:rPr>
        <w:t xml:space="preserve"> non-AP and non-PCP STA</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E72A37" w:rsidRPr="00114487">
        <w:rPr>
          <w:rFonts w:ascii="Arial-BoldMT" w:hAnsi="Arial-BoldMT" w:cs="Arial-BoldMT"/>
          <w:bCs/>
          <w:color w:val="FF0000"/>
          <w:sz w:val="24"/>
          <w:szCs w:val="24"/>
          <w:u w:val="single"/>
          <w:lang w:val="en-US" w:eastAsia="zh-CN"/>
        </w:rPr>
        <w:t>,</w:t>
      </w:r>
      <w:r w:rsidR="00E72A37" w:rsidRPr="00F9318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with access permission 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TX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 xml:space="preserve">). </w:t>
      </w:r>
    </w:p>
    <w:p w14:paraId="36B97A24" w14:textId="77777777" w:rsidR="00A53D15" w:rsidRDefault="00A53D15"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778E6BD6" w14:textId="44BC4653" w:rsidR="00343567" w:rsidRDefault="00A53D15"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Pr>
          <w:rFonts w:ascii="Arial-BoldMT" w:hAnsi="Arial-BoldMT" w:cs="Arial-BoldMT"/>
          <w:bCs/>
          <w:color w:val="FF0000"/>
          <w:sz w:val="24"/>
          <w:szCs w:val="24"/>
          <w:u w:val="single"/>
          <w:lang w:val="en-US" w:eastAsia="zh-CN"/>
        </w:rPr>
        <w:t>A</w:t>
      </w:r>
      <w:r w:rsidR="00E000C5"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non-AP and non-PCP</w:t>
      </w:r>
      <w:r w:rsidR="00114487">
        <w:rPr>
          <w:rFonts w:ascii="Arial-BoldMT" w:hAnsi="Arial-BoldMT" w:cs="Arial-BoldMT"/>
          <w:bCs/>
          <w:color w:val="FF0000"/>
          <w:sz w:val="24"/>
          <w:szCs w:val="24"/>
          <w:u w:val="single"/>
          <w:lang w:val="en-US" w:eastAsia="zh-CN"/>
        </w:rPr>
        <w:t xml:space="preserve"> STA</w:t>
      </w:r>
      <w:r w:rsidR="00677AEE" w:rsidRPr="00F9318D">
        <w:rPr>
          <w:rFonts w:ascii="Arial-BoldMT" w:hAnsi="Arial-BoldMT" w:cs="Arial-BoldMT"/>
          <w:bCs/>
          <w:color w:val="FF0000"/>
          <w:sz w:val="24"/>
          <w:szCs w:val="24"/>
          <w:u w:val="single"/>
          <w:lang w:val="en-US" w:eastAsia="zh-CN"/>
        </w:rPr>
        <w:t xml:space="preserve"> operating in a</w:t>
      </w:r>
      <w:r w:rsidR="00D06233" w:rsidRPr="00F9318D">
        <w:rPr>
          <w:rFonts w:ascii="Arial-BoldMT" w:hAnsi="Arial-BoldMT" w:cs="Arial-BoldMT"/>
          <w:bCs/>
          <w:color w:val="FF0000"/>
          <w:sz w:val="24"/>
          <w:szCs w:val="24"/>
          <w:u w:val="single"/>
          <w:lang w:val="en-US" w:eastAsia="zh-CN"/>
        </w:rPr>
        <w:t>n</w:t>
      </w:r>
      <w:r w:rsidR="00677AEE" w:rsidRPr="00F9318D">
        <w:rPr>
          <w:rFonts w:ascii="Arial-BoldMT" w:hAnsi="Arial-BoldMT" w:cs="Arial-BoldMT"/>
          <w:bCs/>
          <w:color w:val="FF0000"/>
          <w:sz w:val="24"/>
          <w:szCs w:val="24"/>
          <w:u w:val="single"/>
          <w:lang w:val="en-US" w:eastAsia="zh-CN"/>
        </w:rPr>
        <w:t xml:space="preserve"> SP with TDD channel acce</w:t>
      </w:r>
      <w:r w:rsidR="007F69AD" w:rsidRPr="00F9318D">
        <w:rPr>
          <w:rFonts w:ascii="Arial-BoldMT" w:hAnsi="Arial-BoldMT" w:cs="Arial-BoldMT"/>
          <w:bCs/>
          <w:color w:val="FF0000"/>
          <w:sz w:val="24"/>
          <w:szCs w:val="24"/>
          <w:u w:val="single"/>
          <w:lang w:val="en-US" w:eastAsia="zh-CN"/>
        </w:rPr>
        <w:t>s</w:t>
      </w:r>
      <w:r w:rsidR="00677AEE" w:rsidRPr="00F9318D">
        <w:rPr>
          <w:rFonts w:ascii="Arial-BoldMT" w:hAnsi="Arial-BoldMT" w:cs="Arial-BoldMT"/>
          <w:bCs/>
          <w:color w:val="FF0000"/>
          <w:sz w:val="24"/>
          <w:szCs w:val="24"/>
          <w:u w:val="single"/>
          <w:lang w:val="en-US" w:eastAsia="zh-CN"/>
        </w:rPr>
        <w:t>s</w:t>
      </w:r>
      <w:r>
        <w:rPr>
          <w:rFonts w:ascii="Arial-BoldMT" w:hAnsi="Arial-BoldMT" w:cs="Arial-BoldMT"/>
          <w:bCs/>
          <w:color w:val="FF0000"/>
          <w:sz w:val="24"/>
          <w:szCs w:val="24"/>
          <w:u w:val="single"/>
          <w:lang w:val="en-US" w:eastAsia="zh-CN"/>
        </w:rPr>
        <w:t xml:space="preserve"> (see 10.36.6.2.2 (SP with TDD Channel Access))</w:t>
      </w:r>
      <w:r w:rsidR="00677AEE" w:rsidRPr="00F9318D">
        <w:rPr>
          <w:rFonts w:ascii="Arial-BoldMT" w:hAnsi="Arial-BoldMT" w:cs="Arial-BoldMT"/>
          <w:bCs/>
          <w:color w:val="FF0000"/>
          <w:sz w:val="24"/>
          <w:szCs w:val="24"/>
          <w:u w:val="single"/>
          <w:lang w:val="en-US" w:eastAsia="zh-CN"/>
        </w:rPr>
        <w:t>,</w:t>
      </w:r>
      <w:r w:rsidR="00E000C5" w:rsidRPr="00F9318D">
        <w:rPr>
          <w:rFonts w:ascii="Arial-BoldMT" w:hAnsi="Arial-BoldMT" w:cs="Arial-BoldMT"/>
          <w:bCs/>
          <w:color w:val="FF0000"/>
          <w:sz w:val="24"/>
          <w:szCs w:val="24"/>
          <w:u w:val="single"/>
          <w:lang w:val="en-US" w:eastAsia="zh-CN"/>
        </w:rPr>
        <w:t xml:space="preserve"> that receives an A-MPDU that contains one or more MPDUs in which the Address 1 field matches its MAC address with the Ack Policy field equal to Normal Ack (i.e., implicit block ack request) during </w:t>
      </w:r>
      <w:r w:rsidR="00370F1E" w:rsidRPr="00F9318D">
        <w:rPr>
          <w:rFonts w:ascii="Arial-BoldMT" w:hAnsi="Arial-BoldMT" w:cs="Arial-BoldMT"/>
          <w:bCs/>
          <w:color w:val="FF0000"/>
          <w:sz w:val="24"/>
          <w:szCs w:val="24"/>
          <w:u w:val="single"/>
          <w:lang w:val="en-US" w:eastAsia="zh-CN"/>
        </w:rPr>
        <w:t xml:space="preserve">either full-state operation or partial-state operation shall transmit a PPDU containing a </w:t>
      </w:r>
      <w:proofErr w:type="spellStart"/>
      <w:r w:rsidR="00370F1E" w:rsidRPr="00F9318D">
        <w:rPr>
          <w:rFonts w:ascii="Arial-BoldMT" w:hAnsi="Arial-BoldMT" w:cs="Arial-BoldMT"/>
          <w:bCs/>
          <w:color w:val="FF0000"/>
          <w:sz w:val="24"/>
          <w:szCs w:val="24"/>
          <w:u w:val="single"/>
          <w:lang w:val="en-US" w:eastAsia="zh-CN"/>
        </w:rPr>
        <w:t>BlockAck</w:t>
      </w:r>
      <w:proofErr w:type="spellEnd"/>
      <w:r w:rsidR="00370F1E" w:rsidRPr="00F9318D">
        <w:rPr>
          <w:rFonts w:ascii="Arial-BoldMT" w:hAnsi="Arial-BoldMT" w:cs="Arial-BoldMT"/>
          <w:bCs/>
          <w:color w:val="FF0000"/>
          <w:sz w:val="24"/>
          <w:szCs w:val="24"/>
          <w:u w:val="single"/>
          <w:lang w:val="en-US" w:eastAsia="zh-CN"/>
        </w:rPr>
        <w:t xml:space="preserve"> frame starting at the earliest occurring TDD</w:t>
      </w:r>
      <w:r>
        <w:rPr>
          <w:rFonts w:ascii="Arial-BoldMT" w:hAnsi="Arial-BoldMT" w:cs="Arial-BoldMT"/>
          <w:bCs/>
          <w:color w:val="FF0000"/>
          <w:sz w:val="24"/>
          <w:szCs w:val="24"/>
          <w:u w:val="single"/>
          <w:lang w:val="en-US" w:eastAsia="zh-CN"/>
        </w:rPr>
        <w:t xml:space="preserve"> slot</w:t>
      </w:r>
      <w:r w:rsidR="00370F1E"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the non-AP and non-PCP STA is </w:t>
      </w:r>
      <w:r w:rsidR="00370F1E"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00370F1E" w:rsidRPr="00F9318D">
        <w:rPr>
          <w:rFonts w:ascii="Arial-BoldMT" w:hAnsi="Arial-BoldMT" w:cs="Arial-BoldMT"/>
          <w:bCs/>
          <w:color w:val="FF0000"/>
          <w:sz w:val="24"/>
          <w:szCs w:val="24"/>
          <w:u w:val="single"/>
          <w:lang w:val="en-US" w:eastAsia="zh-CN"/>
        </w:rPr>
        <w:t xml:space="preserve"> with access permission</w:t>
      </w:r>
      <w:r w:rsidR="008127A0" w:rsidRPr="00F9318D">
        <w:rPr>
          <w:rFonts w:ascii="Arial-BoldMT" w:hAnsi="Arial-BoldMT" w:cs="Arial-BoldMT"/>
          <w:bCs/>
          <w:color w:val="FF0000"/>
          <w:sz w:val="24"/>
          <w:szCs w:val="24"/>
          <w:u w:val="single"/>
          <w:lang w:val="en-US" w:eastAsia="zh-CN"/>
        </w:rPr>
        <w:t xml:space="preserve"> of the TDD</w:t>
      </w:r>
      <w:r>
        <w:rPr>
          <w:rFonts w:ascii="Arial-BoldMT" w:hAnsi="Arial-BoldMT" w:cs="Arial-BoldMT"/>
          <w:bCs/>
          <w:color w:val="FF0000"/>
          <w:sz w:val="24"/>
          <w:szCs w:val="24"/>
          <w:u w:val="single"/>
          <w:lang w:val="en-US" w:eastAsia="zh-CN"/>
        </w:rPr>
        <w:t xml:space="preserve"> slot</w:t>
      </w:r>
      <w:r w:rsidR="008127A0" w:rsidRPr="00F9318D">
        <w:rPr>
          <w:rFonts w:ascii="Arial-BoldMT" w:hAnsi="Arial-BoldMT" w:cs="Arial-BoldMT"/>
          <w:bCs/>
          <w:color w:val="FF0000"/>
          <w:sz w:val="24"/>
          <w:szCs w:val="24"/>
          <w:u w:val="single"/>
          <w:lang w:val="en-US" w:eastAsia="zh-CN"/>
        </w:rPr>
        <w:t xml:space="preserve"> set to</w:t>
      </w:r>
      <w:r w:rsidR="00370F1E"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simplex RX TDD slot</w:t>
      </w:r>
      <w:r w:rsidR="008127A0"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008127A0"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008127A0"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008127A0" w:rsidRPr="00F9318D">
        <w:rPr>
          <w:rFonts w:ascii="Arial-BoldMT" w:hAnsi="Arial-BoldMT" w:cs="Arial-BoldMT"/>
          <w:bCs/>
          <w:color w:val="FF0000"/>
          <w:sz w:val="24"/>
          <w:szCs w:val="24"/>
          <w:u w:val="single"/>
          <w:lang w:val="en-US" w:eastAsia="zh-CN"/>
        </w:rPr>
        <w:t>).</w:t>
      </w:r>
    </w:p>
    <w:p w14:paraId="158B98D0" w14:textId="77777777" w:rsidR="00A53D15" w:rsidRDefault="00A53D15" w:rsidP="00A53D15">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23805442" w14:textId="28E81591" w:rsidR="00A53D15" w:rsidRPr="00F9318D" w:rsidRDefault="00A53D15" w:rsidP="00A53D15">
      <w:pPr>
        <w:widowControl w:val="0"/>
        <w:autoSpaceDE w:val="0"/>
        <w:autoSpaceDN w:val="0"/>
        <w:adjustRightInd w:val="0"/>
        <w:jc w:val="both"/>
        <w:rPr>
          <w:rFonts w:ascii="Arial-BoldMT" w:hAnsi="Arial-BoldMT" w:cs="Arial-BoldMT" w:hint="eastAsia"/>
          <w:b/>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A</w:t>
      </w:r>
      <w:r>
        <w:rPr>
          <w:rFonts w:ascii="Arial-BoldMT" w:hAnsi="Arial-BoldMT" w:cs="Arial-BoldMT"/>
          <w:bCs/>
          <w:color w:val="FF0000"/>
          <w:sz w:val="24"/>
          <w:szCs w:val="24"/>
          <w:u w:val="single"/>
          <w:lang w:val="en-US" w:eastAsia="zh-CN"/>
        </w:rPr>
        <w:t xml:space="preserve"> </w:t>
      </w:r>
      <w:r w:rsidR="00BC2C6A">
        <w:rPr>
          <w:rFonts w:ascii="Arial-BoldMT" w:hAnsi="Arial-BoldMT" w:cs="Arial-BoldMT"/>
          <w:bCs/>
          <w:color w:val="FF0000"/>
          <w:sz w:val="24"/>
          <w:szCs w:val="24"/>
          <w:u w:val="single"/>
          <w:lang w:val="en-US" w:eastAsia="zh-CN"/>
        </w:rPr>
        <w:t xml:space="preserve">DMG </w:t>
      </w:r>
      <w:r>
        <w:rPr>
          <w:rFonts w:ascii="Arial-BoldMT" w:hAnsi="Arial-BoldMT" w:cs="Arial-BoldMT"/>
          <w:bCs/>
          <w:color w:val="FF0000"/>
          <w:sz w:val="24"/>
          <w:szCs w:val="24"/>
          <w:u w:val="single"/>
          <w:lang w:val="en-US" w:eastAsia="zh-CN"/>
        </w:rPr>
        <w:t>AP or PCP</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that receives</w:t>
      </w:r>
      <w:r w:rsidR="00E72A37">
        <w:rPr>
          <w:rFonts w:ascii="Arial-BoldMT" w:hAnsi="Arial-BoldMT" w:cs="Arial-BoldMT"/>
          <w:bCs/>
          <w:color w:val="FF0000"/>
          <w:sz w:val="24"/>
          <w:szCs w:val="24"/>
          <w:u w:val="single"/>
          <w:lang w:val="en-US" w:eastAsia="zh-CN"/>
        </w:rPr>
        <w:t xml:space="preserve"> from </w:t>
      </w:r>
      <w:r w:rsidR="00E72A37" w:rsidRPr="00114487">
        <w:rPr>
          <w:rFonts w:ascii="Arial-BoldMT" w:hAnsi="Arial-BoldMT" w:cs="Arial-BoldMT"/>
          <w:bCs/>
          <w:color w:val="FF0000"/>
          <w:sz w:val="24"/>
          <w:szCs w:val="24"/>
          <w:u w:val="single"/>
          <w:lang w:val="en-US" w:eastAsia="zh-CN"/>
        </w:rPr>
        <w:t>a non-AP and non-PCP STA,</w:t>
      </w:r>
      <w:r w:rsidRPr="00F9318D">
        <w:rPr>
          <w:rFonts w:ascii="Arial-BoldMT" w:hAnsi="Arial-BoldMT" w:cs="Arial-BoldMT"/>
          <w:bCs/>
          <w:color w:val="FF0000"/>
          <w:sz w:val="24"/>
          <w:szCs w:val="24"/>
          <w:u w:val="single"/>
          <w:lang w:val="en-US" w:eastAsia="zh-CN"/>
        </w:rPr>
        <w:t xml:space="preserve"> an A-MPDU that contains one or more MPDUs in which the Address 1 field matches its MAC address with the Ack Policy field equal to Normal Ack (i.e., implicit block ack request) during either full-state operation or partial-state operation shall transmit a PPDU containing a </w:t>
      </w:r>
      <w:proofErr w:type="spellStart"/>
      <w:r w:rsidRPr="00F9318D">
        <w:rPr>
          <w:rFonts w:ascii="Arial-BoldMT" w:hAnsi="Arial-BoldMT" w:cs="Arial-BoldMT"/>
          <w:bCs/>
          <w:color w:val="FF0000"/>
          <w:sz w:val="24"/>
          <w:szCs w:val="24"/>
          <w:u w:val="single"/>
          <w:lang w:val="en-US" w:eastAsia="zh-CN"/>
        </w:rPr>
        <w:t>BlockAck</w:t>
      </w:r>
      <w:proofErr w:type="spellEnd"/>
      <w:r w:rsidRPr="00F9318D">
        <w:rPr>
          <w:rFonts w:ascii="Arial-BoldMT" w:hAnsi="Arial-BoldMT" w:cs="Arial-BoldMT"/>
          <w:bCs/>
          <w:color w:val="FF0000"/>
          <w:sz w:val="24"/>
          <w:szCs w:val="24"/>
          <w:u w:val="single"/>
          <w:lang w:val="en-US" w:eastAsia="zh-CN"/>
        </w:rPr>
        <w:t xml:space="preserve"> frame starting at the earliest occurring </w:t>
      </w:r>
      <w:r>
        <w:rPr>
          <w:rFonts w:ascii="Arial-BoldMT" w:hAnsi="Arial-BoldMT" w:cs="Arial-BoldMT"/>
          <w:bCs/>
          <w:color w:val="FF0000"/>
          <w:sz w:val="24"/>
          <w:szCs w:val="24"/>
          <w:u w:val="single"/>
          <w:lang w:val="en-US" w:eastAsia="zh-CN"/>
        </w:rPr>
        <w:t>TDD slot</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the</w:t>
      </w:r>
      <w:r w:rsidR="00E72A37" w:rsidRPr="00114487">
        <w:rPr>
          <w:rFonts w:ascii="Arial-BoldMT" w:hAnsi="Arial-BoldMT" w:cs="Arial-BoldMT"/>
          <w:bCs/>
          <w:color w:val="FF0000"/>
          <w:sz w:val="24"/>
          <w:szCs w:val="24"/>
          <w:u w:val="single"/>
          <w:lang w:val="en-US" w:eastAsia="zh-CN"/>
        </w:rPr>
        <w:t xml:space="preserve"> non-AP and non-PCP STA</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E72A37" w:rsidRP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 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TX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w:t>
      </w:r>
    </w:p>
    <w:p w14:paraId="4ECE75FB" w14:textId="77777777" w:rsidR="00A53D15" w:rsidRPr="00F9318D" w:rsidRDefault="00A53D15" w:rsidP="00D616F1">
      <w:pPr>
        <w:widowControl w:val="0"/>
        <w:autoSpaceDE w:val="0"/>
        <w:autoSpaceDN w:val="0"/>
        <w:adjustRightInd w:val="0"/>
        <w:jc w:val="both"/>
        <w:rPr>
          <w:rFonts w:ascii="Arial-BoldMT" w:hAnsi="Arial-BoldMT" w:cs="Arial-BoldMT" w:hint="eastAsia"/>
          <w:b/>
          <w:bCs/>
          <w:color w:val="FF0000"/>
          <w:sz w:val="24"/>
          <w:szCs w:val="24"/>
          <w:u w:val="single"/>
          <w:lang w:val="en-US" w:eastAsia="zh-CN"/>
        </w:rPr>
      </w:pPr>
    </w:p>
    <w:p w14:paraId="5B8F6426" w14:textId="5B798765" w:rsidR="00575738" w:rsidRDefault="00575738" w:rsidP="002E0633">
      <w:pPr>
        <w:widowControl w:val="0"/>
        <w:autoSpaceDE w:val="0"/>
        <w:autoSpaceDN w:val="0"/>
        <w:adjustRightInd w:val="0"/>
        <w:rPr>
          <w:rFonts w:ascii="Arial-BoldMT" w:hAnsi="Arial-BoldMT" w:cs="Arial-BoldMT" w:hint="eastAsia"/>
          <w:b/>
          <w:bCs/>
          <w:color w:val="000000" w:themeColor="text1"/>
          <w:sz w:val="28"/>
          <w:szCs w:val="28"/>
          <w:lang w:val="en-US" w:eastAsia="zh-CN"/>
        </w:rPr>
      </w:pPr>
    </w:p>
    <w:p w14:paraId="60707C00" w14:textId="77777777" w:rsidR="000E5E0E" w:rsidRPr="000E5E0E" w:rsidRDefault="000E5E0E" w:rsidP="000E5E0E">
      <w:pPr>
        <w:widowControl w:val="0"/>
        <w:autoSpaceDE w:val="0"/>
        <w:autoSpaceDN w:val="0"/>
        <w:adjustRightInd w:val="0"/>
        <w:rPr>
          <w:rFonts w:ascii="Arial-BoldMT" w:hAnsi="Arial-BoldMT" w:cs="Arial-BoldMT" w:hint="eastAsia"/>
          <w:b/>
          <w:bCs/>
          <w:sz w:val="28"/>
          <w:szCs w:val="28"/>
          <w:lang w:val="en-US" w:eastAsia="zh-CN"/>
        </w:rPr>
      </w:pPr>
      <w:r w:rsidRPr="000E5E0E">
        <w:rPr>
          <w:rFonts w:ascii="Arial-BoldMT" w:hAnsi="Arial-BoldMT" w:cs="Arial-BoldMT" w:hint="eastAsia"/>
          <w:b/>
          <w:bCs/>
          <w:sz w:val="28"/>
          <w:szCs w:val="28"/>
          <w:lang w:val="en-US" w:eastAsia="zh-CN"/>
        </w:rPr>
        <w:t>1</w:t>
      </w:r>
      <w:r w:rsidRPr="000E5E0E">
        <w:rPr>
          <w:rFonts w:ascii="Arial-BoldMT" w:hAnsi="Arial-BoldMT" w:cs="Arial-BoldMT"/>
          <w:b/>
          <w:bCs/>
          <w:sz w:val="28"/>
          <w:szCs w:val="28"/>
          <w:lang w:val="en-US" w:eastAsia="zh-CN"/>
        </w:rPr>
        <w:t>0.36.6.2.2 SP with TDD Channel Access</w:t>
      </w:r>
    </w:p>
    <w:p w14:paraId="5651EB62"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1FBFF136" w14:textId="611CF34A"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A DMG AP or DMG PCP shall set the Allocation</w:t>
      </w:r>
      <w:r w:rsidR="00F9318D">
        <w:rPr>
          <w:rFonts w:ascii="Arial-BoldMT" w:hAnsi="Arial-BoldMT" w:cs="Arial-BoldMT"/>
          <w:bCs/>
          <w:sz w:val="24"/>
          <w:szCs w:val="24"/>
          <w:lang w:val="en-US" w:eastAsia="zh-CN"/>
        </w:rPr>
        <w:t xml:space="preserve"> </w:t>
      </w:r>
      <w:r w:rsidRPr="000E5E0E">
        <w:rPr>
          <w:rFonts w:ascii="Arial-BoldMT" w:hAnsi="Arial-BoldMT" w:cs="Arial-BoldMT"/>
          <w:bCs/>
          <w:sz w:val="24"/>
          <w:szCs w:val="24"/>
          <w:lang w:val="en-US" w:eastAsia="zh-CN"/>
        </w:rPr>
        <w:t>Type subfield to 0 and the TDD Applicable SP subfield to 1 in an Allocation field within an Extended Schedule element to indicate a TDD SP allocation.</w:t>
      </w:r>
    </w:p>
    <w:p w14:paraId="21955998"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99ADFCD"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When allocating a TDD SP, the AP or PCP shall set </w:t>
      </w:r>
      <w:proofErr w:type="gramStart"/>
      <w:r w:rsidRPr="000E5E0E">
        <w:rPr>
          <w:rFonts w:ascii="Arial-BoldMT" w:hAnsi="Arial-BoldMT" w:cs="Arial-BoldMT"/>
          <w:bCs/>
          <w:sz w:val="24"/>
          <w:szCs w:val="24"/>
          <w:lang w:val="en-US" w:eastAsia="zh-CN"/>
        </w:rPr>
        <w:t>both of the Source</w:t>
      </w:r>
      <w:proofErr w:type="gramEnd"/>
      <w:r w:rsidRPr="000E5E0E">
        <w:rPr>
          <w:rFonts w:ascii="Arial-BoldMT" w:hAnsi="Arial-BoldMT" w:cs="Arial-BoldMT"/>
          <w:bCs/>
          <w:sz w:val="24"/>
          <w:szCs w:val="24"/>
          <w:lang w:val="en-US" w:eastAsia="zh-CN"/>
        </w:rPr>
        <w:t xml:space="preserve"> AID and Destination AID subfields in the corresponding Allocation field to 0.</w:t>
      </w:r>
    </w:p>
    <w:p w14:paraId="4588B588"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28A8F833"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If an Extended Schedule element includes at least one TDD SP, a DMG PCP or DMG AP shall include the Extended Schedule element in each transmitted DMG Beacon frame.</w:t>
      </w:r>
    </w:p>
    <w:p w14:paraId="7546958A"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2FE3C73F" w14:textId="628A5D84"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The structure of TDD SP is shown in Figure </w:t>
      </w:r>
      <w:r w:rsidR="00EC0E70">
        <w:rPr>
          <w:rFonts w:ascii="Arial-BoldMT" w:hAnsi="Arial-BoldMT" w:cs="Arial-BoldMT"/>
          <w:bCs/>
          <w:sz w:val="24"/>
          <w:szCs w:val="24"/>
          <w:lang w:val="en-US" w:eastAsia="zh-CN"/>
        </w:rPr>
        <w:t>89</w:t>
      </w:r>
      <w:r w:rsidRPr="000E5E0E">
        <w:rPr>
          <w:rFonts w:ascii="Arial-BoldMT" w:hAnsi="Arial-BoldMT" w:cs="Arial-BoldMT"/>
          <w:bCs/>
          <w:sz w:val="24"/>
          <w:szCs w:val="24"/>
          <w:lang w:val="en-US" w:eastAsia="zh-CN"/>
        </w:rPr>
        <w:t xml:space="preserve">. A TDD SP consists of one or more consecutive identical TDD intervals. A TDD interval comprises one or more TDD slot. </w:t>
      </w:r>
    </w:p>
    <w:p w14:paraId="505F75F5"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93D0913"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object w:dxaOrig="10081" w:dyaOrig="5677" w14:anchorId="5F5BD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263.7pt" o:ole="">
            <v:imagedata r:id="rId8" o:title=""/>
          </v:shape>
          <o:OLEObject Type="Embed" ProgID="Visio.Drawing.15" ShapeID="_x0000_i1025" DrawAspect="Content" ObjectID="_1577522871" r:id="rId9"/>
        </w:object>
      </w:r>
    </w:p>
    <w:p w14:paraId="35920C46" w14:textId="4569BCCB" w:rsidR="000E5E0E" w:rsidRPr="000E5E0E" w:rsidRDefault="000E5E0E" w:rsidP="000E5E0E">
      <w:pPr>
        <w:widowControl w:val="0"/>
        <w:autoSpaceDE w:val="0"/>
        <w:autoSpaceDN w:val="0"/>
        <w:adjustRightInd w:val="0"/>
        <w:jc w:val="center"/>
        <w:outlineLvl w:val="0"/>
        <w:rPr>
          <w:rFonts w:ascii="Arial-BoldMT" w:hAnsi="Arial-BoldMT" w:cs="Arial-BoldMT" w:hint="eastAsia"/>
          <w:bCs/>
          <w:sz w:val="24"/>
          <w:szCs w:val="24"/>
          <w:lang w:val="en-US" w:eastAsia="zh-CN"/>
        </w:rPr>
      </w:pPr>
      <w:r w:rsidRPr="000E5E0E">
        <w:rPr>
          <w:rFonts w:ascii="Arial-BoldMT" w:hAnsi="Arial-BoldMT" w:cs="Arial-BoldMT" w:hint="eastAsia"/>
          <w:b/>
          <w:bCs/>
          <w:sz w:val="20"/>
          <w:lang w:val="en-US" w:eastAsia="zh-CN"/>
        </w:rPr>
        <w:t>Figure</w:t>
      </w:r>
      <w:r w:rsidRPr="000E5E0E">
        <w:rPr>
          <w:rFonts w:ascii="Arial-BoldMT" w:hAnsi="Arial-BoldMT" w:cs="Arial-BoldMT"/>
          <w:b/>
          <w:bCs/>
          <w:sz w:val="20"/>
          <w:lang w:val="en-US" w:eastAsia="zh-CN"/>
        </w:rPr>
        <w:t xml:space="preserve"> </w:t>
      </w:r>
      <w:r w:rsidR="00EC0E70">
        <w:rPr>
          <w:rFonts w:ascii="Arial-BoldMT" w:hAnsi="Arial-BoldMT" w:cs="Arial-BoldMT"/>
          <w:b/>
          <w:bCs/>
          <w:sz w:val="20"/>
          <w:lang w:val="en-US" w:eastAsia="zh-CN"/>
        </w:rPr>
        <w:t>89</w:t>
      </w:r>
      <w:r w:rsidRPr="000E5E0E">
        <w:rPr>
          <w:rFonts w:ascii="Arial-BoldMT" w:hAnsi="Arial-BoldMT" w:cs="Arial-BoldMT"/>
          <w:b/>
          <w:bCs/>
          <w:sz w:val="20"/>
          <w:lang w:val="en-US" w:eastAsia="zh-CN"/>
        </w:rPr>
        <w:t>---Example of TDD SP</w:t>
      </w:r>
    </w:p>
    <w:p w14:paraId="3EEDA256"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3D798CF7" w14:textId="4799CD1E"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The parameters of the TDD structure and guard times that are used within a TDD SP are defined by the TDD Slot Structure element</w:t>
      </w:r>
      <w:r w:rsidR="00EC0E70">
        <w:rPr>
          <w:rFonts w:ascii="Arial-BoldMT" w:hAnsi="Arial-BoldMT" w:cs="Arial-BoldMT"/>
          <w:bCs/>
          <w:sz w:val="24"/>
          <w:szCs w:val="24"/>
          <w:lang w:val="en-US" w:eastAsia="zh-CN"/>
        </w:rPr>
        <w:t>.</w:t>
      </w:r>
      <w:r w:rsidRPr="000E5E0E">
        <w:rPr>
          <w:rFonts w:ascii="Arial-BoldMT" w:hAnsi="Arial-BoldMT" w:cs="Arial-BoldMT"/>
          <w:bCs/>
          <w:sz w:val="24"/>
          <w:szCs w:val="24"/>
          <w:lang w:val="en-US" w:eastAsia="zh-CN"/>
        </w:rPr>
        <w:t xml:space="preserve"> A DMG AP or DMG PCP shall transmit a TDD Slot Structure element to each DMG STA that is expected to transmit or receive during a TDD SP. The TDD Slot Structure element may be included in DMG Beacon or Announce frames transmitted by the DMG AP or DMG PCP.</w:t>
      </w:r>
    </w:p>
    <w:p w14:paraId="7B21C3C2"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595FD61F"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A DMG STA shall not transmit during a TDD SP unless it receives a TDD Slot Schedule element that indicates it is assigned to at least one TDD slot within the TDD SP by the DMG</w:t>
      </w:r>
      <w:r w:rsidRPr="000E5E0E">
        <w:rPr>
          <w:rFonts w:ascii="Arial-BoldMT" w:hAnsi="Arial-BoldMT" w:cs="Arial-BoldMT" w:hint="eastAsia"/>
          <w:bCs/>
          <w:sz w:val="24"/>
          <w:szCs w:val="24"/>
          <w:lang w:val="en-US" w:eastAsia="zh-CN"/>
        </w:rPr>
        <w:t xml:space="preserve"> AP</w:t>
      </w:r>
      <w:r w:rsidRPr="000E5E0E">
        <w:rPr>
          <w:rFonts w:ascii="Arial-BoldMT" w:hAnsi="Arial-BoldMT" w:cs="Arial-BoldMT"/>
          <w:bCs/>
          <w:sz w:val="24"/>
          <w:szCs w:val="24"/>
          <w:lang w:val="en-US" w:eastAsia="zh-CN"/>
        </w:rPr>
        <w:t xml:space="preserve"> or DMG PCP.  The DMG AP or DMG PCP shall transmit the TDD Slot Schedule element to each DMG STA that is assigned to access the TDD SP through an Announce frame or Association Response frame before the time indicated by the value of the Slot Schedule Start Time within the element. Upon reception of a TDD Slot Schedule element, a DMG STA shall adopt the schedule within the element at the time indicated by the value of the Slot Schedule Start Time subfield within the element.</w:t>
      </w:r>
    </w:p>
    <w:p w14:paraId="4CA64BC9"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22B646C5"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The type of a TDD slot can be one of simplex TX, simplex RX or unassigned. Except for an unassigned TDD slot where no transmissions shall occur, the behavior of a DMG AP or DMG PCP in a TDD slot is different from the behavior of a non-AP and non-PCP STA depending if the TDD slot is simplex TX or simplex RX:</w:t>
      </w:r>
    </w:p>
    <w:p w14:paraId="45C5CADC" w14:textId="77777777" w:rsidR="000E5E0E" w:rsidRPr="000E5E0E" w:rsidRDefault="000E5E0E" w:rsidP="000E5E0E">
      <w:pPr>
        <w:pStyle w:val="ListParagraph"/>
        <w:widowControl w:val="0"/>
        <w:numPr>
          <w:ilvl w:val="0"/>
          <w:numId w:val="24"/>
        </w:numPr>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At the start of a simplex TX TDD slot, the DMG AP or DMG PCP should initiate transmissions addressed to the non-AP and non-PCP STA assigned to the TDD slot, and the non-AP and non-PCP STA that is assigned to this TDD slot shall be beamformed towards the AP or PCP and remain in the receive state for the duration of the TDD slot </w:t>
      </w:r>
      <w:proofErr w:type="gramStart"/>
      <w:r w:rsidRPr="000E5E0E">
        <w:rPr>
          <w:rFonts w:ascii="Arial-BoldMT" w:hAnsi="Arial-BoldMT" w:cs="Arial-BoldMT"/>
          <w:bCs/>
          <w:sz w:val="24"/>
          <w:szCs w:val="24"/>
          <w:lang w:val="en-US" w:eastAsia="zh-CN"/>
        </w:rPr>
        <w:t>in order to</w:t>
      </w:r>
      <w:proofErr w:type="gramEnd"/>
      <w:r w:rsidRPr="000E5E0E">
        <w:rPr>
          <w:rFonts w:ascii="Arial-BoldMT" w:hAnsi="Arial-BoldMT" w:cs="Arial-BoldMT"/>
          <w:bCs/>
          <w:sz w:val="24"/>
          <w:szCs w:val="24"/>
          <w:lang w:val="en-US" w:eastAsia="zh-CN"/>
        </w:rPr>
        <w:t xml:space="preserve"> receive transmissions from the AP or PCP. </w:t>
      </w:r>
    </w:p>
    <w:p w14:paraId="500424D9" w14:textId="77777777" w:rsidR="000E5E0E" w:rsidRPr="000E5E0E" w:rsidRDefault="000E5E0E" w:rsidP="000E5E0E">
      <w:pPr>
        <w:pStyle w:val="ListParagraph"/>
        <w:widowControl w:val="0"/>
        <w:numPr>
          <w:ilvl w:val="0"/>
          <w:numId w:val="24"/>
        </w:numPr>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At the start of a simplex RX TDD slot, a non-AP and non-PCP STA that is assigned to the TDD slot shall initiate transmissions addressed to the AP or PCP, and the DMG AP or DMG PCP shall be beamformed towards the assigned STA and remain in receive state for the duration of the TDD slot </w:t>
      </w:r>
      <w:proofErr w:type="gramStart"/>
      <w:r w:rsidRPr="000E5E0E">
        <w:rPr>
          <w:rFonts w:ascii="Arial-BoldMT" w:hAnsi="Arial-BoldMT" w:cs="Arial-BoldMT"/>
          <w:bCs/>
          <w:sz w:val="24"/>
          <w:szCs w:val="24"/>
          <w:lang w:val="en-US" w:eastAsia="zh-CN"/>
        </w:rPr>
        <w:t>in order to</w:t>
      </w:r>
      <w:proofErr w:type="gramEnd"/>
      <w:r w:rsidRPr="000E5E0E">
        <w:rPr>
          <w:rFonts w:ascii="Arial-BoldMT" w:hAnsi="Arial-BoldMT" w:cs="Arial-BoldMT"/>
          <w:bCs/>
          <w:sz w:val="24"/>
          <w:szCs w:val="24"/>
          <w:lang w:val="en-US" w:eastAsia="zh-CN"/>
        </w:rPr>
        <w:t xml:space="preserve"> receive transmissions from the STA.</w:t>
      </w:r>
    </w:p>
    <w:p w14:paraId="4A068B3F"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818D7BC"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6C193E0E" w14:textId="26154125"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Adjacent TDD slots shall be separated in time by the guard times identified in Figure </w:t>
      </w:r>
      <w:r w:rsidR="00EC0E70">
        <w:rPr>
          <w:rFonts w:ascii="Arial-BoldMT" w:hAnsi="Arial-BoldMT" w:cs="Arial-BoldMT"/>
          <w:bCs/>
          <w:sz w:val="24"/>
          <w:szCs w:val="24"/>
          <w:lang w:val="en-US" w:eastAsia="zh-CN"/>
        </w:rPr>
        <w:t>89</w:t>
      </w:r>
      <w:r w:rsidRPr="000E5E0E">
        <w:rPr>
          <w:rFonts w:ascii="Arial-BoldMT" w:hAnsi="Arial-BoldMT" w:cs="Arial-BoldMT"/>
          <w:bCs/>
          <w:sz w:val="24"/>
          <w:szCs w:val="24"/>
          <w:lang w:val="en-US" w:eastAsia="zh-CN"/>
        </w:rPr>
        <w:t xml:space="preserve"> and defined in the TDD Slot Structure element.</w:t>
      </w:r>
    </w:p>
    <w:p w14:paraId="1F6E9B8B" w14:textId="1AFD12F7" w:rsid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19ECA45F" w14:textId="66AA8C36" w:rsidR="00112DC6" w:rsidRPr="00476830" w:rsidRDefault="00CD45C5" w:rsidP="00934BFC">
      <w:pPr>
        <w:widowControl w:val="0"/>
        <w:autoSpaceDE w:val="0"/>
        <w:autoSpaceDN w:val="0"/>
        <w:adjustRightInd w:val="0"/>
        <w:jc w:val="both"/>
        <w:rPr>
          <w:rFonts w:ascii="Arial-BoldMT" w:hAnsi="Arial-BoldMT" w:cs="Arial-BoldMT" w:hint="eastAsia"/>
          <w:bCs/>
          <w:sz w:val="24"/>
          <w:szCs w:val="24"/>
          <w:u w:val="single"/>
          <w:lang w:val="en-US" w:eastAsia="zh-CN"/>
        </w:rPr>
      </w:pPr>
      <w:r w:rsidRPr="00476830">
        <w:rPr>
          <w:rFonts w:ascii="Arial-BoldMT" w:hAnsi="Arial-BoldMT" w:cs="Arial-BoldMT"/>
          <w:bCs/>
          <w:color w:val="FF0000"/>
          <w:sz w:val="24"/>
          <w:szCs w:val="24"/>
          <w:u w:val="single"/>
          <w:lang w:val="en-US" w:eastAsia="zh-CN"/>
        </w:rPr>
        <w:t xml:space="preserve">Each TDD </w:t>
      </w:r>
      <w:r w:rsidR="00112DC6" w:rsidRPr="00476830">
        <w:rPr>
          <w:rFonts w:ascii="Arial-BoldMT" w:hAnsi="Arial-BoldMT" w:cs="Arial-BoldMT"/>
          <w:bCs/>
          <w:color w:val="FF0000"/>
          <w:sz w:val="24"/>
          <w:szCs w:val="24"/>
          <w:u w:val="single"/>
          <w:lang w:val="en-US" w:eastAsia="zh-CN"/>
        </w:rPr>
        <w:t xml:space="preserve">slot has one slot category, namely, a Basic TDD </w:t>
      </w:r>
      <w:r w:rsidR="001036EA">
        <w:rPr>
          <w:rFonts w:ascii="Arial-BoldMT" w:hAnsi="Arial-BoldMT" w:cs="Arial-BoldMT"/>
          <w:bCs/>
          <w:color w:val="FF0000"/>
          <w:sz w:val="24"/>
          <w:szCs w:val="24"/>
          <w:u w:val="single"/>
          <w:lang w:val="en-US" w:eastAsia="zh-CN"/>
        </w:rPr>
        <w:t>s</w:t>
      </w:r>
      <w:r w:rsidR="00112DC6" w:rsidRPr="00476830">
        <w:rPr>
          <w:rFonts w:ascii="Arial-BoldMT" w:hAnsi="Arial-BoldMT" w:cs="Arial-BoldMT"/>
          <w:bCs/>
          <w:color w:val="FF0000"/>
          <w:sz w:val="24"/>
          <w:szCs w:val="24"/>
          <w:u w:val="single"/>
          <w:lang w:val="en-US" w:eastAsia="zh-CN"/>
        </w:rPr>
        <w:t xml:space="preserve">lot or a Data-only TDD </w:t>
      </w:r>
      <w:r w:rsidR="001036EA">
        <w:rPr>
          <w:rFonts w:ascii="Arial-BoldMT" w:hAnsi="Arial-BoldMT" w:cs="Arial-BoldMT"/>
          <w:bCs/>
          <w:color w:val="FF0000"/>
          <w:sz w:val="24"/>
          <w:szCs w:val="24"/>
          <w:u w:val="single"/>
          <w:lang w:val="en-US" w:eastAsia="zh-CN"/>
        </w:rPr>
        <w:t>s</w:t>
      </w:r>
      <w:r w:rsidR="00112DC6" w:rsidRPr="00476830">
        <w:rPr>
          <w:rFonts w:ascii="Arial-BoldMT" w:hAnsi="Arial-BoldMT" w:cs="Arial-BoldMT"/>
          <w:bCs/>
          <w:color w:val="FF0000"/>
          <w:sz w:val="24"/>
          <w:szCs w:val="24"/>
          <w:u w:val="single"/>
          <w:lang w:val="en-US" w:eastAsia="zh-CN"/>
        </w:rPr>
        <w:t xml:space="preserve">lot. </w:t>
      </w:r>
      <w:r w:rsidR="00476830" w:rsidRPr="00476830">
        <w:rPr>
          <w:rFonts w:ascii="Arial-BoldMT" w:hAnsi="Arial-BoldMT" w:cs="Arial-BoldMT"/>
          <w:bCs/>
          <w:color w:val="FF0000"/>
          <w:sz w:val="24"/>
          <w:szCs w:val="24"/>
          <w:u w:val="single"/>
          <w:lang w:val="en-US" w:eastAsia="zh-CN"/>
        </w:rPr>
        <w:t>In a</w:t>
      </w:r>
      <w:r w:rsidR="00112DC6" w:rsidRPr="00476830">
        <w:rPr>
          <w:rFonts w:ascii="Arial-BoldMT" w:hAnsi="Arial-BoldMT" w:cs="Arial-BoldMT"/>
          <w:bCs/>
          <w:color w:val="FF0000"/>
          <w:sz w:val="24"/>
          <w:szCs w:val="24"/>
          <w:u w:val="single"/>
          <w:lang w:val="en-US" w:eastAsia="zh-CN"/>
        </w:rPr>
        <w:t xml:space="preserve"> Basic TDD </w:t>
      </w:r>
      <w:r w:rsidR="001036EA">
        <w:rPr>
          <w:rFonts w:ascii="Arial-BoldMT" w:hAnsi="Arial-BoldMT" w:cs="Arial-BoldMT"/>
          <w:bCs/>
          <w:color w:val="FF0000"/>
          <w:sz w:val="24"/>
          <w:szCs w:val="24"/>
          <w:u w:val="single"/>
          <w:lang w:val="en-US" w:eastAsia="zh-CN"/>
        </w:rPr>
        <w:t>s</w:t>
      </w:r>
      <w:r w:rsidR="00112DC6" w:rsidRPr="00476830">
        <w:rPr>
          <w:rFonts w:ascii="Arial-BoldMT" w:hAnsi="Arial-BoldMT" w:cs="Arial-BoldMT"/>
          <w:bCs/>
          <w:color w:val="FF0000"/>
          <w:sz w:val="24"/>
          <w:szCs w:val="24"/>
          <w:u w:val="single"/>
          <w:lang w:val="en-US" w:eastAsia="zh-CN"/>
        </w:rPr>
        <w:t>lot</w:t>
      </w:r>
      <w:r w:rsidR="00476830" w:rsidRPr="00476830">
        <w:rPr>
          <w:rFonts w:ascii="Arial-BoldMT" w:hAnsi="Arial-BoldMT" w:cs="Arial-BoldMT"/>
          <w:bCs/>
          <w:color w:val="FF0000"/>
          <w:sz w:val="24"/>
          <w:szCs w:val="24"/>
          <w:u w:val="single"/>
          <w:lang w:val="en-US" w:eastAsia="zh-CN"/>
        </w:rPr>
        <w:t xml:space="preserve"> the</w:t>
      </w:r>
      <w:r w:rsidR="00112DC6" w:rsidRPr="00476830">
        <w:rPr>
          <w:rFonts w:ascii="Arial-BoldMT" w:hAnsi="Arial-BoldMT" w:cs="Arial-BoldMT"/>
          <w:bCs/>
          <w:color w:val="FF0000"/>
          <w:sz w:val="24"/>
          <w:szCs w:val="24"/>
          <w:u w:val="single"/>
          <w:lang w:val="en-US" w:eastAsia="zh-CN"/>
        </w:rPr>
        <w:t xml:space="preserve"> transmission of all frame types defined in</w:t>
      </w:r>
      <w:r w:rsidR="00476830" w:rsidRPr="00476830">
        <w:rPr>
          <w:rFonts w:ascii="Arial-BoldMT" w:hAnsi="Arial-BoldMT" w:cs="Arial-BoldMT"/>
          <w:bCs/>
          <w:color w:val="FF0000"/>
          <w:sz w:val="24"/>
          <w:szCs w:val="24"/>
          <w:u w:val="single"/>
          <w:lang w:val="en-US" w:eastAsia="zh-CN"/>
        </w:rPr>
        <w:t xml:space="preserve"> 9.2.4.1.3 (Type and Subtype subfields) shall be allowed</w:t>
      </w:r>
      <w:r w:rsidR="00112DC6" w:rsidRPr="00476830">
        <w:rPr>
          <w:rFonts w:ascii="Arial-BoldMT" w:hAnsi="Arial-BoldMT" w:cs="Arial-BoldMT"/>
          <w:bCs/>
          <w:color w:val="FF0000"/>
          <w:sz w:val="24"/>
          <w:szCs w:val="24"/>
          <w:u w:val="single"/>
          <w:lang w:val="en-US" w:eastAsia="zh-CN"/>
        </w:rPr>
        <w:t xml:space="preserve">. </w:t>
      </w:r>
      <w:r w:rsidR="00476830">
        <w:rPr>
          <w:rFonts w:ascii="Arial-BoldMT" w:hAnsi="Arial-BoldMT" w:cs="Arial-BoldMT"/>
          <w:bCs/>
          <w:color w:val="FF0000"/>
          <w:sz w:val="24"/>
          <w:szCs w:val="24"/>
          <w:u w:val="single"/>
          <w:lang w:val="en-US" w:eastAsia="zh-CN"/>
        </w:rPr>
        <w:t xml:space="preserve">In a Basic TDD </w:t>
      </w:r>
      <w:r w:rsidR="001036EA">
        <w:rPr>
          <w:rFonts w:ascii="Arial-BoldMT" w:hAnsi="Arial-BoldMT" w:cs="Arial-BoldMT"/>
          <w:bCs/>
          <w:color w:val="FF0000"/>
          <w:sz w:val="24"/>
          <w:szCs w:val="24"/>
          <w:u w:val="single"/>
          <w:lang w:val="en-US" w:eastAsia="zh-CN"/>
        </w:rPr>
        <w:t>s</w:t>
      </w:r>
      <w:r w:rsidR="00476830">
        <w:rPr>
          <w:rFonts w:ascii="Arial-BoldMT" w:hAnsi="Arial-BoldMT" w:cs="Arial-BoldMT"/>
          <w:bCs/>
          <w:color w:val="FF0000"/>
          <w:sz w:val="24"/>
          <w:szCs w:val="24"/>
          <w:u w:val="single"/>
          <w:lang w:val="en-US" w:eastAsia="zh-CN"/>
        </w:rPr>
        <w:t>lot</w:t>
      </w:r>
      <w:r w:rsidR="00934BFC">
        <w:rPr>
          <w:rFonts w:ascii="Arial-BoldMT" w:hAnsi="Arial-BoldMT" w:cs="Arial-BoldMT"/>
          <w:bCs/>
          <w:color w:val="FF0000"/>
          <w:sz w:val="24"/>
          <w:szCs w:val="24"/>
          <w:u w:val="single"/>
          <w:lang w:val="en-US" w:eastAsia="zh-CN"/>
        </w:rPr>
        <w:t xml:space="preserve"> the transmission of a Control frame and a Management frame should be given priority over transmission of </w:t>
      </w:r>
      <w:r w:rsidR="001F54F9">
        <w:rPr>
          <w:rFonts w:ascii="Arial-BoldMT" w:hAnsi="Arial-BoldMT" w:cs="Arial-BoldMT"/>
          <w:bCs/>
          <w:color w:val="FF0000"/>
          <w:sz w:val="24"/>
          <w:szCs w:val="24"/>
          <w:u w:val="single"/>
          <w:lang w:val="en-US" w:eastAsia="zh-CN"/>
        </w:rPr>
        <w:t>other frame types</w:t>
      </w:r>
      <w:r w:rsidR="00934BFC">
        <w:rPr>
          <w:rFonts w:ascii="Arial-BoldMT" w:hAnsi="Arial-BoldMT" w:cs="Arial-BoldMT"/>
          <w:bCs/>
          <w:color w:val="FF0000"/>
          <w:sz w:val="24"/>
          <w:szCs w:val="24"/>
          <w:u w:val="single"/>
          <w:lang w:val="en-US" w:eastAsia="zh-CN"/>
        </w:rPr>
        <w:t xml:space="preserve">. </w:t>
      </w:r>
      <w:r w:rsidR="00112DC6" w:rsidRPr="00476830">
        <w:rPr>
          <w:rFonts w:ascii="Arial-BoldMT" w:hAnsi="Arial-BoldMT" w:cs="Arial-BoldMT"/>
          <w:bCs/>
          <w:color w:val="FF0000"/>
          <w:sz w:val="24"/>
          <w:szCs w:val="24"/>
          <w:u w:val="single"/>
          <w:lang w:val="en-US" w:eastAsia="zh-CN"/>
        </w:rPr>
        <w:t xml:space="preserve">In a </w:t>
      </w:r>
      <w:r w:rsidR="001036EA">
        <w:rPr>
          <w:rFonts w:ascii="Arial-BoldMT" w:hAnsi="Arial-BoldMT" w:cs="Arial-BoldMT"/>
          <w:bCs/>
          <w:color w:val="FF0000"/>
          <w:sz w:val="24"/>
          <w:szCs w:val="24"/>
          <w:u w:val="single"/>
          <w:lang w:val="en-US" w:eastAsia="zh-CN"/>
        </w:rPr>
        <w:t>Data-only TDD s</w:t>
      </w:r>
      <w:r w:rsidR="00112DC6" w:rsidRPr="00476830">
        <w:rPr>
          <w:rFonts w:ascii="Arial-BoldMT" w:hAnsi="Arial-BoldMT" w:cs="Arial-BoldMT"/>
          <w:bCs/>
          <w:color w:val="FF0000"/>
          <w:sz w:val="24"/>
          <w:szCs w:val="24"/>
          <w:u w:val="single"/>
          <w:lang w:val="en-US" w:eastAsia="zh-CN"/>
        </w:rPr>
        <w:t>lot</w:t>
      </w:r>
      <w:r w:rsidR="001F54F9">
        <w:rPr>
          <w:rFonts w:ascii="Arial-BoldMT" w:hAnsi="Arial-BoldMT" w:cs="Arial-BoldMT"/>
          <w:bCs/>
          <w:color w:val="FF0000"/>
          <w:sz w:val="24"/>
          <w:szCs w:val="24"/>
          <w:u w:val="single"/>
          <w:lang w:val="en-US" w:eastAsia="zh-CN"/>
        </w:rPr>
        <w:t>,</w:t>
      </w:r>
      <w:r w:rsidR="00112DC6" w:rsidRPr="00476830">
        <w:rPr>
          <w:rFonts w:ascii="Arial-BoldMT" w:hAnsi="Arial-BoldMT" w:cs="Arial-BoldMT"/>
          <w:bCs/>
          <w:color w:val="FF0000"/>
          <w:sz w:val="24"/>
          <w:szCs w:val="24"/>
          <w:u w:val="single"/>
          <w:lang w:val="en-US" w:eastAsia="zh-CN"/>
        </w:rPr>
        <w:t xml:space="preserve"> </w:t>
      </w:r>
      <w:r w:rsidR="00476830" w:rsidRPr="00476830">
        <w:rPr>
          <w:rFonts w:ascii="Arial-BoldMT" w:hAnsi="Arial-BoldMT" w:cs="Arial-BoldMT"/>
          <w:bCs/>
          <w:color w:val="FF0000"/>
          <w:sz w:val="24"/>
          <w:szCs w:val="24"/>
          <w:u w:val="single"/>
          <w:lang w:val="en-US" w:eastAsia="zh-CN"/>
        </w:rPr>
        <w:t xml:space="preserve">only </w:t>
      </w:r>
      <w:r w:rsidR="00112DC6" w:rsidRPr="00476830">
        <w:rPr>
          <w:rFonts w:ascii="Arial-BoldMT" w:hAnsi="Arial-BoldMT" w:cs="Arial-BoldMT"/>
          <w:bCs/>
          <w:color w:val="FF0000"/>
          <w:sz w:val="24"/>
          <w:szCs w:val="24"/>
          <w:u w:val="single"/>
          <w:lang w:val="en-US" w:eastAsia="zh-CN"/>
        </w:rPr>
        <w:t>Data frame</w:t>
      </w:r>
      <w:r w:rsidR="001F54F9">
        <w:rPr>
          <w:rFonts w:ascii="Arial-BoldMT" w:hAnsi="Arial-BoldMT" w:cs="Arial-BoldMT"/>
          <w:bCs/>
          <w:color w:val="FF0000"/>
          <w:sz w:val="24"/>
          <w:szCs w:val="24"/>
          <w:u w:val="single"/>
          <w:lang w:val="en-US" w:eastAsia="zh-CN"/>
        </w:rPr>
        <w:t>s</w:t>
      </w:r>
      <w:r w:rsidR="00476830" w:rsidRPr="00476830">
        <w:rPr>
          <w:rFonts w:ascii="Arial-BoldMT" w:hAnsi="Arial-BoldMT" w:cs="Arial-BoldMT"/>
          <w:bCs/>
          <w:color w:val="FF0000"/>
          <w:sz w:val="24"/>
          <w:szCs w:val="24"/>
          <w:u w:val="single"/>
          <w:lang w:val="en-US" w:eastAsia="zh-CN"/>
        </w:rPr>
        <w:t xml:space="preserve"> shall be allowed. </w:t>
      </w:r>
    </w:p>
    <w:p w14:paraId="36F973FB"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151F218" w14:textId="037BD4FD"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The reverse direction protocol</w:t>
      </w:r>
      <w:r w:rsidR="00EC0E70">
        <w:rPr>
          <w:rFonts w:ascii="Arial-BoldMT" w:hAnsi="Arial-BoldMT" w:cs="Arial-BoldMT"/>
          <w:bCs/>
          <w:sz w:val="24"/>
          <w:szCs w:val="24"/>
          <w:lang w:val="en-US" w:eastAsia="zh-CN"/>
        </w:rPr>
        <w:t xml:space="preserve"> (see 10.28)</w:t>
      </w:r>
      <w:r w:rsidRPr="000E5E0E">
        <w:rPr>
          <w:rFonts w:ascii="Arial-BoldMT" w:hAnsi="Arial-BoldMT" w:cs="Arial-BoldMT"/>
          <w:bCs/>
          <w:sz w:val="24"/>
          <w:szCs w:val="24"/>
          <w:lang w:val="en-US" w:eastAsia="zh-CN"/>
        </w:rPr>
        <w:t xml:space="preserve"> shall not be used in a TDD SP.</w:t>
      </w:r>
    </w:p>
    <w:p w14:paraId="2D1A2B3A" w14:textId="512CD3F2" w:rsidR="007C31D4" w:rsidRPr="0017173E" w:rsidRDefault="007C31D4"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Pr>
          <w:rFonts w:ascii="Arial-BoldMT" w:hAnsi="Arial-BoldMT" w:cs="Arial-BoldMT"/>
          <w:bCs/>
          <w:sz w:val="24"/>
          <w:szCs w:val="24"/>
          <w:lang w:val="en-US" w:eastAsia="zh-CN"/>
        </w:rPr>
        <w:br/>
      </w:r>
      <w:r w:rsidRPr="0017173E">
        <w:rPr>
          <w:rFonts w:ascii="Arial-BoldMT" w:hAnsi="Arial-BoldMT" w:cs="Arial-BoldMT"/>
          <w:bCs/>
          <w:color w:val="FF0000"/>
          <w:sz w:val="24"/>
          <w:szCs w:val="24"/>
          <w:u w:val="single"/>
          <w:lang w:val="en-US" w:eastAsia="zh-CN"/>
        </w:rPr>
        <w:t xml:space="preserve">A DMG STA operating in </w:t>
      </w:r>
      <w:r w:rsidR="001A1C9E" w:rsidRPr="0017173E">
        <w:rPr>
          <w:rFonts w:ascii="Arial-BoldMT" w:hAnsi="Arial-BoldMT" w:cs="Arial-BoldMT"/>
          <w:bCs/>
          <w:color w:val="FF0000"/>
          <w:sz w:val="24"/>
          <w:szCs w:val="24"/>
          <w:u w:val="single"/>
          <w:lang w:val="en-US" w:eastAsia="zh-CN"/>
        </w:rPr>
        <w:t xml:space="preserve">a TDD </w:t>
      </w:r>
      <w:r w:rsidR="00325630">
        <w:rPr>
          <w:rFonts w:ascii="Arial-BoldMT" w:hAnsi="Arial-BoldMT" w:cs="Arial-BoldMT"/>
          <w:bCs/>
          <w:color w:val="FF0000"/>
          <w:sz w:val="24"/>
          <w:szCs w:val="24"/>
          <w:u w:val="single"/>
          <w:lang w:val="en-US" w:eastAsia="zh-CN"/>
        </w:rPr>
        <w:t>slot</w:t>
      </w:r>
      <w:r w:rsidRPr="0017173E">
        <w:rPr>
          <w:rFonts w:ascii="Arial-BoldMT" w:hAnsi="Arial-BoldMT" w:cs="Arial-BoldMT"/>
          <w:bCs/>
          <w:color w:val="FF0000"/>
          <w:sz w:val="24"/>
          <w:szCs w:val="24"/>
          <w:u w:val="single"/>
          <w:lang w:val="en-US" w:eastAsia="zh-CN"/>
        </w:rPr>
        <w:t xml:space="preserve">, shall not transmit </w:t>
      </w:r>
      <w:r w:rsidR="008377BD" w:rsidRPr="0017173E">
        <w:rPr>
          <w:rFonts w:ascii="Arial-BoldMT" w:hAnsi="Arial-BoldMT" w:cs="Arial-BoldMT"/>
          <w:bCs/>
          <w:color w:val="FF0000"/>
          <w:sz w:val="24"/>
          <w:szCs w:val="24"/>
          <w:u w:val="single"/>
          <w:lang w:val="en-US" w:eastAsia="zh-CN"/>
        </w:rPr>
        <w:t xml:space="preserve">following </w:t>
      </w:r>
      <w:r w:rsidRPr="0017173E">
        <w:rPr>
          <w:rFonts w:ascii="Arial-BoldMT" w:hAnsi="Arial-BoldMT" w:cs="Arial-BoldMT"/>
          <w:bCs/>
          <w:color w:val="FF0000"/>
          <w:sz w:val="24"/>
          <w:szCs w:val="24"/>
          <w:u w:val="single"/>
          <w:lang w:val="en-US" w:eastAsia="zh-CN"/>
        </w:rPr>
        <w:t xml:space="preserve">frames </w:t>
      </w:r>
      <w:r w:rsidR="008377BD" w:rsidRPr="0017173E">
        <w:rPr>
          <w:rFonts w:ascii="Arial-BoldMT" w:hAnsi="Arial-BoldMT" w:cs="Arial-BoldMT"/>
          <w:bCs/>
          <w:color w:val="FF0000"/>
          <w:sz w:val="24"/>
          <w:szCs w:val="24"/>
          <w:u w:val="single"/>
          <w:lang w:val="en-US" w:eastAsia="zh-CN"/>
        </w:rPr>
        <w:t>of type Control:</w:t>
      </w:r>
    </w:p>
    <w:p w14:paraId="053C1356" w14:textId="38CF3BD5"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Grant</w:t>
      </w:r>
    </w:p>
    <w:p w14:paraId="013727A2" w14:textId="1A9ED697"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Grant Ack</w:t>
      </w:r>
    </w:p>
    <w:p w14:paraId="5A9B11E1" w14:textId="315582FF"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Poll</w:t>
      </w:r>
    </w:p>
    <w:p w14:paraId="388F46F4" w14:textId="2DDE0A7C"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RTS</w:t>
      </w:r>
    </w:p>
    <w:p w14:paraId="3A44FCF5" w14:textId="28FECC4A"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SPR</w:t>
      </w:r>
    </w:p>
    <w:p w14:paraId="51EFE875" w14:textId="2DC85D1E"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DMG CTS</w:t>
      </w:r>
    </w:p>
    <w:p w14:paraId="7AA919B8" w14:textId="74716CD0"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DMG DTS</w:t>
      </w:r>
    </w:p>
    <w:p w14:paraId="3E6867EA" w14:textId="1D1A68C3" w:rsidR="008377BD"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CF-End</w:t>
      </w:r>
    </w:p>
    <w:p w14:paraId="1931D536" w14:textId="77777777" w:rsidR="008377BD" w:rsidRPr="00F9318D"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p>
    <w:p w14:paraId="35D33F27" w14:textId="3D55D871" w:rsidR="001A1C9E" w:rsidRPr="004A5510" w:rsidRDefault="001A1C9E" w:rsidP="000E5E0E">
      <w:pPr>
        <w:widowControl w:val="0"/>
        <w:autoSpaceDE w:val="0"/>
        <w:autoSpaceDN w:val="0"/>
        <w:adjustRightInd w:val="0"/>
        <w:rPr>
          <w:rFonts w:ascii="Arial-BoldMT" w:hAnsi="Arial-BoldMT" w:cs="Arial-BoldMT" w:hint="eastAsia"/>
          <w:bCs/>
          <w:sz w:val="24"/>
          <w:szCs w:val="24"/>
          <w:u w:val="single"/>
          <w:lang w:val="en-US" w:eastAsia="zh-CN"/>
        </w:rPr>
      </w:pPr>
      <w:r w:rsidRPr="004A5510">
        <w:rPr>
          <w:rFonts w:ascii="Arial-BoldMT" w:hAnsi="Arial-BoldMT" w:cs="Arial-BoldMT"/>
          <w:bCs/>
          <w:color w:val="FF0000"/>
          <w:sz w:val="24"/>
          <w:szCs w:val="24"/>
          <w:u w:val="single"/>
          <w:lang w:val="en-US" w:eastAsia="zh-CN"/>
        </w:rPr>
        <w:t xml:space="preserve">NOTE: DMG CTS-to-self frame transmission is not prohibited in a TDD </w:t>
      </w:r>
      <w:r w:rsidR="00325630">
        <w:rPr>
          <w:rFonts w:ascii="Arial-BoldMT" w:hAnsi="Arial-BoldMT" w:cs="Arial-BoldMT"/>
          <w:bCs/>
          <w:color w:val="FF0000"/>
          <w:sz w:val="24"/>
          <w:szCs w:val="24"/>
          <w:u w:val="single"/>
          <w:lang w:val="en-US" w:eastAsia="zh-CN"/>
        </w:rPr>
        <w:t>slot.</w:t>
      </w:r>
    </w:p>
    <w:p w14:paraId="604C1970" w14:textId="77777777" w:rsidR="000E5E0E" w:rsidRDefault="000E5E0E" w:rsidP="002E0633">
      <w:pPr>
        <w:widowControl w:val="0"/>
        <w:autoSpaceDE w:val="0"/>
        <w:autoSpaceDN w:val="0"/>
        <w:adjustRightInd w:val="0"/>
        <w:rPr>
          <w:rFonts w:ascii="Arial-BoldMT" w:hAnsi="Arial-BoldMT" w:cs="Arial-BoldMT" w:hint="eastAsia"/>
          <w:b/>
          <w:bCs/>
          <w:color w:val="000000" w:themeColor="text1"/>
          <w:sz w:val="28"/>
          <w:szCs w:val="28"/>
          <w:lang w:val="en-US" w:eastAsia="zh-CN"/>
        </w:rPr>
      </w:pPr>
    </w:p>
    <w:p w14:paraId="159E0A5D" w14:textId="4BDBEE99" w:rsidR="0063701C" w:rsidRPr="00D33A76" w:rsidRDefault="00D33A76" w:rsidP="002E0633">
      <w:pPr>
        <w:widowControl w:val="0"/>
        <w:autoSpaceDE w:val="0"/>
        <w:autoSpaceDN w:val="0"/>
        <w:adjustRightInd w:val="0"/>
        <w:rPr>
          <w:rFonts w:ascii="Arial-BoldMT" w:hAnsi="Arial-BoldMT" w:cs="Arial-BoldMT" w:hint="eastAsia"/>
          <w:b/>
          <w:bCs/>
          <w:sz w:val="24"/>
          <w:szCs w:val="24"/>
          <w:lang w:val="en-US" w:eastAsia="zh-CN"/>
        </w:rPr>
      </w:pPr>
      <w:r w:rsidRPr="00D33A76">
        <w:rPr>
          <w:rFonts w:ascii="Arial-BoldMT" w:hAnsi="Arial-BoldMT" w:cs="Arial-BoldMT"/>
          <w:b/>
          <w:bCs/>
          <w:sz w:val="24"/>
          <w:szCs w:val="24"/>
          <w:lang w:val="en-US" w:eastAsia="zh-CN"/>
        </w:rPr>
        <w:t>9.4.2.</w:t>
      </w:r>
      <w:r w:rsidR="00EC0E70">
        <w:rPr>
          <w:rFonts w:ascii="Arial-BoldMT" w:hAnsi="Arial-BoldMT" w:cs="Arial-BoldMT"/>
          <w:b/>
          <w:bCs/>
          <w:sz w:val="24"/>
          <w:szCs w:val="24"/>
          <w:lang w:val="en-US" w:eastAsia="zh-CN"/>
        </w:rPr>
        <w:t>268</w:t>
      </w:r>
      <w:r w:rsidRPr="00D33A76">
        <w:rPr>
          <w:rFonts w:ascii="Arial-BoldMT" w:hAnsi="Arial-BoldMT" w:cs="Arial-BoldMT"/>
          <w:b/>
          <w:bCs/>
          <w:sz w:val="24"/>
          <w:szCs w:val="24"/>
          <w:lang w:val="en-US" w:eastAsia="zh-CN"/>
        </w:rPr>
        <w:t xml:space="preserve"> TDD Slot Schedule Element</w:t>
      </w:r>
    </w:p>
    <w:p w14:paraId="35D23763"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TDD Slot Schedule element defines the access assignment of DMG STAs to TDD slots within a TDD SP (see 10.36.6.2). The format of the TDD Slot Schedule element is shown in Figure 9-xxx4.</w:t>
      </w:r>
    </w:p>
    <w:p w14:paraId="5CA3A15D"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tbl>
      <w:tblPr>
        <w:tblW w:w="4094" w:type="pct"/>
        <w:jc w:val="center"/>
        <w:tblLook w:val="04A0" w:firstRow="1" w:lastRow="0" w:firstColumn="1" w:lastColumn="0" w:noHBand="0" w:noVBand="1"/>
      </w:tblPr>
      <w:tblGrid>
        <w:gridCol w:w="677"/>
        <w:gridCol w:w="916"/>
        <w:gridCol w:w="915"/>
        <w:gridCol w:w="1074"/>
        <w:gridCol w:w="1016"/>
        <w:gridCol w:w="1532"/>
        <w:gridCol w:w="1530"/>
      </w:tblGrid>
      <w:tr w:rsidR="00AB46E6" w:rsidRPr="00AB46E6" w14:paraId="685BA5FE" w14:textId="44A8267F" w:rsidTr="00AB46E6">
        <w:trPr>
          <w:jc w:val="center"/>
        </w:trPr>
        <w:tc>
          <w:tcPr>
            <w:tcW w:w="442" w:type="pct"/>
            <w:tcBorders>
              <w:right w:val="single" w:sz="4" w:space="0" w:color="auto"/>
            </w:tcBorders>
            <w:shd w:val="clear" w:color="auto" w:fill="auto"/>
          </w:tcPr>
          <w:p w14:paraId="0C7242CE" w14:textId="77777777" w:rsidR="00AB46E6" w:rsidRPr="00AB46E6" w:rsidRDefault="00AB46E6" w:rsidP="00C47A06">
            <w:pPr>
              <w:pStyle w:val="IEEEStdsTableData-Center"/>
            </w:pPr>
          </w:p>
        </w:tc>
        <w:tc>
          <w:tcPr>
            <w:tcW w:w="598" w:type="pct"/>
            <w:tcBorders>
              <w:top w:val="single" w:sz="4" w:space="0" w:color="auto"/>
              <w:bottom w:val="single" w:sz="4" w:space="0" w:color="auto"/>
              <w:right w:val="single" w:sz="4" w:space="0" w:color="auto"/>
            </w:tcBorders>
          </w:tcPr>
          <w:p w14:paraId="1679A065" w14:textId="77777777" w:rsidR="00AB46E6" w:rsidRPr="00AB46E6" w:rsidRDefault="00AB46E6" w:rsidP="00C47A06">
            <w:pPr>
              <w:pStyle w:val="IEEEStdsTableData-Center"/>
            </w:pPr>
            <w:r w:rsidRPr="00AB46E6">
              <w:t>Element ID</w:t>
            </w:r>
          </w:p>
        </w:tc>
        <w:tc>
          <w:tcPr>
            <w:tcW w:w="597" w:type="pct"/>
            <w:tcBorders>
              <w:top w:val="single" w:sz="4" w:space="0" w:color="auto"/>
              <w:left w:val="single" w:sz="4" w:space="0" w:color="auto"/>
              <w:bottom w:val="single" w:sz="4" w:space="0" w:color="auto"/>
              <w:right w:val="single" w:sz="4" w:space="0" w:color="auto"/>
            </w:tcBorders>
          </w:tcPr>
          <w:p w14:paraId="530B0813" w14:textId="77777777" w:rsidR="00AB46E6" w:rsidRPr="00AB46E6" w:rsidRDefault="00AB46E6" w:rsidP="00C47A06">
            <w:pPr>
              <w:pStyle w:val="IEEEStdsTableData-Center"/>
            </w:pPr>
            <w:r w:rsidRPr="00AB46E6">
              <w:t>Length</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6941A262" w14:textId="77777777" w:rsidR="00AB46E6" w:rsidRPr="00AB46E6" w:rsidRDefault="00AB46E6" w:rsidP="00C47A06">
            <w:pPr>
              <w:pStyle w:val="IEEEStdsTableData-Center"/>
            </w:pPr>
            <w:r w:rsidRPr="00AB46E6">
              <w:t>Element ID Extension</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5FF6F82" w14:textId="77777777" w:rsidR="00AB46E6" w:rsidRPr="00AB46E6" w:rsidRDefault="00AB46E6" w:rsidP="00C47A06">
            <w:pPr>
              <w:pStyle w:val="IEEEStdsTableData-Center"/>
            </w:pPr>
            <w:r w:rsidRPr="00AB46E6">
              <w:t>Slot Schedule Control</w:t>
            </w:r>
          </w:p>
        </w:tc>
        <w:tc>
          <w:tcPr>
            <w:tcW w:w="1000" w:type="pct"/>
            <w:tcBorders>
              <w:top w:val="single" w:sz="4" w:space="0" w:color="auto"/>
              <w:left w:val="single" w:sz="4" w:space="0" w:color="auto"/>
              <w:bottom w:val="single" w:sz="4" w:space="0" w:color="auto"/>
              <w:right w:val="single" w:sz="4" w:space="0" w:color="auto"/>
            </w:tcBorders>
          </w:tcPr>
          <w:p w14:paraId="036582E8" w14:textId="77777777" w:rsidR="00AB46E6" w:rsidRPr="00AB46E6" w:rsidRDefault="00AB46E6" w:rsidP="00C47A06">
            <w:pPr>
              <w:pStyle w:val="IEEEStdsTableData-Center"/>
            </w:pPr>
            <w:r w:rsidRPr="00AB46E6">
              <w:t>Bitmap and Access Type Schedule</w:t>
            </w:r>
          </w:p>
        </w:tc>
        <w:tc>
          <w:tcPr>
            <w:tcW w:w="1000" w:type="pct"/>
            <w:tcBorders>
              <w:top w:val="single" w:sz="4" w:space="0" w:color="auto"/>
              <w:left w:val="single" w:sz="4" w:space="0" w:color="auto"/>
              <w:bottom w:val="single" w:sz="4" w:space="0" w:color="auto"/>
              <w:right w:val="single" w:sz="4" w:space="0" w:color="auto"/>
            </w:tcBorders>
          </w:tcPr>
          <w:p w14:paraId="01D9A9B0" w14:textId="56226A37" w:rsidR="00AB46E6" w:rsidRPr="00AB46E6" w:rsidRDefault="00DC3B20" w:rsidP="00C47A06">
            <w:pPr>
              <w:pStyle w:val="IEEEStdsTableData-Center"/>
              <w:rPr>
                <w:u w:val="single"/>
              </w:rPr>
            </w:pPr>
            <w:r>
              <w:rPr>
                <w:color w:val="FF0000"/>
                <w:u w:val="single"/>
              </w:rPr>
              <w:t>Slot Category</w:t>
            </w:r>
            <w:r w:rsidR="00AB46E6" w:rsidRPr="00AB46E6">
              <w:rPr>
                <w:color w:val="FF0000"/>
                <w:u w:val="single"/>
              </w:rPr>
              <w:t xml:space="preserve"> Schedule</w:t>
            </w:r>
          </w:p>
        </w:tc>
      </w:tr>
      <w:tr w:rsidR="00AB46E6" w:rsidRPr="00AB46E6" w14:paraId="1FB67357" w14:textId="164F665C" w:rsidTr="00AB46E6">
        <w:trPr>
          <w:jc w:val="center"/>
        </w:trPr>
        <w:tc>
          <w:tcPr>
            <w:tcW w:w="442" w:type="pct"/>
            <w:shd w:val="clear" w:color="auto" w:fill="auto"/>
          </w:tcPr>
          <w:p w14:paraId="1EFBE574" w14:textId="77777777" w:rsidR="00AB46E6" w:rsidRPr="00AB46E6" w:rsidRDefault="00AB46E6" w:rsidP="00C47A06">
            <w:pPr>
              <w:pStyle w:val="IEEEStdsTableData-Center"/>
            </w:pPr>
            <w:r w:rsidRPr="00AB46E6">
              <w:t>Octets</w:t>
            </w:r>
          </w:p>
        </w:tc>
        <w:tc>
          <w:tcPr>
            <w:tcW w:w="598" w:type="pct"/>
            <w:tcBorders>
              <w:top w:val="single" w:sz="4" w:space="0" w:color="auto"/>
            </w:tcBorders>
          </w:tcPr>
          <w:p w14:paraId="409E675C" w14:textId="77777777" w:rsidR="00AB46E6" w:rsidRPr="00AB46E6" w:rsidRDefault="00AB46E6" w:rsidP="00C47A06">
            <w:pPr>
              <w:pStyle w:val="IEEEStdsTableData-Center"/>
            </w:pPr>
            <w:r w:rsidRPr="00AB46E6">
              <w:t>1</w:t>
            </w:r>
          </w:p>
        </w:tc>
        <w:tc>
          <w:tcPr>
            <w:tcW w:w="597" w:type="pct"/>
            <w:tcBorders>
              <w:top w:val="single" w:sz="4" w:space="0" w:color="auto"/>
            </w:tcBorders>
          </w:tcPr>
          <w:p w14:paraId="17F0148F" w14:textId="77777777" w:rsidR="00AB46E6" w:rsidRPr="00AB46E6" w:rsidRDefault="00AB46E6" w:rsidP="00C47A06">
            <w:pPr>
              <w:pStyle w:val="IEEEStdsTableData-Center"/>
            </w:pPr>
            <w:r w:rsidRPr="00AB46E6">
              <w:t>1</w:t>
            </w:r>
          </w:p>
        </w:tc>
        <w:tc>
          <w:tcPr>
            <w:tcW w:w="701" w:type="pct"/>
            <w:tcBorders>
              <w:top w:val="single" w:sz="4" w:space="0" w:color="auto"/>
            </w:tcBorders>
            <w:shd w:val="clear" w:color="auto" w:fill="auto"/>
          </w:tcPr>
          <w:p w14:paraId="70516725" w14:textId="77777777" w:rsidR="00AB46E6" w:rsidRPr="00AB46E6" w:rsidRDefault="00AB46E6" w:rsidP="00C47A06">
            <w:pPr>
              <w:pStyle w:val="IEEEStdsTableData-Center"/>
            </w:pPr>
            <w:r w:rsidRPr="00AB46E6">
              <w:t>1</w:t>
            </w:r>
          </w:p>
        </w:tc>
        <w:tc>
          <w:tcPr>
            <w:tcW w:w="663" w:type="pct"/>
            <w:tcBorders>
              <w:top w:val="single" w:sz="4" w:space="0" w:color="auto"/>
            </w:tcBorders>
            <w:shd w:val="clear" w:color="auto" w:fill="auto"/>
          </w:tcPr>
          <w:p w14:paraId="7DEEF54B" w14:textId="77777777" w:rsidR="00AB46E6" w:rsidRPr="00AB46E6" w:rsidRDefault="00AB46E6" w:rsidP="00C47A06">
            <w:pPr>
              <w:pStyle w:val="IEEEStdsTableData-Center"/>
            </w:pPr>
            <w:r w:rsidRPr="00AB46E6">
              <w:t>7</w:t>
            </w:r>
          </w:p>
        </w:tc>
        <w:tc>
          <w:tcPr>
            <w:tcW w:w="1000" w:type="pct"/>
            <w:tcBorders>
              <w:top w:val="single" w:sz="4" w:space="0" w:color="auto"/>
            </w:tcBorders>
          </w:tcPr>
          <w:p w14:paraId="53452C04" w14:textId="77777777" w:rsidR="00AB46E6" w:rsidRPr="00AB46E6" w:rsidRDefault="002A2C6F" w:rsidP="00C47A06">
            <w:pPr>
              <w:pStyle w:val="IEEEStdsTableData-Center"/>
            </w:pPr>
            <m:oMathPara>
              <m:oMath>
                <m:d>
                  <m:dPr>
                    <m:begChr m:val="⌈"/>
                    <m:endChr m:val="⌉"/>
                    <m:ctrlPr>
                      <w:rPr>
                        <w:rFonts w:ascii="Cambria Math" w:hAnsi="Cambria Math"/>
                      </w:rPr>
                    </m:ctrlPr>
                  </m:dPr>
                  <m:e>
                    <m:f>
                      <m:fPr>
                        <m:ctrlPr>
                          <w:rPr>
                            <w:rFonts w:ascii="Cambria Math" w:hAnsi="Cambria Math"/>
                            <w:i/>
                          </w:rPr>
                        </m:ctrlPr>
                      </m:fPr>
                      <m:num>
                        <m:r>
                          <w:rPr>
                            <w:rFonts w:ascii="Cambria Math" w:hAnsi="Cambria Math"/>
                          </w:rPr>
                          <m:t>Q×M</m:t>
                        </m:r>
                      </m:num>
                      <m:den>
                        <m:r>
                          <w:rPr>
                            <w:rFonts w:ascii="Cambria Math" w:hAnsi="Cambria Math"/>
                          </w:rPr>
                          <m:t>4</m:t>
                        </m:r>
                      </m:den>
                    </m:f>
                  </m:e>
                </m:d>
              </m:oMath>
            </m:oMathPara>
          </w:p>
        </w:tc>
        <w:tc>
          <w:tcPr>
            <w:tcW w:w="1000" w:type="pct"/>
            <w:tcBorders>
              <w:top w:val="single" w:sz="4" w:space="0" w:color="auto"/>
            </w:tcBorders>
          </w:tcPr>
          <w:p w14:paraId="7F168B59" w14:textId="73EC416B" w:rsidR="00AB46E6" w:rsidRPr="00AB46E6" w:rsidRDefault="002A2C6F" w:rsidP="00C47A06">
            <w:pPr>
              <w:pStyle w:val="IEEEStdsTableData-Center"/>
            </w:pPr>
            <m:oMathPara>
              <m:oMath>
                <m:d>
                  <m:dPr>
                    <m:begChr m:val="⌈"/>
                    <m:endChr m:val="⌉"/>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Q×M</m:t>
                        </m:r>
                      </m:num>
                      <m:den>
                        <m:r>
                          <w:rPr>
                            <w:rFonts w:ascii="Cambria Math" w:hAnsi="Cambria Math"/>
                            <w:color w:val="FF0000"/>
                          </w:rPr>
                          <m:t>4</m:t>
                        </m:r>
                      </m:den>
                    </m:f>
                  </m:e>
                </m:d>
              </m:oMath>
            </m:oMathPara>
          </w:p>
        </w:tc>
      </w:tr>
    </w:tbl>
    <w:p w14:paraId="35739AEF" w14:textId="621E21EA" w:rsidR="00AB46E6" w:rsidRPr="00AB46E6" w:rsidRDefault="00AB46E6" w:rsidP="00AB46E6">
      <w:pPr>
        <w:widowControl w:val="0"/>
        <w:autoSpaceDE w:val="0"/>
        <w:autoSpaceDN w:val="0"/>
        <w:adjustRightInd w:val="0"/>
        <w:ind w:firstLineChars="1100" w:firstLine="2209"/>
        <w:rPr>
          <w:rFonts w:ascii="Arial-BoldMT" w:hAnsi="Arial-BoldMT" w:cs="Arial-BoldMT" w:hint="eastAsia"/>
          <w:b/>
          <w:bCs/>
          <w:sz w:val="20"/>
          <w:lang w:val="en-US" w:eastAsia="zh-CN"/>
        </w:rPr>
      </w:pPr>
      <w:r w:rsidRPr="00AB46E6">
        <w:rPr>
          <w:rFonts w:ascii="Arial-BoldMT" w:hAnsi="Arial-BoldMT" w:cs="Arial-BoldMT" w:hint="eastAsia"/>
          <w:b/>
          <w:bCs/>
          <w:sz w:val="20"/>
          <w:lang w:val="en-US" w:eastAsia="zh-CN"/>
        </w:rPr>
        <w:t>Figure</w:t>
      </w:r>
      <w:r w:rsidRPr="00AB46E6">
        <w:rPr>
          <w:rFonts w:ascii="Arial-BoldMT" w:hAnsi="Arial-BoldMT" w:cs="Arial-BoldMT"/>
          <w:b/>
          <w:bCs/>
          <w:sz w:val="20"/>
          <w:lang w:val="en-US" w:eastAsia="zh-CN"/>
        </w:rPr>
        <w:t xml:space="preserve"> </w:t>
      </w:r>
      <w:r w:rsidR="00EC0E70">
        <w:rPr>
          <w:rFonts w:ascii="Arial-BoldMT" w:hAnsi="Arial-BoldMT" w:cs="Arial-BoldMT"/>
          <w:b/>
          <w:bCs/>
          <w:sz w:val="20"/>
          <w:lang w:val="en-US" w:eastAsia="zh-CN"/>
        </w:rPr>
        <w:t>76</w:t>
      </w:r>
      <w:r w:rsidRPr="00AB46E6">
        <w:rPr>
          <w:rFonts w:ascii="Arial-BoldMT" w:hAnsi="Arial-BoldMT" w:cs="Arial-BoldMT"/>
          <w:b/>
          <w:bCs/>
          <w:sz w:val="20"/>
          <w:lang w:val="en-US" w:eastAsia="zh-CN"/>
        </w:rPr>
        <w:t>---TDD Slot Schedule element format</w:t>
      </w:r>
    </w:p>
    <w:p w14:paraId="2F0BA3DC"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6C99EB03"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67D9C5DA" w14:textId="77777777" w:rsidR="00AB46E6" w:rsidRPr="00AB46E6" w:rsidRDefault="00AB46E6" w:rsidP="00AB46E6">
      <w:pPr>
        <w:widowControl w:val="0"/>
        <w:autoSpaceDE w:val="0"/>
        <w:autoSpaceDN w:val="0"/>
        <w:adjustRightInd w:val="0"/>
        <w:outlineLvl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Element ID, Length and Element ID Extension fields are defined in 9.4.2.1.</w:t>
      </w:r>
    </w:p>
    <w:p w14:paraId="28882E76"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0B6B3EC9" w14:textId="6E85C261" w:rsidR="00AB46E6" w:rsidRPr="00AB46E6" w:rsidRDefault="00AB46E6" w:rsidP="00AB46E6">
      <w:pPr>
        <w:widowControl w:val="0"/>
        <w:autoSpaceDE w:val="0"/>
        <w:autoSpaceDN w:val="0"/>
        <w:adjustRightInd w:val="0"/>
        <w:outlineLvl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 xml:space="preserve">The Slot Schedule Control field is defined in Figure </w:t>
      </w:r>
      <w:r w:rsidR="00EC0E70">
        <w:rPr>
          <w:rFonts w:ascii="Arial-BoldMT" w:hAnsi="Arial-BoldMT" w:cs="Arial-BoldMT"/>
          <w:bCs/>
          <w:sz w:val="24"/>
          <w:szCs w:val="24"/>
          <w:lang w:val="en-US" w:eastAsia="zh-CN"/>
        </w:rPr>
        <w:t>77</w:t>
      </w:r>
      <w:r w:rsidRPr="00AB46E6">
        <w:rPr>
          <w:rFonts w:ascii="Arial-BoldMT" w:hAnsi="Arial-BoldMT" w:cs="Arial-BoldMT"/>
          <w:bCs/>
          <w:sz w:val="24"/>
          <w:szCs w:val="24"/>
          <w:lang w:val="en-US" w:eastAsia="zh-CN"/>
        </w:rPr>
        <w:t>.</w:t>
      </w:r>
    </w:p>
    <w:p w14:paraId="2C54574C"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3AA5D3E1"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tbl>
      <w:tblPr>
        <w:tblW w:w="3764" w:type="pct"/>
        <w:jc w:val="center"/>
        <w:tblLook w:val="04A0" w:firstRow="1" w:lastRow="0" w:firstColumn="1" w:lastColumn="0" w:noHBand="0" w:noVBand="1"/>
      </w:tblPr>
      <w:tblGrid>
        <w:gridCol w:w="629"/>
        <w:gridCol w:w="1116"/>
        <w:gridCol w:w="869"/>
        <w:gridCol w:w="1027"/>
        <w:gridCol w:w="969"/>
        <w:gridCol w:w="1487"/>
        <w:gridCol w:w="945"/>
      </w:tblGrid>
      <w:tr w:rsidR="00AB46E6" w:rsidRPr="00AB46E6" w14:paraId="1DD12B15" w14:textId="77777777" w:rsidTr="00C47A06">
        <w:trPr>
          <w:jc w:val="center"/>
        </w:trPr>
        <w:tc>
          <w:tcPr>
            <w:tcW w:w="447" w:type="pct"/>
            <w:tcBorders>
              <w:right w:val="single" w:sz="4" w:space="0" w:color="auto"/>
            </w:tcBorders>
            <w:shd w:val="clear" w:color="auto" w:fill="auto"/>
          </w:tcPr>
          <w:p w14:paraId="06BE2D58" w14:textId="77777777" w:rsidR="00AB46E6" w:rsidRPr="00AB46E6" w:rsidRDefault="00AB46E6" w:rsidP="00C47A06">
            <w:pPr>
              <w:pStyle w:val="IEEEStdsTableData-Center"/>
            </w:pPr>
          </w:p>
        </w:tc>
        <w:tc>
          <w:tcPr>
            <w:tcW w:w="792" w:type="pct"/>
            <w:tcBorders>
              <w:top w:val="single" w:sz="4" w:space="0" w:color="auto"/>
              <w:bottom w:val="single" w:sz="4" w:space="0" w:color="auto"/>
              <w:right w:val="single" w:sz="4" w:space="0" w:color="auto"/>
            </w:tcBorders>
          </w:tcPr>
          <w:p w14:paraId="48DE2AD6" w14:textId="77777777" w:rsidR="00AB46E6" w:rsidRPr="00AB46E6" w:rsidRDefault="00AB46E6" w:rsidP="00C47A06">
            <w:pPr>
              <w:pStyle w:val="IEEEStdsTableData-Center"/>
            </w:pPr>
            <w:r w:rsidRPr="00AB46E6">
              <w:t>Channel Aggregation</w:t>
            </w:r>
          </w:p>
        </w:tc>
        <w:tc>
          <w:tcPr>
            <w:tcW w:w="617" w:type="pct"/>
            <w:tcBorders>
              <w:top w:val="single" w:sz="4" w:space="0" w:color="auto"/>
              <w:left w:val="single" w:sz="4" w:space="0" w:color="auto"/>
              <w:bottom w:val="single" w:sz="4" w:space="0" w:color="auto"/>
              <w:right w:val="single" w:sz="4" w:space="0" w:color="auto"/>
            </w:tcBorders>
          </w:tcPr>
          <w:p w14:paraId="0E1E317B" w14:textId="77777777" w:rsidR="00AB46E6" w:rsidRPr="00AB46E6" w:rsidRDefault="00AB46E6" w:rsidP="00C47A06">
            <w:pPr>
              <w:pStyle w:val="IEEEStdsTableData-Center"/>
            </w:pPr>
            <w:r w:rsidRPr="00AB46E6">
              <w:t>BW</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375CF814" w14:textId="77777777" w:rsidR="00AB46E6" w:rsidRPr="00AB46E6" w:rsidRDefault="00AB46E6" w:rsidP="00C47A06">
            <w:pPr>
              <w:pStyle w:val="IEEEStdsTableData-Center"/>
            </w:pPr>
            <w:r w:rsidRPr="00AB46E6">
              <w:t>Slot Schedule Start Time</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4A5DA2E" w14:textId="77777777" w:rsidR="00AB46E6" w:rsidRPr="00AB46E6" w:rsidRDefault="00AB46E6" w:rsidP="00C47A06">
            <w:pPr>
              <w:pStyle w:val="IEEEStdsTableData-Center"/>
            </w:pPr>
            <w:r w:rsidRPr="00AB46E6">
              <w:t>Number of TDD Intervals in the Bitmap</w:t>
            </w:r>
          </w:p>
        </w:tc>
        <w:tc>
          <w:tcPr>
            <w:tcW w:w="1056" w:type="pct"/>
            <w:tcBorders>
              <w:top w:val="single" w:sz="4" w:space="0" w:color="auto"/>
              <w:left w:val="single" w:sz="4" w:space="0" w:color="auto"/>
              <w:bottom w:val="single" w:sz="4" w:space="0" w:color="auto"/>
              <w:right w:val="single" w:sz="4" w:space="0" w:color="auto"/>
            </w:tcBorders>
          </w:tcPr>
          <w:p w14:paraId="69AFD20D" w14:textId="77777777" w:rsidR="00AB46E6" w:rsidRPr="00AB46E6" w:rsidRDefault="00AB46E6" w:rsidP="00C47A06">
            <w:pPr>
              <w:pStyle w:val="IEEEStdsTableData-Center"/>
            </w:pPr>
            <w:r w:rsidRPr="00AB46E6">
              <w:t>Allocation ID</w:t>
            </w:r>
          </w:p>
        </w:tc>
        <w:tc>
          <w:tcPr>
            <w:tcW w:w="671" w:type="pct"/>
            <w:tcBorders>
              <w:top w:val="single" w:sz="4" w:space="0" w:color="auto"/>
              <w:left w:val="single" w:sz="4" w:space="0" w:color="auto"/>
              <w:bottom w:val="single" w:sz="4" w:space="0" w:color="auto"/>
              <w:right w:val="single" w:sz="4" w:space="0" w:color="auto"/>
            </w:tcBorders>
          </w:tcPr>
          <w:p w14:paraId="191A3788" w14:textId="77777777" w:rsidR="00AB46E6" w:rsidRPr="00AB46E6" w:rsidRDefault="00AB46E6" w:rsidP="00C47A06">
            <w:pPr>
              <w:pStyle w:val="IEEEStdsTableData-Center"/>
            </w:pPr>
            <w:r w:rsidRPr="00AB46E6">
              <w:t>Reserved</w:t>
            </w:r>
          </w:p>
        </w:tc>
      </w:tr>
      <w:tr w:rsidR="00AB46E6" w:rsidRPr="00AB46E6" w14:paraId="03384A2C" w14:textId="77777777" w:rsidTr="00C47A06">
        <w:trPr>
          <w:jc w:val="center"/>
        </w:trPr>
        <w:tc>
          <w:tcPr>
            <w:tcW w:w="447" w:type="pct"/>
            <w:shd w:val="clear" w:color="auto" w:fill="auto"/>
          </w:tcPr>
          <w:p w14:paraId="7C6E93D3" w14:textId="77777777" w:rsidR="00AB46E6" w:rsidRPr="00AB46E6" w:rsidRDefault="00AB46E6" w:rsidP="00C47A06">
            <w:pPr>
              <w:pStyle w:val="IEEEStdsTableData-Center"/>
            </w:pPr>
            <w:r w:rsidRPr="00AB46E6">
              <w:t>Bits</w:t>
            </w:r>
          </w:p>
        </w:tc>
        <w:tc>
          <w:tcPr>
            <w:tcW w:w="792" w:type="pct"/>
            <w:tcBorders>
              <w:top w:val="single" w:sz="4" w:space="0" w:color="auto"/>
            </w:tcBorders>
          </w:tcPr>
          <w:p w14:paraId="392A05A1" w14:textId="77777777" w:rsidR="00AB46E6" w:rsidRPr="00AB46E6" w:rsidRDefault="00AB46E6" w:rsidP="00C47A06">
            <w:pPr>
              <w:pStyle w:val="IEEEStdsTableData-Center"/>
            </w:pPr>
            <w:r w:rsidRPr="00AB46E6">
              <w:t>1</w:t>
            </w:r>
          </w:p>
        </w:tc>
        <w:tc>
          <w:tcPr>
            <w:tcW w:w="617" w:type="pct"/>
            <w:tcBorders>
              <w:top w:val="single" w:sz="4" w:space="0" w:color="auto"/>
            </w:tcBorders>
          </w:tcPr>
          <w:p w14:paraId="1C26D49F" w14:textId="77777777" w:rsidR="00AB46E6" w:rsidRPr="00AB46E6" w:rsidRDefault="00AB46E6" w:rsidP="00C47A06">
            <w:pPr>
              <w:pStyle w:val="IEEEStdsTableData-Center"/>
            </w:pPr>
            <w:r w:rsidRPr="00AB46E6">
              <w:t>8</w:t>
            </w:r>
          </w:p>
        </w:tc>
        <w:tc>
          <w:tcPr>
            <w:tcW w:w="729" w:type="pct"/>
            <w:tcBorders>
              <w:top w:val="single" w:sz="4" w:space="0" w:color="auto"/>
            </w:tcBorders>
            <w:shd w:val="clear" w:color="auto" w:fill="auto"/>
          </w:tcPr>
          <w:p w14:paraId="18B79727" w14:textId="77777777" w:rsidR="00AB46E6" w:rsidRPr="00AB46E6" w:rsidRDefault="00AB46E6" w:rsidP="00C47A06">
            <w:pPr>
              <w:pStyle w:val="IEEEStdsTableData-Center"/>
            </w:pPr>
            <w:r w:rsidRPr="00AB46E6">
              <w:t>32</w:t>
            </w:r>
          </w:p>
        </w:tc>
        <w:tc>
          <w:tcPr>
            <w:tcW w:w="688" w:type="pct"/>
            <w:tcBorders>
              <w:top w:val="single" w:sz="4" w:space="0" w:color="auto"/>
            </w:tcBorders>
            <w:shd w:val="clear" w:color="auto" w:fill="auto"/>
          </w:tcPr>
          <w:p w14:paraId="562E8045" w14:textId="77777777" w:rsidR="00AB46E6" w:rsidRPr="00AB46E6" w:rsidRDefault="00AB46E6" w:rsidP="00C47A06">
            <w:pPr>
              <w:pStyle w:val="IEEEStdsTableData-Center"/>
            </w:pPr>
            <w:r w:rsidRPr="00AB46E6">
              <w:t>10</w:t>
            </w:r>
          </w:p>
        </w:tc>
        <w:tc>
          <w:tcPr>
            <w:tcW w:w="1056" w:type="pct"/>
            <w:tcBorders>
              <w:top w:val="single" w:sz="4" w:space="0" w:color="auto"/>
            </w:tcBorders>
          </w:tcPr>
          <w:p w14:paraId="50FBAD62" w14:textId="77777777" w:rsidR="00AB46E6" w:rsidRPr="00AB46E6" w:rsidRDefault="00AB46E6" w:rsidP="00C47A06">
            <w:pPr>
              <w:pStyle w:val="IEEEStdsTableData-Center"/>
            </w:pPr>
            <w:r w:rsidRPr="00AB46E6">
              <w:t>4</w:t>
            </w:r>
          </w:p>
        </w:tc>
        <w:tc>
          <w:tcPr>
            <w:tcW w:w="671" w:type="pct"/>
            <w:tcBorders>
              <w:top w:val="single" w:sz="4" w:space="0" w:color="auto"/>
            </w:tcBorders>
          </w:tcPr>
          <w:p w14:paraId="62376C08" w14:textId="77777777" w:rsidR="00AB46E6" w:rsidRPr="00AB46E6" w:rsidRDefault="00AB46E6" w:rsidP="00C47A06">
            <w:pPr>
              <w:pStyle w:val="IEEEStdsTableData-Center"/>
              <w:rPr>
                <w:lang w:eastAsia="zh-CN"/>
              </w:rPr>
            </w:pPr>
            <w:r w:rsidRPr="00AB46E6">
              <w:rPr>
                <w:rFonts w:hint="eastAsia"/>
                <w:lang w:eastAsia="zh-CN"/>
              </w:rPr>
              <w:t>1</w:t>
            </w:r>
          </w:p>
        </w:tc>
      </w:tr>
    </w:tbl>
    <w:p w14:paraId="2182369B" w14:textId="6E08407E" w:rsidR="00AB46E6" w:rsidRPr="00AB46E6" w:rsidRDefault="00AB46E6" w:rsidP="00AB46E6">
      <w:pPr>
        <w:widowControl w:val="0"/>
        <w:autoSpaceDE w:val="0"/>
        <w:autoSpaceDN w:val="0"/>
        <w:adjustRightInd w:val="0"/>
        <w:ind w:firstLineChars="1000" w:firstLine="2008"/>
        <w:rPr>
          <w:rFonts w:ascii="Arial-BoldMT" w:hAnsi="Arial-BoldMT" w:cs="Arial-BoldMT" w:hint="eastAsia"/>
          <w:b/>
          <w:bCs/>
          <w:sz w:val="20"/>
          <w:lang w:val="en-US" w:eastAsia="zh-CN"/>
        </w:rPr>
      </w:pPr>
      <w:r w:rsidRPr="00AB46E6">
        <w:rPr>
          <w:rFonts w:ascii="Arial-BoldMT" w:hAnsi="Arial-BoldMT" w:cs="Arial-BoldMT" w:hint="eastAsia"/>
          <w:b/>
          <w:bCs/>
          <w:sz w:val="20"/>
          <w:lang w:val="en-US" w:eastAsia="zh-CN"/>
        </w:rPr>
        <w:t>Figure</w:t>
      </w:r>
      <w:r w:rsidRPr="00AB46E6">
        <w:rPr>
          <w:rFonts w:ascii="Arial-BoldMT" w:hAnsi="Arial-BoldMT" w:cs="Arial-BoldMT"/>
          <w:b/>
          <w:bCs/>
          <w:sz w:val="20"/>
          <w:lang w:val="en-US" w:eastAsia="zh-CN"/>
        </w:rPr>
        <w:t xml:space="preserve"> </w:t>
      </w:r>
      <w:r w:rsidR="00EC0E70">
        <w:rPr>
          <w:rFonts w:ascii="Arial-BoldMT" w:hAnsi="Arial-BoldMT" w:cs="Arial-BoldMT"/>
          <w:b/>
          <w:bCs/>
          <w:sz w:val="20"/>
          <w:lang w:val="en-US" w:eastAsia="zh-CN"/>
        </w:rPr>
        <w:t>77</w:t>
      </w:r>
      <w:r w:rsidRPr="00AB46E6">
        <w:rPr>
          <w:rFonts w:ascii="Arial-BoldMT" w:hAnsi="Arial-BoldMT" w:cs="Arial-BoldMT"/>
          <w:b/>
          <w:bCs/>
          <w:sz w:val="20"/>
          <w:lang w:val="en-US" w:eastAsia="zh-CN"/>
        </w:rPr>
        <w:t xml:space="preserve">--- </w:t>
      </w:r>
      <w:r w:rsidR="00C85CC0">
        <w:rPr>
          <w:rFonts w:ascii="Arial-BoldMT" w:hAnsi="Arial-BoldMT" w:cs="Arial-BoldMT"/>
          <w:b/>
          <w:bCs/>
          <w:sz w:val="20"/>
          <w:lang w:val="en-US" w:eastAsia="zh-CN"/>
        </w:rPr>
        <w:t>Slot</w:t>
      </w:r>
      <w:r w:rsidRPr="00AB46E6">
        <w:rPr>
          <w:rFonts w:ascii="Arial-BoldMT" w:hAnsi="Arial-BoldMT" w:cs="Arial-BoldMT"/>
          <w:b/>
          <w:bCs/>
          <w:sz w:val="20"/>
          <w:lang w:val="en-US" w:eastAsia="zh-CN"/>
        </w:rPr>
        <w:t xml:space="preserve"> Schedule Control field format</w:t>
      </w:r>
    </w:p>
    <w:p w14:paraId="1B7589C4"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0732EA31" w14:textId="020A1588" w:rsidR="00AB46E6" w:rsidRPr="00AB46E6" w:rsidRDefault="00AB46E6" w:rsidP="00AB46E6">
      <w:pPr>
        <w:widowControl w:val="0"/>
        <w:autoSpaceDE w:val="0"/>
        <w:autoSpaceDN w:val="0"/>
        <w:adjustRightInd w:val="0"/>
        <w:outlineLvl w:val="0"/>
        <w:rPr>
          <w:rFonts w:ascii="Arial-BoldMT" w:hAnsi="Arial-BoldMT" w:cs="Arial-BoldMT" w:hint="eastAsia"/>
          <w:bCs/>
          <w:sz w:val="24"/>
          <w:szCs w:val="24"/>
          <w:lang w:val="en-US" w:eastAsia="zh-CN"/>
        </w:rPr>
      </w:pPr>
      <w:r w:rsidRPr="00AB46E6">
        <w:rPr>
          <w:rFonts w:ascii="Arial-BoldMT" w:hAnsi="Arial-BoldMT" w:cs="Arial-BoldMT" w:hint="eastAsia"/>
          <w:bCs/>
          <w:sz w:val="24"/>
          <w:szCs w:val="24"/>
          <w:lang w:val="en-US" w:eastAsia="zh-CN"/>
        </w:rPr>
        <w:t xml:space="preserve">The </w:t>
      </w:r>
      <w:r w:rsidRPr="00AB46E6">
        <w:rPr>
          <w:rFonts w:ascii="Arial-BoldMT" w:hAnsi="Arial-BoldMT" w:cs="Arial-BoldMT"/>
          <w:bCs/>
          <w:sz w:val="24"/>
          <w:szCs w:val="24"/>
          <w:lang w:val="en-US" w:eastAsia="zh-CN"/>
        </w:rPr>
        <w:t xml:space="preserve">Channel Aggregation and BW subfields are defined in Table </w:t>
      </w:r>
      <w:r w:rsidR="00EC0E70">
        <w:rPr>
          <w:rFonts w:ascii="Arial-BoldMT" w:hAnsi="Arial-BoldMT" w:cs="Arial-BoldMT"/>
          <w:bCs/>
          <w:sz w:val="24"/>
          <w:szCs w:val="24"/>
          <w:lang w:val="en-US" w:eastAsia="zh-CN"/>
        </w:rPr>
        <w:t>36</w:t>
      </w:r>
      <w:r w:rsidRPr="00AB46E6">
        <w:rPr>
          <w:rFonts w:ascii="Arial-BoldMT" w:hAnsi="Arial-BoldMT" w:cs="Arial-BoldMT"/>
          <w:bCs/>
          <w:sz w:val="24"/>
          <w:szCs w:val="24"/>
          <w:lang w:val="en-US" w:eastAsia="zh-CN"/>
        </w:rPr>
        <w:t>.</w:t>
      </w:r>
    </w:p>
    <w:p w14:paraId="474EFFF0"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3CBD857C"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Slot Schedule Start Time subfield indicates the lower 4 octets of the TSF timer at the start of the first TDD interval in which the schedule takes effect.</w:t>
      </w:r>
    </w:p>
    <w:p w14:paraId="4DB6C415"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778D31E4"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Number of TDD Intervals in the Bitmap subfield indicates the number of TDD intervals in the bitmap following the time indicated by the Slot Schedule Start Time subfield.</w:t>
      </w:r>
    </w:p>
    <w:p w14:paraId="7EBFF6FA"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2572DE77"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Allocation ID</w:t>
      </w:r>
      <w:r w:rsidRPr="00AB46E6">
        <w:rPr>
          <w:rFonts w:ascii="Arial-BoldMT" w:hAnsi="Arial-BoldMT" w:cs="Arial-BoldMT" w:hint="eastAsia"/>
          <w:bCs/>
          <w:sz w:val="24"/>
          <w:szCs w:val="24"/>
          <w:lang w:val="en-US" w:eastAsia="zh-CN"/>
        </w:rPr>
        <w:t xml:space="preserve"> </w:t>
      </w:r>
      <w:r w:rsidRPr="00AB46E6">
        <w:rPr>
          <w:rFonts w:ascii="Arial-BoldMT" w:hAnsi="Arial-BoldMT" w:cs="Arial-BoldMT"/>
          <w:bCs/>
          <w:sz w:val="24"/>
          <w:szCs w:val="24"/>
          <w:lang w:val="en-US" w:eastAsia="zh-CN"/>
        </w:rPr>
        <w:t>subfield is set to the same value of the Allocation ID subfield in Allocation Control field of the Extended Schedule element describing the SP allocation.</w:t>
      </w:r>
    </w:p>
    <w:p w14:paraId="42CD48A2"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58683AAE"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Bitmap and Access Type Schedule field defines the type of a TDD slot and the access permission of a DMG STA to the TDD slots covered by this bitmap. Each pair of consecutive 2 bits indicates the type and access permission of the TDD slot. A value of 00 (binary) indicates that the TDD slot is unassigned. A value of 01 (binary) indicates the STA is assigned to a simplex TX TDD slot. A value of 10 (binary) indicates the STA is assigned to a simplex RX TDD slot. Value 11 (binary) is reserved. The size of the Bitmap and Access Type Schedule field is a function of the value of the Number of TDD Slots per TDD Interval subfield in the TDD S</w:t>
      </w:r>
      <w:r w:rsidRPr="00AB46E6">
        <w:rPr>
          <w:rFonts w:ascii="Arial-BoldMT" w:hAnsi="Arial-BoldMT" w:cs="Arial-BoldMT" w:hint="eastAsia"/>
          <w:bCs/>
          <w:sz w:val="24"/>
          <w:szCs w:val="24"/>
          <w:lang w:val="en-US" w:eastAsia="zh-CN"/>
        </w:rPr>
        <w:t>l</w:t>
      </w:r>
      <w:r w:rsidRPr="00AB46E6">
        <w:rPr>
          <w:rFonts w:ascii="Arial-BoldMT" w:hAnsi="Arial-BoldMT" w:cs="Arial-BoldMT"/>
          <w:bCs/>
          <w:sz w:val="24"/>
          <w:szCs w:val="24"/>
          <w:lang w:val="en-US" w:eastAsia="zh-CN"/>
        </w:rPr>
        <w:t xml:space="preserve">ot Structure element, </w:t>
      </w:r>
      <w:r w:rsidRPr="00AB46E6">
        <w:rPr>
          <w:rFonts w:ascii="Arial-BoldMT" w:hAnsi="Arial-BoldMT" w:cs="Arial-BoldMT" w:hint="eastAsia"/>
          <w:bCs/>
          <w:i/>
          <w:sz w:val="24"/>
          <w:szCs w:val="24"/>
          <w:lang w:val="en-US" w:eastAsia="zh-CN"/>
        </w:rPr>
        <w:t>M</w:t>
      </w:r>
      <w:r w:rsidRPr="00AB46E6">
        <w:rPr>
          <w:rFonts w:ascii="Arial-BoldMT" w:hAnsi="Arial-BoldMT" w:cs="Arial-BoldMT"/>
          <w:bCs/>
          <w:sz w:val="24"/>
          <w:szCs w:val="24"/>
          <w:lang w:val="en-US" w:eastAsia="zh-CN"/>
        </w:rPr>
        <w:t xml:space="preserve">, and the value of the Number of TDD Intervals in the Bitmap subfield, </w:t>
      </w:r>
      <w:r w:rsidRPr="00AB46E6">
        <w:rPr>
          <w:rFonts w:ascii="Arial-BoldMT" w:hAnsi="Arial-BoldMT" w:cs="Arial-BoldMT" w:hint="eastAsia"/>
          <w:bCs/>
          <w:i/>
          <w:sz w:val="24"/>
          <w:szCs w:val="24"/>
          <w:lang w:val="en-US" w:eastAsia="zh-CN"/>
        </w:rPr>
        <w:t>Q</w:t>
      </w:r>
      <w:r w:rsidRPr="00AB46E6">
        <w:rPr>
          <w:rFonts w:ascii="Arial-BoldMT" w:hAnsi="Arial-BoldMT" w:cs="Arial-BoldMT"/>
          <w:bCs/>
          <w:sz w:val="24"/>
          <w:szCs w:val="24"/>
          <w:lang w:val="en-US" w:eastAsia="zh-CN"/>
        </w:rPr>
        <w:t>.</w:t>
      </w:r>
    </w:p>
    <w:p w14:paraId="211375D4" w14:textId="1093BAB5" w:rsidR="0063701C" w:rsidRDefault="0063701C" w:rsidP="002E0633">
      <w:pPr>
        <w:widowControl w:val="0"/>
        <w:autoSpaceDE w:val="0"/>
        <w:autoSpaceDN w:val="0"/>
        <w:adjustRightInd w:val="0"/>
        <w:rPr>
          <w:rFonts w:ascii="Arial-BoldMT" w:hAnsi="Arial-BoldMT" w:cs="Arial-BoldMT" w:hint="eastAsia"/>
          <w:b/>
          <w:bCs/>
          <w:color w:val="FF0000"/>
          <w:sz w:val="24"/>
          <w:szCs w:val="24"/>
          <w:u w:val="single"/>
          <w:lang w:val="en-US" w:eastAsia="zh-CN"/>
        </w:rPr>
      </w:pPr>
    </w:p>
    <w:p w14:paraId="6395EA0E" w14:textId="5977CC24" w:rsidR="00DC3B20" w:rsidRDefault="00DC3B20" w:rsidP="00286C1C">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DC3B20">
        <w:rPr>
          <w:rFonts w:ascii="Arial-BoldMT" w:hAnsi="Arial-BoldMT" w:cs="Arial-BoldMT"/>
          <w:bCs/>
          <w:color w:val="FF0000"/>
          <w:sz w:val="24"/>
          <w:szCs w:val="24"/>
          <w:u w:val="single"/>
          <w:lang w:val="en-US" w:eastAsia="zh-CN"/>
        </w:rPr>
        <w:t xml:space="preserve">The Slot Category Schedule field defines the TDD slot category. Each </w:t>
      </w:r>
      <w:r w:rsidR="001F54F9">
        <w:rPr>
          <w:rFonts w:ascii="Arial-BoldMT" w:hAnsi="Arial-BoldMT" w:cs="Arial-BoldMT"/>
          <w:bCs/>
          <w:color w:val="FF0000"/>
          <w:sz w:val="24"/>
          <w:szCs w:val="24"/>
          <w:u w:val="single"/>
          <w:lang w:val="en-US" w:eastAsia="zh-CN"/>
        </w:rPr>
        <w:t xml:space="preserve">pair of consecutive 2 bits </w:t>
      </w:r>
      <w:r w:rsidRPr="00DC3B20">
        <w:rPr>
          <w:rFonts w:ascii="Arial-BoldMT" w:hAnsi="Arial-BoldMT" w:cs="Arial-BoldMT"/>
          <w:bCs/>
          <w:color w:val="FF0000"/>
          <w:sz w:val="24"/>
          <w:szCs w:val="24"/>
          <w:u w:val="single"/>
          <w:lang w:val="en-US" w:eastAsia="zh-CN"/>
        </w:rPr>
        <w:t xml:space="preserve">indicates the frame type(s) that </w:t>
      </w:r>
      <w:proofErr w:type="gramStart"/>
      <w:r w:rsidRPr="00DC3B20">
        <w:rPr>
          <w:rFonts w:ascii="Arial-BoldMT" w:hAnsi="Arial-BoldMT" w:cs="Arial-BoldMT"/>
          <w:bCs/>
          <w:color w:val="FF0000"/>
          <w:sz w:val="24"/>
          <w:szCs w:val="24"/>
          <w:u w:val="single"/>
          <w:lang w:val="en-US" w:eastAsia="zh-CN"/>
        </w:rPr>
        <w:t xml:space="preserve">are allowed </w:t>
      </w:r>
      <w:r w:rsidR="001F54F9">
        <w:rPr>
          <w:rFonts w:ascii="Arial-BoldMT" w:hAnsi="Arial-BoldMT" w:cs="Arial-BoldMT"/>
          <w:bCs/>
          <w:color w:val="FF0000"/>
          <w:sz w:val="24"/>
          <w:szCs w:val="24"/>
          <w:u w:val="single"/>
          <w:lang w:val="en-US" w:eastAsia="zh-CN"/>
        </w:rPr>
        <w:t>to</w:t>
      </w:r>
      <w:proofErr w:type="gramEnd"/>
      <w:r w:rsidR="001F54F9">
        <w:rPr>
          <w:rFonts w:ascii="Arial-BoldMT" w:hAnsi="Arial-BoldMT" w:cs="Arial-BoldMT"/>
          <w:bCs/>
          <w:color w:val="FF0000"/>
          <w:sz w:val="24"/>
          <w:szCs w:val="24"/>
          <w:u w:val="single"/>
          <w:lang w:val="en-US" w:eastAsia="zh-CN"/>
        </w:rPr>
        <w:t xml:space="preserve"> be transmitted </w:t>
      </w:r>
      <w:r w:rsidRPr="00DC3B20">
        <w:rPr>
          <w:rFonts w:ascii="Arial-BoldMT" w:hAnsi="Arial-BoldMT" w:cs="Arial-BoldMT"/>
          <w:bCs/>
          <w:color w:val="FF0000"/>
          <w:sz w:val="24"/>
          <w:szCs w:val="24"/>
          <w:u w:val="single"/>
          <w:lang w:val="en-US" w:eastAsia="zh-CN"/>
        </w:rPr>
        <w:t xml:space="preserve">in the </w:t>
      </w:r>
      <w:r w:rsidR="001F54F9">
        <w:rPr>
          <w:rFonts w:ascii="Arial-BoldMT" w:hAnsi="Arial-BoldMT" w:cs="Arial-BoldMT"/>
          <w:bCs/>
          <w:color w:val="FF0000"/>
          <w:sz w:val="24"/>
          <w:szCs w:val="24"/>
          <w:u w:val="single"/>
          <w:lang w:val="en-US" w:eastAsia="zh-CN"/>
        </w:rPr>
        <w:t xml:space="preserve">corresponding </w:t>
      </w:r>
      <w:r w:rsidRPr="00DC3B20">
        <w:rPr>
          <w:rFonts w:ascii="Arial-BoldMT" w:hAnsi="Arial-BoldMT" w:cs="Arial-BoldMT"/>
          <w:bCs/>
          <w:color w:val="FF0000"/>
          <w:sz w:val="24"/>
          <w:szCs w:val="24"/>
          <w:u w:val="single"/>
          <w:lang w:val="en-US" w:eastAsia="zh-CN"/>
        </w:rPr>
        <w:t>TDD slot</w:t>
      </w:r>
      <w:r w:rsidR="001F54F9">
        <w:rPr>
          <w:rFonts w:ascii="Arial-BoldMT" w:hAnsi="Arial-BoldMT" w:cs="Arial-BoldMT"/>
          <w:bCs/>
          <w:color w:val="FF0000"/>
          <w:sz w:val="24"/>
          <w:szCs w:val="24"/>
          <w:u w:val="single"/>
          <w:lang w:val="en-US" w:eastAsia="zh-CN"/>
        </w:rPr>
        <w:t xml:space="preserve"> defined by the Bitmap and Access Type Schedule field</w:t>
      </w:r>
      <w:r w:rsidRPr="00DC3B20">
        <w:rPr>
          <w:rFonts w:ascii="Arial-BoldMT" w:hAnsi="Arial-BoldMT" w:cs="Arial-BoldMT"/>
          <w:bCs/>
          <w:color w:val="FF0000"/>
          <w:sz w:val="24"/>
          <w:szCs w:val="24"/>
          <w:u w:val="single"/>
          <w:lang w:val="en-US" w:eastAsia="zh-CN"/>
        </w:rPr>
        <w:t>. A value of 0</w:t>
      </w:r>
      <w:r w:rsidR="001F54F9">
        <w:rPr>
          <w:rFonts w:ascii="Arial-BoldMT" w:hAnsi="Arial-BoldMT" w:cs="Arial-BoldMT"/>
          <w:bCs/>
          <w:color w:val="FF0000"/>
          <w:sz w:val="24"/>
          <w:szCs w:val="24"/>
          <w:u w:val="single"/>
          <w:lang w:val="en-US" w:eastAsia="zh-CN"/>
        </w:rPr>
        <w:t>0</w:t>
      </w:r>
      <w:r w:rsidRPr="00DC3B20">
        <w:rPr>
          <w:rFonts w:ascii="Arial-BoldMT" w:hAnsi="Arial-BoldMT" w:cs="Arial-BoldMT"/>
          <w:bCs/>
          <w:color w:val="FF0000"/>
          <w:sz w:val="24"/>
          <w:szCs w:val="24"/>
          <w:u w:val="single"/>
          <w:lang w:val="en-US" w:eastAsia="zh-CN"/>
        </w:rPr>
        <w:t xml:space="preserve"> (binary) indicates Basic TDD </w:t>
      </w:r>
      <w:r w:rsidR="001036EA">
        <w:rPr>
          <w:rFonts w:ascii="Arial-BoldMT" w:hAnsi="Arial-BoldMT" w:cs="Arial-BoldMT"/>
          <w:bCs/>
          <w:color w:val="FF0000"/>
          <w:sz w:val="24"/>
          <w:szCs w:val="24"/>
          <w:u w:val="single"/>
          <w:lang w:val="en-US" w:eastAsia="zh-CN"/>
        </w:rPr>
        <w:t>s</w:t>
      </w:r>
      <w:r w:rsidRPr="00DC3B20">
        <w:rPr>
          <w:rFonts w:ascii="Arial-BoldMT" w:hAnsi="Arial-BoldMT" w:cs="Arial-BoldMT"/>
          <w:bCs/>
          <w:color w:val="FF0000"/>
          <w:sz w:val="24"/>
          <w:szCs w:val="24"/>
          <w:u w:val="single"/>
          <w:lang w:val="en-US" w:eastAsia="zh-CN"/>
        </w:rPr>
        <w:t xml:space="preserve">lot and a value of </w:t>
      </w:r>
      <w:r w:rsidR="001F54F9">
        <w:rPr>
          <w:rFonts w:ascii="Arial-BoldMT" w:hAnsi="Arial-BoldMT" w:cs="Arial-BoldMT"/>
          <w:bCs/>
          <w:color w:val="FF0000"/>
          <w:sz w:val="24"/>
          <w:szCs w:val="24"/>
          <w:u w:val="single"/>
          <w:lang w:val="en-US" w:eastAsia="zh-CN"/>
        </w:rPr>
        <w:t>0</w:t>
      </w:r>
      <w:r w:rsidRPr="00DC3B20">
        <w:rPr>
          <w:rFonts w:ascii="Arial-BoldMT" w:hAnsi="Arial-BoldMT" w:cs="Arial-BoldMT"/>
          <w:bCs/>
          <w:color w:val="FF0000"/>
          <w:sz w:val="24"/>
          <w:szCs w:val="24"/>
          <w:u w:val="single"/>
          <w:lang w:val="en-US" w:eastAsia="zh-CN"/>
        </w:rPr>
        <w:t xml:space="preserve">1 (binary) indicates Data-only TDD </w:t>
      </w:r>
      <w:r w:rsidR="001036EA">
        <w:rPr>
          <w:rFonts w:ascii="Arial-BoldMT" w:hAnsi="Arial-BoldMT" w:cs="Arial-BoldMT"/>
          <w:bCs/>
          <w:color w:val="FF0000"/>
          <w:sz w:val="24"/>
          <w:szCs w:val="24"/>
          <w:u w:val="single"/>
          <w:lang w:val="en-US" w:eastAsia="zh-CN"/>
        </w:rPr>
        <w:t>s</w:t>
      </w:r>
      <w:r w:rsidRPr="00DC3B20">
        <w:rPr>
          <w:rFonts w:ascii="Arial-BoldMT" w:hAnsi="Arial-BoldMT" w:cs="Arial-BoldMT"/>
          <w:bCs/>
          <w:color w:val="FF0000"/>
          <w:sz w:val="24"/>
          <w:szCs w:val="24"/>
          <w:u w:val="single"/>
          <w:lang w:val="en-US" w:eastAsia="zh-CN"/>
        </w:rPr>
        <w:t>lot.</w:t>
      </w:r>
      <w:r w:rsidR="001F54F9">
        <w:rPr>
          <w:rFonts w:ascii="Arial-BoldMT" w:hAnsi="Arial-BoldMT" w:cs="Arial-BoldMT"/>
          <w:bCs/>
          <w:color w:val="FF0000"/>
          <w:sz w:val="24"/>
          <w:szCs w:val="24"/>
          <w:u w:val="single"/>
          <w:lang w:val="en-US" w:eastAsia="zh-CN"/>
        </w:rPr>
        <w:t xml:space="preserve"> </w:t>
      </w:r>
      <w:r w:rsidR="001F54F9" w:rsidRPr="00B96C60">
        <w:rPr>
          <w:rFonts w:ascii="Arial-BoldMT" w:hAnsi="Arial-BoldMT" w:cs="Arial-BoldMT"/>
          <w:bCs/>
          <w:color w:val="FF0000"/>
          <w:sz w:val="24"/>
          <w:szCs w:val="24"/>
          <w:u w:val="single"/>
          <w:lang w:val="en-US" w:eastAsia="zh-CN"/>
        </w:rPr>
        <w:t>Values 10 (binary) and 11 (binary) are reserved.</w:t>
      </w:r>
      <w:r w:rsidR="00C85CC0">
        <w:rPr>
          <w:rFonts w:ascii="Arial-BoldMT" w:hAnsi="Arial-BoldMT" w:cs="Arial-BoldMT"/>
          <w:bCs/>
          <w:color w:val="FF0000"/>
          <w:sz w:val="24"/>
          <w:szCs w:val="24"/>
          <w:u w:val="single"/>
          <w:lang w:val="en-US" w:eastAsia="zh-CN"/>
        </w:rPr>
        <w:t xml:space="preserve"> T</w:t>
      </w:r>
      <w:r>
        <w:rPr>
          <w:rFonts w:ascii="Arial-BoldMT" w:hAnsi="Arial-BoldMT" w:cs="Arial-BoldMT"/>
          <w:bCs/>
          <w:color w:val="FF0000"/>
          <w:sz w:val="24"/>
          <w:szCs w:val="24"/>
          <w:u w:val="single"/>
          <w:lang w:val="en-US" w:eastAsia="zh-CN"/>
        </w:rPr>
        <w:t xml:space="preserve">he size of the Slot Category Schedule field is a function of the value of the Number of TDD Slots per TDD Interval subfield in the TDD Slot Structure element, </w:t>
      </w:r>
      <w:r w:rsidRPr="00A1422E">
        <w:rPr>
          <w:rFonts w:ascii="Arial-BoldMT" w:hAnsi="Arial-BoldMT" w:cs="Arial-BoldMT"/>
          <w:bCs/>
          <w:i/>
          <w:color w:val="FF0000"/>
          <w:sz w:val="24"/>
          <w:szCs w:val="24"/>
          <w:u w:val="single"/>
          <w:lang w:val="en-US" w:eastAsia="zh-CN"/>
        </w:rPr>
        <w:t>M</w:t>
      </w:r>
      <w:r>
        <w:rPr>
          <w:rFonts w:ascii="Arial-BoldMT" w:hAnsi="Arial-BoldMT" w:cs="Arial-BoldMT"/>
          <w:bCs/>
          <w:color w:val="FF0000"/>
          <w:sz w:val="24"/>
          <w:szCs w:val="24"/>
          <w:u w:val="single"/>
          <w:lang w:val="en-US" w:eastAsia="zh-CN"/>
        </w:rPr>
        <w:t xml:space="preserve">, and the value of the Number of TDD Intervals in the Bitmap subfield, </w:t>
      </w:r>
      <w:r w:rsidRPr="00A1422E">
        <w:rPr>
          <w:rFonts w:ascii="Arial-BoldMT" w:hAnsi="Arial-BoldMT" w:cs="Arial-BoldMT"/>
          <w:bCs/>
          <w:i/>
          <w:color w:val="FF0000"/>
          <w:sz w:val="24"/>
          <w:szCs w:val="24"/>
          <w:u w:val="single"/>
          <w:lang w:val="en-US" w:eastAsia="zh-CN"/>
        </w:rPr>
        <w:t>Q</w:t>
      </w:r>
      <w:r>
        <w:rPr>
          <w:rFonts w:ascii="Arial-BoldMT" w:hAnsi="Arial-BoldMT" w:cs="Arial-BoldMT"/>
          <w:bCs/>
          <w:color w:val="FF0000"/>
          <w:sz w:val="24"/>
          <w:szCs w:val="24"/>
          <w:u w:val="single"/>
          <w:lang w:val="en-US" w:eastAsia="zh-CN"/>
        </w:rPr>
        <w:t>.</w:t>
      </w:r>
    </w:p>
    <w:p w14:paraId="63DF6B53" w14:textId="58B860B1" w:rsidR="00F03486" w:rsidRDefault="00F03486" w:rsidP="00286C1C">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34625D5D" w14:textId="43EDA956" w:rsidR="00F03486" w:rsidRDefault="00F03486" w:rsidP="00286C1C">
      <w:pPr>
        <w:widowControl w:val="0"/>
        <w:autoSpaceDE w:val="0"/>
        <w:autoSpaceDN w:val="0"/>
        <w:adjustRightInd w:val="0"/>
        <w:jc w:val="both"/>
        <w:rPr>
          <w:rFonts w:ascii="Arial-BoldMT" w:hAnsi="Arial-BoldMT" w:cs="Arial-BoldMT" w:hint="eastAsia"/>
          <w:b/>
          <w:bCs/>
          <w:sz w:val="24"/>
          <w:szCs w:val="24"/>
          <w:lang w:val="en-US" w:eastAsia="zh-CN"/>
        </w:rPr>
      </w:pPr>
      <w:r w:rsidRPr="00F03486">
        <w:rPr>
          <w:rFonts w:ascii="Arial-BoldMT" w:hAnsi="Arial-BoldMT" w:cs="Arial-BoldMT"/>
          <w:b/>
          <w:bCs/>
          <w:sz w:val="24"/>
          <w:szCs w:val="24"/>
          <w:lang w:val="en-US" w:eastAsia="zh-CN"/>
        </w:rPr>
        <w:t>10.24.7.7 Originator’s behavior</w:t>
      </w:r>
    </w:p>
    <w:p w14:paraId="01D33104" w14:textId="77564BA2" w:rsidR="00B96C60" w:rsidRPr="00B96C60" w:rsidRDefault="00B96C60" w:rsidP="00B96C60">
      <w:pPr>
        <w:autoSpaceDE w:val="0"/>
        <w:autoSpaceDN w:val="0"/>
        <w:jc w:val="both"/>
        <w:rPr>
          <w:rFonts w:ascii="Arial-BoldMT" w:hAnsi="Arial-BoldMT" w:cs="Arial-BoldMT" w:hint="eastAsia"/>
          <w:color w:val="000000"/>
          <w:sz w:val="24"/>
          <w:szCs w:val="24"/>
          <w:lang w:val="en-US" w:eastAsia="zh-CN"/>
        </w:rPr>
      </w:pPr>
      <w:r w:rsidRPr="00B96C60">
        <w:rPr>
          <w:rFonts w:ascii="Arial-BoldMT" w:hAnsi="Arial-BoldMT" w:cs="Arial-BoldMT"/>
          <w:sz w:val="24"/>
          <w:szCs w:val="24"/>
        </w:rPr>
        <w:t xml:space="preserve">A STA may send a block of data in a single A-MPDU where each Data frame has its Ack Policy field set to Normal Ack. The originator expects to receive a </w:t>
      </w:r>
      <w:proofErr w:type="spellStart"/>
      <w:r w:rsidRPr="00B96C60">
        <w:rPr>
          <w:rFonts w:ascii="Arial-BoldMT" w:hAnsi="Arial-BoldMT" w:cs="Arial-BoldMT"/>
          <w:sz w:val="24"/>
          <w:szCs w:val="24"/>
        </w:rPr>
        <w:t>BlockAck</w:t>
      </w:r>
      <w:proofErr w:type="spellEnd"/>
      <w:r w:rsidRPr="00B96C60">
        <w:rPr>
          <w:rFonts w:ascii="Arial-BoldMT" w:hAnsi="Arial-BoldMT" w:cs="Arial-BoldMT"/>
          <w:sz w:val="24"/>
          <w:szCs w:val="24"/>
        </w:rPr>
        <w:t xml:space="preserve"> frame response immediately following the A-MPDU if at least one Data frame is received without error.</w:t>
      </w:r>
      <w:r w:rsidRPr="00B96C60">
        <w:rPr>
          <w:rFonts w:ascii="Arial-BoldMT" w:hAnsi="Arial-BoldMT" w:cs="Arial-BoldMT"/>
          <w:color w:val="000000"/>
          <w:sz w:val="24"/>
          <w:szCs w:val="24"/>
          <w:lang w:eastAsia="zh-CN"/>
        </w:rPr>
        <w:t xml:space="preserve"> </w:t>
      </w:r>
    </w:p>
    <w:p w14:paraId="61C7398D" w14:textId="77777777" w:rsidR="00DE5F58" w:rsidRDefault="00B96C60" w:rsidP="00AB6B9A">
      <w:pPr>
        <w:jc w:val="both"/>
        <w:rPr>
          <w:rFonts w:ascii="Arial-BoldMT" w:hAnsi="Arial-BoldMT" w:cs="Arial-BoldMT" w:hint="eastAsia"/>
          <w:b/>
          <w:bCs/>
          <w:color w:val="FF0000"/>
          <w:sz w:val="24"/>
          <w:szCs w:val="24"/>
          <w:u w:val="single"/>
          <w:lang w:eastAsia="zh-CN"/>
        </w:rPr>
      </w:pPr>
      <w:bookmarkStart w:id="2" w:name="_Hlk502839010"/>
      <w:r w:rsidRPr="00B96C60">
        <w:rPr>
          <w:rFonts w:ascii="Arial-BoldMT" w:hAnsi="Arial-BoldMT" w:cs="Arial-BoldMT"/>
          <w:color w:val="FF0000"/>
          <w:sz w:val="24"/>
          <w:szCs w:val="24"/>
          <w:u w:val="single"/>
          <w:lang w:eastAsia="zh-CN"/>
        </w:rPr>
        <w:t xml:space="preserve">The DMG STA originator operating in an SP with TDD channel access (see 10.36.6.2.2 (SP with TDD Channel Access)) expects to receive a </w:t>
      </w:r>
      <w:proofErr w:type="spellStart"/>
      <w:r w:rsidRPr="00B96C60">
        <w:rPr>
          <w:rFonts w:ascii="Arial-BoldMT" w:hAnsi="Arial-BoldMT" w:cs="Arial-BoldMT"/>
          <w:color w:val="FF0000"/>
          <w:sz w:val="24"/>
          <w:szCs w:val="24"/>
          <w:u w:val="single"/>
          <w:lang w:eastAsia="zh-CN"/>
        </w:rPr>
        <w:t>BlockAck</w:t>
      </w:r>
      <w:proofErr w:type="spellEnd"/>
      <w:r w:rsidRPr="00B96C60">
        <w:rPr>
          <w:rFonts w:ascii="Arial-BoldMT" w:hAnsi="Arial-BoldMT" w:cs="Arial-BoldMT"/>
          <w:color w:val="FF0000"/>
          <w:sz w:val="24"/>
          <w:szCs w:val="24"/>
          <w:u w:val="single"/>
          <w:lang w:eastAsia="zh-CN"/>
        </w:rPr>
        <w:t xml:space="preserve"> frame response in the earliest occurring TDD slot with slot category of the TDD slot set to Basic TDD slot as defined in </w:t>
      </w:r>
      <w:r w:rsidRPr="00B96C60">
        <w:rPr>
          <w:rFonts w:ascii="Arial-BoldMT" w:hAnsi="Arial-BoldMT" w:cs="Arial-BoldMT"/>
          <w:b/>
          <w:bCs/>
          <w:color w:val="FF0000"/>
          <w:sz w:val="24"/>
          <w:szCs w:val="24"/>
          <w:u w:val="single"/>
          <w:lang w:eastAsia="zh-CN"/>
        </w:rPr>
        <w:t>10.24.7.5</w:t>
      </w:r>
      <w:r w:rsidR="0088033F" w:rsidRPr="0088033F">
        <w:rPr>
          <w:rFonts w:ascii="Arial-BoldMT" w:hAnsi="Arial-BoldMT" w:cs="Arial-BoldMT"/>
          <w:b/>
          <w:bCs/>
          <w:color w:val="000000" w:themeColor="text1"/>
          <w:sz w:val="24"/>
          <w:szCs w:val="24"/>
          <w:lang w:val="en-US" w:eastAsia="zh-CN"/>
        </w:rPr>
        <w:t xml:space="preserve"> </w:t>
      </w:r>
      <w:r w:rsidR="007B3534" w:rsidRPr="007B3534">
        <w:rPr>
          <w:rFonts w:ascii="Arial-BoldMT" w:hAnsi="Arial-BoldMT" w:cs="Arial-BoldMT"/>
          <w:b/>
          <w:bCs/>
          <w:color w:val="FF0000"/>
          <w:sz w:val="24"/>
          <w:szCs w:val="24"/>
          <w:lang w:val="en-US" w:eastAsia="zh-CN"/>
        </w:rPr>
        <w:t>(</w:t>
      </w:r>
      <w:r w:rsidR="0088033F" w:rsidRPr="007B3534">
        <w:rPr>
          <w:rFonts w:ascii="Arial-BoldMT" w:hAnsi="Arial-BoldMT" w:cs="Arial-BoldMT"/>
          <w:bCs/>
          <w:color w:val="FF0000"/>
          <w:sz w:val="24"/>
          <w:szCs w:val="24"/>
          <w:u w:val="single"/>
          <w:lang w:val="en-US" w:eastAsia="zh-CN"/>
        </w:rPr>
        <w:t xml:space="preserve">Generation and transmission of </w:t>
      </w:r>
      <w:proofErr w:type="spellStart"/>
      <w:r w:rsidR="0088033F" w:rsidRPr="007B3534">
        <w:rPr>
          <w:rFonts w:ascii="Arial-BoldMT" w:hAnsi="Arial-BoldMT" w:cs="Arial-BoldMT"/>
          <w:bCs/>
          <w:color w:val="FF0000"/>
          <w:sz w:val="24"/>
          <w:szCs w:val="24"/>
          <w:u w:val="single"/>
          <w:lang w:val="en-US" w:eastAsia="zh-CN"/>
        </w:rPr>
        <w:t>BlockAck</w:t>
      </w:r>
      <w:proofErr w:type="spellEnd"/>
      <w:r w:rsidR="0088033F" w:rsidRPr="007B3534">
        <w:rPr>
          <w:rFonts w:ascii="Arial-BoldMT" w:hAnsi="Arial-BoldMT" w:cs="Arial-BoldMT"/>
          <w:bCs/>
          <w:color w:val="FF0000"/>
          <w:sz w:val="24"/>
          <w:szCs w:val="24"/>
          <w:u w:val="single"/>
          <w:lang w:val="en-US" w:eastAsia="zh-CN"/>
        </w:rPr>
        <w:t xml:space="preserve"> frames by an HT STA or DMG STA</w:t>
      </w:r>
      <w:r w:rsidR="007B3534">
        <w:rPr>
          <w:rFonts w:ascii="Arial-BoldMT" w:hAnsi="Arial-BoldMT" w:cs="Arial-BoldMT"/>
          <w:bCs/>
          <w:color w:val="FF0000"/>
          <w:sz w:val="24"/>
          <w:szCs w:val="24"/>
          <w:u w:val="single"/>
          <w:lang w:val="en-US" w:eastAsia="zh-CN"/>
        </w:rPr>
        <w:t>)</w:t>
      </w:r>
      <w:r w:rsidRPr="00B96C60">
        <w:rPr>
          <w:rFonts w:ascii="Arial-BoldMT" w:hAnsi="Arial-BoldMT" w:cs="Arial-BoldMT"/>
          <w:b/>
          <w:bCs/>
          <w:color w:val="FF0000"/>
          <w:sz w:val="24"/>
          <w:szCs w:val="24"/>
          <w:u w:val="single"/>
          <w:lang w:eastAsia="zh-CN"/>
        </w:rPr>
        <w:t xml:space="preserve"> </w:t>
      </w:r>
      <w:r w:rsidRPr="00B96C60">
        <w:rPr>
          <w:rFonts w:ascii="Arial-BoldMT" w:hAnsi="Arial-BoldMT" w:cs="Arial-BoldMT"/>
          <w:color w:val="FF0000"/>
          <w:sz w:val="24"/>
          <w:szCs w:val="24"/>
          <w:u w:val="single"/>
        </w:rPr>
        <w:t>if at least one Data frame is received without error</w:t>
      </w:r>
      <w:r w:rsidRPr="00B96C60">
        <w:rPr>
          <w:rFonts w:ascii="Arial-BoldMT" w:hAnsi="Arial-BoldMT" w:cs="Arial-BoldMT"/>
          <w:b/>
          <w:bCs/>
          <w:color w:val="FF0000"/>
          <w:sz w:val="24"/>
          <w:szCs w:val="24"/>
          <w:u w:val="single"/>
          <w:lang w:eastAsia="zh-CN"/>
        </w:rPr>
        <w:t xml:space="preserve">. </w:t>
      </w:r>
      <w:bookmarkStart w:id="3" w:name="_Hlk502839607"/>
    </w:p>
    <w:p w14:paraId="1C5C8CBE" w14:textId="77777777" w:rsidR="00DE5F58" w:rsidRDefault="00DE5F58" w:rsidP="00AB6B9A">
      <w:pPr>
        <w:jc w:val="both"/>
        <w:rPr>
          <w:rFonts w:ascii="Arial-BoldMT" w:hAnsi="Arial-BoldMT" w:cs="Arial" w:hint="eastAsia"/>
          <w:color w:val="FF0000"/>
          <w:sz w:val="24"/>
          <w:u w:val="single"/>
        </w:rPr>
      </w:pPr>
    </w:p>
    <w:p w14:paraId="36840970" w14:textId="09C1BEDE" w:rsidR="00AB6B9A" w:rsidRPr="00DE5F58" w:rsidRDefault="00AB6B9A" w:rsidP="00AB6B9A">
      <w:pPr>
        <w:jc w:val="both"/>
        <w:rPr>
          <w:rFonts w:ascii="Arial-BoldMT" w:hAnsi="Arial-BoldMT" w:cs="Arial-BoldMT" w:hint="eastAsia"/>
          <w:b/>
          <w:bCs/>
          <w:color w:val="FF0000"/>
          <w:sz w:val="24"/>
          <w:szCs w:val="24"/>
          <w:u w:val="single"/>
          <w:lang w:eastAsia="zh-CN"/>
        </w:rPr>
      </w:pPr>
      <w:r w:rsidRPr="008F35AD">
        <w:rPr>
          <w:rFonts w:ascii="Arial-BoldMT" w:hAnsi="Arial-BoldMT" w:cs="Arial"/>
          <w:color w:val="FF0000"/>
          <w:sz w:val="24"/>
          <w:u w:val="single"/>
        </w:rPr>
        <w:t>The DMG AP or PCP originator operating in an SP with TDD channel access (see 10.36.6.2.2 (SP with TDD Channel Access)) shall not transmit more than one MPDU or A-MPDU that has an Ack Policy of Normal Ack to a non-AP and non-PCP STA per each occurrence of a TDD slot the non-AP and non-PCP STA is assigned to, with access permission of the TDD slot set to simplex RX TDD slot, and with slot category of the TDD slot set to Basic TDD slot, as indicated in the TDD Slot Schedule element (see 9.4.2.268).</w:t>
      </w:r>
      <w:r w:rsidRPr="008F35AD">
        <w:rPr>
          <w:rFonts w:ascii="Arial-BoldMT" w:hAnsi="Arial-BoldMT" w:cs="Arial"/>
          <w:color w:val="FF0000"/>
          <w:sz w:val="24"/>
          <w:u w:val="single"/>
        </w:rPr>
        <w:br/>
        <w:t>The non-AP and non-PCP originator operating in an SP with TDD channel access (see 10.36.6.2.2 (SP with TDD Channel Access)) shall not transmit more than one MPDU or A-MPDU that has an Ack Policy of Normal Ack to a DMG AP or PCP per each occurrence of a TDD slot the DMG AP or PCP is assigned to, with access permission of the TDD slot set to simplex TX TDD slot, and with slot category of the TDD slot set to Basic TDD slot, as indicated in the TDD Slot Schedule element (see 9.4.2.268)</w:t>
      </w:r>
      <w:r w:rsidR="00DE5F58">
        <w:rPr>
          <w:rFonts w:ascii="Arial-BoldMT" w:hAnsi="Arial-BoldMT" w:cs="Arial"/>
          <w:color w:val="FF0000"/>
          <w:sz w:val="24"/>
          <w:u w:val="single"/>
        </w:rPr>
        <w:t>.</w:t>
      </w:r>
    </w:p>
    <w:p w14:paraId="1E0C052D" w14:textId="56A34617" w:rsidR="00B96C60" w:rsidRPr="00AB6B9A" w:rsidRDefault="00B96C60" w:rsidP="007B3534">
      <w:pPr>
        <w:widowControl w:val="0"/>
        <w:autoSpaceDE w:val="0"/>
        <w:autoSpaceDN w:val="0"/>
        <w:adjustRightInd w:val="0"/>
        <w:rPr>
          <w:rFonts w:ascii="Arial" w:hAnsi="Arial" w:cs="Arial"/>
          <w:color w:val="FF0000"/>
          <w:sz w:val="28"/>
          <w:szCs w:val="24"/>
          <w:u w:val="single"/>
        </w:rPr>
      </w:pPr>
    </w:p>
    <w:bookmarkEnd w:id="2"/>
    <w:bookmarkEnd w:id="3"/>
    <w:p w14:paraId="0F8632DE" w14:textId="77777777" w:rsidR="00F03486" w:rsidRPr="00F03486" w:rsidRDefault="00F03486" w:rsidP="00286C1C">
      <w:pPr>
        <w:widowControl w:val="0"/>
        <w:autoSpaceDE w:val="0"/>
        <w:autoSpaceDN w:val="0"/>
        <w:adjustRightInd w:val="0"/>
        <w:jc w:val="both"/>
        <w:rPr>
          <w:rFonts w:ascii="Arial-BoldMT" w:hAnsi="Arial-BoldMT" w:cs="Arial-BoldMT" w:hint="eastAsia"/>
          <w:b/>
          <w:bCs/>
          <w:sz w:val="24"/>
          <w:szCs w:val="24"/>
          <w:lang w:val="en-US" w:eastAsia="zh-CN"/>
        </w:rPr>
      </w:pPr>
    </w:p>
    <w:p w14:paraId="56F65349" w14:textId="0E6B1A9F" w:rsidR="00BA4DB1" w:rsidRPr="00543E4E" w:rsidRDefault="00BA4DB1" w:rsidP="002E0633">
      <w:pPr>
        <w:widowControl w:val="0"/>
        <w:autoSpaceDE w:val="0"/>
        <w:autoSpaceDN w:val="0"/>
        <w:adjustRightInd w:val="0"/>
        <w:rPr>
          <w:rFonts w:ascii="Arial-BoldMT" w:hAnsi="Arial-BoldMT" w:cs="Arial-BoldMT" w:hint="eastAsia"/>
          <w:bCs/>
          <w:color w:val="000000" w:themeColor="text1"/>
          <w:sz w:val="32"/>
          <w:szCs w:val="32"/>
          <w:u w:val="single"/>
          <w:lang w:val="en-US" w:eastAsia="zh-CN"/>
        </w:rPr>
      </w:pPr>
      <w:r w:rsidRPr="00543E4E">
        <w:rPr>
          <w:rFonts w:ascii="Arial-BoldMT" w:hAnsi="Arial-BoldMT" w:cs="Arial-BoldMT"/>
          <w:bCs/>
          <w:color w:val="000000" w:themeColor="text1"/>
          <w:sz w:val="32"/>
          <w:szCs w:val="32"/>
          <w:u w:val="single"/>
          <w:lang w:val="en-US" w:eastAsia="zh-CN"/>
        </w:rPr>
        <w:t>References:</w:t>
      </w:r>
    </w:p>
    <w:p w14:paraId="51EFEF9D" w14:textId="0FA14D26" w:rsidR="002E0633" w:rsidRDefault="00BA4DB1" w:rsidP="000E5825">
      <w:pPr>
        <w:pStyle w:val="ListParagraph"/>
        <w:widowControl w:val="0"/>
        <w:numPr>
          <w:ilvl w:val="0"/>
          <w:numId w:val="23"/>
        </w:numPr>
        <w:autoSpaceDE w:val="0"/>
        <w:autoSpaceDN w:val="0"/>
        <w:adjustRightInd w:val="0"/>
        <w:rPr>
          <w:rFonts w:ascii="Arial-BoldMT" w:hAnsi="Arial-BoldMT" w:cs="Arial-BoldMT" w:hint="eastAsia"/>
          <w:bCs/>
          <w:color w:val="000000" w:themeColor="text1"/>
          <w:sz w:val="28"/>
          <w:szCs w:val="28"/>
          <w:lang w:val="en-US" w:eastAsia="zh-CN"/>
        </w:rPr>
      </w:pPr>
      <w:r w:rsidRPr="000E5825">
        <w:rPr>
          <w:rFonts w:ascii="Arial-BoldMT" w:hAnsi="Arial-BoldMT" w:cs="Arial-BoldMT"/>
          <w:bCs/>
          <w:color w:val="000000" w:themeColor="text1"/>
          <w:sz w:val="28"/>
          <w:szCs w:val="28"/>
          <w:lang w:val="en-US" w:eastAsia="zh-CN"/>
        </w:rPr>
        <w:t>11-17-1</w:t>
      </w:r>
      <w:r w:rsidR="003C63E0">
        <w:rPr>
          <w:rFonts w:ascii="Arial-BoldMT" w:hAnsi="Arial-BoldMT" w:cs="Arial-BoldMT"/>
          <w:bCs/>
          <w:color w:val="000000" w:themeColor="text1"/>
          <w:sz w:val="28"/>
          <w:szCs w:val="28"/>
          <w:lang w:val="en-US" w:eastAsia="zh-CN"/>
        </w:rPr>
        <w:t>640</w:t>
      </w:r>
      <w:r w:rsidRPr="000E5825">
        <w:rPr>
          <w:rFonts w:ascii="Arial-BoldMT" w:hAnsi="Arial-BoldMT" w:cs="Arial-BoldMT"/>
          <w:bCs/>
          <w:color w:val="000000" w:themeColor="text1"/>
          <w:sz w:val="28"/>
          <w:szCs w:val="28"/>
          <w:lang w:val="en-US" w:eastAsia="zh-CN"/>
        </w:rPr>
        <w:t>-0</w:t>
      </w:r>
      <w:r w:rsidR="003C63E0">
        <w:rPr>
          <w:rFonts w:ascii="Arial-BoldMT" w:hAnsi="Arial-BoldMT" w:cs="Arial-BoldMT"/>
          <w:bCs/>
          <w:color w:val="000000" w:themeColor="text1"/>
          <w:sz w:val="28"/>
          <w:szCs w:val="28"/>
          <w:lang w:val="en-US" w:eastAsia="zh-CN"/>
        </w:rPr>
        <w:t>0</w:t>
      </w:r>
      <w:r w:rsidRPr="000E5825">
        <w:rPr>
          <w:rFonts w:ascii="Arial-BoldMT" w:hAnsi="Arial-BoldMT" w:cs="Arial-BoldMT"/>
          <w:bCs/>
          <w:color w:val="000000" w:themeColor="text1"/>
          <w:sz w:val="28"/>
          <w:szCs w:val="28"/>
          <w:lang w:val="en-US" w:eastAsia="zh-CN"/>
        </w:rPr>
        <w:t>-00ay-</w:t>
      </w:r>
      <w:r w:rsidR="003C63E0">
        <w:rPr>
          <w:rFonts w:ascii="Arial-BoldMT" w:hAnsi="Arial-BoldMT" w:cs="Arial-BoldMT"/>
          <w:bCs/>
          <w:color w:val="000000" w:themeColor="text1"/>
          <w:sz w:val="28"/>
          <w:szCs w:val="28"/>
          <w:lang w:val="en-US" w:eastAsia="zh-CN"/>
        </w:rPr>
        <w:t>draft-text-for-</w:t>
      </w:r>
      <w:r w:rsidRPr="000E5825">
        <w:rPr>
          <w:rFonts w:ascii="Arial-BoldMT" w:hAnsi="Arial-BoldMT" w:cs="Arial-BoldMT"/>
          <w:bCs/>
          <w:color w:val="000000" w:themeColor="text1"/>
          <w:sz w:val="28"/>
          <w:szCs w:val="28"/>
          <w:lang w:val="en-US" w:eastAsia="zh-CN"/>
        </w:rPr>
        <w:t>scheduling-for-mmwave-distribution-networks.</w:t>
      </w:r>
      <w:r w:rsidR="003C63E0">
        <w:rPr>
          <w:rFonts w:ascii="Arial-BoldMT" w:hAnsi="Arial-BoldMT" w:cs="Arial-BoldMT"/>
          <w:bCs/>
          <w:color w:val="000000" w:themeColor="text1"/>
          <w:sz w:val="28"/>
          <w:szCs w:val="28"/>
          <w:lang w:val="en-US" w:eastAsia="zh-CN"/>
        </w:rPr>
        <w:t>docx</w:t>
      </w:r>
    </w:p>
    <w:p w14:paraId="3C0A240F" w14:textId="55814443" w:rsidR="000D5A2B" w:rsidRDefault="000D5A2B" w:rsidP="000E5825">
      <w:pPr>
        <w:pStyle w:val="ListParagraph"/>
        <w:widowControl w:val="0"/>
        <w:numPr>
          <w:ilvl w:val="0"/>
          <w:numId w:val="23"/>
        </w:numPr>
        <w:autoSpaceDE w:val="0"/>
        <w:autoSpaceDN w:val="0"/>
        <w:adjustRightInd w:val="0"/>
        <w:rPr>
          <w:rFonts w:ascii="Arial-BoldMT" w:hAnsi="Arial-BoldMT" w:cs="Arial-BoldMT" w:hint="eastAsia"/>
          <w:bCs/>
          <w:color w:val="000000" w:themeColor="text1"/>
          <w:sz w:val="28"/>
          <w:szCs w:val="28"/>
          <w:lang w:val="en-US" w:eastAsia="zh-CN"/>
        </w:rPr>
      </w:pPr>
      <w:r>
        <w:rPr>
          <w:rFonts w:ascii="Arial-BoldMT" w:hAnsi="Arial-BoldMT" w:cs="Arial-BoldMT"/>
          <w:bCs/>
          <w:color w:val="000000" w:themeColor="text1"/>
          <w:sz w:val="28"/>
          <w:szCs w:val="28"/>
          <w:lang w:val="en-US" w:eastAsia="zh-CN"/>
        </w:rPr>
        <w:t>11-17-1647-00-00ay-Ack/BA-for-mmWave-Distribution-Networks.pptx</w:t>
      </w:r>
    </w:p>
    <w:p w14:paraId="1D82C16C" w14:textId="4F34F107" w:rsidR="000E5825" w:rsidRPr="000E5825" w:rsidRDefault="00EC0E70" w:rsidP="00007E31">
      <w:pPr>
        <w:pStyle w:val="ListParagraph"/>
        <w:widowControl w:val="0"/>
        <w:numPr>
          <w:ilvl w:val="0"/>
          <w:numId w:val="23"/>
        </w:numPr>
        <w:autoSpaceDE w:val="0"/>
        <w:autoSpaceDN w:val="0"/>
        <w:adjustRightInd w:val="0"/>
        <w:rPr>
          <w:rFonts w:ascii="Arial-BoldMT" w:hAnsi="Arial-BoldMT" w:cs="Arial-BoldMT" w:hint="eastAsia"/>
          <w:bCs/>
          <w:color w:val="000000" w:themeColor="text1"/>
          <w:sz w:val="28"/>
          <w:szCs w:val="28"/>
          <w:lang w:val="en-US" w:eastAsia="zh-CN"/>
        </w:rPr>
      </w:pPr>
      <w:r>
        <w:rPr>
          <w:rFonts w:ascii="Arial-BoldMT" w:hAnsi="Arial-BoldMT" w:cs="Arial-BoldMT"/>
          <w:bCs/>
          <w:color w:val="000000" w:themeColor="text1"/>
          <w:sz w:val="28"/>
          <w:szCs w:val="28"/>
          <w:lang w:val="en-US" w:eastAsia="zh-CN"/>
        </w:rPr>
        <w:t>IEEE P802.11ay/D1.0, Nov 2017</w:t>
      </w:r>
    </w:p>
    <w:sectPr w:rsidR="000E5825" w:rsidRPr="000E582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E99DA" w14:textId="77777777" w:rsidR="002A2C6F" w:rsidRDefault="002A2C6F">
      <w:r>
        <w:separator/>
      </w:r>
    </w:p>
  </w:endnote>
  <w:endnote w:type="continuationSeparator" w:id="0">
    <w:p w14:paraId="3F2E5ECF" w14:textId="77777777" w:rsidR="002A2C6F" w:rsidRDefault="002A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8FFE" w14:textId="0B5FA3F0" w:rsidR="00AE02EA" w:rsidRDefault="002A2C6F">
    <w:pPr>
      <w:pStyle w:val="Footer"/>
      <w:tabs>
        <w:tab w:val="clear" w:pos="6480"/>
        <w:tab w:val="center" w:pos="4680"/>
        <w:tab w:val="right" w:pos="9360"/>
      </w:tabs>
    </w:pPr>
    <w:r>
      <w:fldChar w:fldCharType="begin"/>
    </w:r>
    <w:r>
      <w:instrText xml:space="preserve"> SUBJECT  \* MERGEFORMAT </w:instrText>
    </w:r>
    <w:r>
      <w:fldChar w:fldCharType="separate"/>
    </w:r>
    <w:r w:rsidR="00AE02EA">
      <w:t>Submission</w:t>
    </w:r>
    <w:r>
      <w:fldChar w:fldCharType="end"/>
    </w:r>
    <w:r w:rsidR="00AE02EA">
      <w:tab/>
      <w:t xml:space="preserve">page </w:t>
    </w:r>
    <w:r w:rsidR="00AE02EA">
      <w:fldChar w:fldCharType="begin"/>
    </w:r>
    <w:r w:rsidR="00AE02EA">
      <w:instrText xml:space="preserve">page </w:instrText>
    </w:r>
    <w:r w:rsidR="00AE02EA">
      <w:fldChar w:fldCharType="separate"/>
    </w:r>
    <w:r w:rsidR="00AC5ACA">
      <w:rPr>
        <w:noProof/>
      </w:rPr>
      <w:t>7</w:t>
    </w:r>
    <w:r w:rsidR="00AE02EA">
      <w:fldChar w:fldCharType="end"/>
    </w:r>
    <w:r w:rsidR="00AE02EA">
      <w:tab/>
    </w:r>
    <w:r>
      <w:fldChar w:fldCharType="begin"/>
    </w:r>
    <w:r>
      <w:instrText xml:space="preserve"> COMMENTS  \* MERGEFORMAT </w:instrText>
    </w:r>
    <w:r>
      <w:fldChar w:fldCharType="separate"/>
    </w:r>
    <w:r w:rsidR="00886F0F">
      <w:t>Lochan Verma</w:t>
    </w:r>
    <w:r w:rsidR="00784476">
      <w:t xml:space="preserve">, </w:t>
    </w:r>
    <w:r w:rsidR="00886F0F">
      <w:t>Qualcomm</w:t>
    </w:r>
    <w:r>
      <w:fldChar w:fldCharType="end"/>
    </w:r>
  </w:p>
  <w:p w14:paraId="5C69FA55" w14:textId="77777777" w:rsidR="00AE02EA" w:rsidRDefault="00AE02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86EC0" w14:textId="77777777" w:rsidR="002A2C6F" w:rsidRDefault="002A2C6F">
      <w:r>
        <w:separator/>
      </w:r>
    </w:p>
  </w:footnote>
  <w:footnote w:type="continuationSeparator" w:id="0">
    <w:p w14:paraId="357D015E" w14:textId="77777777" w:rsidR="002A2C6F" w:rsidRDefault="002A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49E6" w14:textId="30E1B56B" w:rsidR="00AE02EA" w:rsidRDefault="00DB7637">
    <w:pPr>
      <w:pStyle w:val="Header"/>
      <w:tabs>
        <w:tab w:val="clear" w:pos="6480"/>
        <w:tab w:val="center" w:pos="4680"/>
        <w:tab w:val="right" w:pos="9360"/>
      </w:tabs>
    </w:pPr>
    <w:r>
      <w:t>Jan 2018</w:t>
    </w:r>
    <w:r w:rsidR="00AE02EA">
      <w:tab/>
    </w:r>
    <w:r w:rsidR="00AE02EA">
      <w:tab/>
    </w:r>
    <w:r w:rsidR="002A2C6F">
      <w:fldChar w:fldCharType="begin"/>
    </w:r>
    <w:r w:rsidR="002A2C6F">
      <w:instrText xml:space="preserve"> TITLE  \* MERGEFORMAT </w:instrText>
    </w:r>
    <w:r w:rsidR="002A2C6F">
      <w:fldChar w:fldCharType="separate"/>
    </w:r>
    <w:r w:rsidR="00AE02EA">
      <w:t>doc.: IEEE 802.11-</w:t>
    </w:r>
    <w:r>
      <w:t>18</w:t>
    </w:r>
    <w:r w:rsidR="00AE02EA">
      <w:t>/</w:t>
    </w:r>
    <w:r>
      <w:t>0069r</w:t>
    </w:r>
    <w:r w:rsidR="00AC5ACA">
      <w:t>1</w:t>
    </w:r>
    <w:r w:rsidR="002A2C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6ED54076"/>
    <w:multiLevelType w:val="hybridMultilevel"/>
    <w:tmpl w:val="41F6E0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F183E"/>
    <w:multiLevelType w:val="hybridMultilevel"/>
    <w:tmpl w:val="3082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6"/>
  </w:num>
  <w:num w:numId="5">
    <w:abstractNumId w:val="6"/>
  </w:num>
  <w:num w:numId="6">
    <w:abstractNumId w:val="16"/>
  </w:num>
  <w:num w:numId="7">
    <w:abstractNumId w:val="16"/>
  </w:num>
  <w:num w:numId="8">
    <w:abstractNumId w:val="13"/>
  </w:num>
  <w:num w:numId="9">
    <w:abstractNumId w:val="19"/>
  </w:num>
  <w:num w:numId="10">
    <w:abstractNumId w:val="7"/>
  </w:num>
  <w:num w:numId="1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5"/>
  </w:num>
  <w:num w:numId="16">
    <w:abstractNumId w:val="11"/>
  </w:num>
  <w:num w:numId="17">
    <w:abstractNumId w:val="16"/>
  </w:num>
  <w:num w:numId="18">
    <w:abstractNumId w:val="9"/>
  </w:num>
  <w:num w:numId="19">
    <w:abstractNumId w:val="10"/>
  </w:num>
  <w:num w:numId="20">
    <w:abstractNumId w:val="8"/>
  </w:num>
  <w:num w:numId="21">
    <w:abstractNumId w:val="20"/>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num>
  <w:num w:numId="24">
    <w:abstractNumId w:val="17"/>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465D"/>
    <w:rsid w:val="00007083"/>
    <w:rsid w:val="000131B6"/>
    <w:rsid w:val="0001761A"/>
    <w:rsid w:val="00024588"/>
    <w:rsid w:val="000249C0"/>
    <w:rsid w:val="00030709"/>
    <w:rsid w:val="00034747"/>
    <w:rsid w:val="000377E9"/>
    <w:rsid w:val="00040656"/>
    <w:rsid w:val="00043953"/>
    <w:rsid w:val="00045021"/>
    <w:rsid w:val="0004589F"/>
    <w:rsid w:val="000541D4"/>
    <w:rsid w:val="00055ACF"/>
    <w:rsid w:val="000561F8"/>
    <w:rsid w:val="00056E81"/>
    <w:rsid w:val="00064509"/>
    <w:rsid w:val="00067B51"/>
    <w:rsid w:val="00071870"/>
    <w:rsid w:val="000762BA"/>
    <w:rsid w:val="000767E6"/>
    <w:rsid w:val="00076FAB"/>
    <w:rsid w:val="000771C3"/>
    <w:rsid w:val="00077C3D"/>
    <w:rsid w:val="00084E77"/>
    <w:rsid w:val="00087E5D"/>
    <w:rsid w:val="0009259F"/>
    <w:rsid w:val="000934C4"/>
    <w:rsid w:val="00097638"/>
    <w:rsid w:val="000A3030"/>
    <w:rsid w:val="000C0859"/>
    <w:rsid w:val="000C0CB3"/>
    <w:rsid w:val="000D1171"/>
    <w:rsid w:val="000D2043"/>
    <w:rsid w:val="000D4550"/>
    <w:rsid w:val="000D5A2B"/>
    <w:rsid w:val="000D644B"/>
    <w:rsid w:val="000D6DF7"/>
    <w:rsid w:val="000E4006"/>
    <w:rsid w:val="000E5825"/>
    <w:rsid w:val="000E5E0E"/>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57242"/>
    <w:rsid w:val="00161494"/>
    <w:rsid w:val="0017173E"/>
    <w:rsid w:val="001742DF"/>
    <w:rsid w:val="001761AA"/>
    <w:rsid w:val="001841E1"/>
    <w:rsid w:val="001A1C9E"/>
    <w:rsid w:val="001B3108"/>
    <w:rsid w:val="001B7F25"/>
    <w:rsid w:val="001C4631"/>
    <w:rsid w:val="001D723B"/>
    <w:rsid w:val="001E43EC"/>
    <w:rsid w:val="001F1570"/>
    <w:rsid w:val="001F3DC5"/>
    <w:rsid w:val="001F5448"/>
    <w:rsid w:val="001F54F9"/>
    <w:rsid w:val="001F55BB"/>
    <w:rsid w:val="001F6E53"/>
    <w:rsid w:val="00200AB7"/>
    <w:rsid w:val="002021F3"/>
    <w:rsid w:val="00202F50"/>
    <w:rsid w:val="002105D8"/>
    <w:rsid w:val="00217583"/>
    <w:rsid w:val="00222F05"/>
    <w:rsid w:val="0023047A"/>
    <w:rsid w:val="00231AD3"/>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2C6F"/>
    <w:rsid w:val="002A38E6"/>
    <w:rsid w:val="002A7F90"/>
    <w:rsid w:val="002B1D51"/>
    <w:rsid w:val="002B2C16"/>
    <w:rsid w:val="002B5C52"/>
    <w:rsid w:val="002C1896"/>
    <w:rsid w:val="002C1F7A"/>
    <w:rsid w:val="002C4947"/>
    <w:rsid w:val="002D20D6"/>
    <w:rsid w:val="002D44BE"/>
    <w:rsid w:val="002E0633"/>
    <w:rsid w:val="002E23EB"/>
    <w:rsid w:val="002E6DC1"/>
    <w:rsid w:val="002E7394"/>
    <w:rsid w:val="002F2172"/>
    <w:rsid w:val="002F47FC"/>
    <w:rsid w:val="002F6FE3"/>
    <w:rsid w:val="002F7240"/>
    <w:rsid w:val="003035FF"/>
    <w:rsid w:val="003064BC"/>
    <w:rsid w:val="003157A3"/>
    <w:rsid w:val="003249B5"/>
    <w:rsid w:val="00325630"/>
    <w:rsid w:val="0032699D"/>
    <w:rsid w:val="003269C3"/>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4A1D"/>
    <w:rsid w:val="00455702"/>
    <w:rsid w:val="004563CB"/>
    <w:rsid w:val="00461FA9"/>
    <w:rsid w:val="00463238"/>
    <w:rsid w:val="00463B22"/>
    <w:rsid w:val="004746C3"/>
    <w:rsid w:val="00476830"/>
    <w:rsid w:val="00477D1F"/>
    <w:rsid w:val="00481BFA"/>
    <w:rsid w:val="00485FEE"/>
    <w:rsid w:val="00486E4A"/>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46C3"/>
    <w:rsid w:val="004E5069"/>
    <w:rsid w:val="004E7890"/>
    <w:rsid w:val="004F12FF"/>
    <w:rsid w:val="0050271E"/>
    <w:rsid w:val="00516053"/>
    <w:rsid w:val="00516895"/>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FAF"/>
    <w:rsid w:val="005B338E"/>
    <w:rsid w:val="005C01F6"/>
    <w:rsid w:val="005C4B33"/>
    <w:rsid w:val="005C51B7"/>
    <w:rsid w:val="005D1E4E"/>
    <w:rsid w:val="005D2EE4"/>
    <w:rsid w:val="005E4F57"/>
    <w:rsid w:val="005E6532"/>
    <w:rsid w:val="005F3840"/>
    <w:rsid w:val="00602BD1"/>
    <w:rsid w:val="00604414"/>
    <w:rsid w:val="00604CCA"/>
    <w:rsid w:val="00606D1D"/>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6DCF"/>
    <w:rsid w:val="0067354C"/>
    <w:rsid w:val="00677AEE"/>
    <w:rsid w:val="0069012E"/>
    <w:rsid w:val="00694C3F"/>
    <w:rsid w:val="006A33D3"/>
    <w:rsid w:val="006A484D"/>
    <w:rsid w:val="006A72F8"/>
    <w:rsid w:val="006B749D"/>
    <w:rsid w:val="006C0727"/>
    <w:rsid w:val="006E0B61"/>
    <w:rsid w:val="006E145F"/>
    <w:rsid w:val="006E6A84"/>
    <w:rsid w:val="006F544B"/>
    <w:rsid w:val="0070068C"/>
    <w:rsid w:val="00705EBC"/>
    <w:rsid w:val="00711A58"/>
    <w:rsid w:val="00713C50"/>
    <w:rsid w:val="00716B35"/>
    <w:rsid w:val="0071765F"/>
    <w:rsid w:val="007238AE"/>
    <w:rsid w:val="007426CA"/>
    <w:rsid w:val="00746907"/>
    <w:rsid w:val="0075553C"/>
    <w:rsid w:val="00770572"/>
    <w:rsid w:val="00771622"/>
    <w:rsid w:val="00773908"/>
    <w:rsid w:val="00783EC7"/>
    <w:rsid w:val="00784476"/>
    <w:rsid w:val="00790D17"/>
    <w:rsid w:val="007A0642"/>
    <w:rsid w:val="007A0FC0"/>
    <w:rsid w:val="007A4346"/>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28A5"/>
    <w:rsid w:val="0080701A"/>
    <w:rsid w:val="008127A0"/>
    <w:rsid w:val="0081351A"/>
    <w:rsid w:val="0082108B"/>
    <w:rsid w:val="008217F5"/>
    <w:rsid w:val="008250AF"/>
    <w:rsid w:val="00830A77"/>
    <w:rsid w:val="008377BD"/>
    <w:rsid w:val="00841C34"/>
    <w:rsid w:val="00852CCA"/>
    <w:rsid w:val="00876885"/>
    <w:rsid w:val="00876EE1"/>
    <w:rsid w:val="0088033F"/>
    <w:rsid w:val="00886F0F"/>
    <w:rsid w:val="008879CE"/>
    <w:rsid w:val="008908D1"/>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317AF"/>
    <w:rsid w:val="00932656"/>
    <w:rsid w:val="00934BFC"/>
    <w:rsid w:val="00935043"/>
    <w:rsid w:val="00941969"/>
    <w:rsid w:val="00947039"/>
    <w:rsid w:val="00950A6B"/>
    <w:rsid w:val="009510B0"/>
    <w:rsid w:val="00951910"/>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56D6"/>
    <w:rsid w:val="009D10D5"/>
    <w:rsid w:val="009D1CB4"/>
    <w:rsid w:val="009D5A2D"/>
    <w:rsid w:val="009D6147"/>
    <w:rsid w:val="009E1F40"/>
    <w:rsid w:val="009E3628"/>
    <w:rsid w:val="009E5E2A"/>
    <w:rsid w:val="009F2FBC"/>
    <w:rsid w:val="009F364F"/>
    <w:rsid w:val="009F61DC"/>
    <w:rsid w:val="009F7083"/>
    <w:rsid w:val="009F7E57"/>
    <w:rsid w:val="00A050D8"/>
    <w:rsid w:val="00A11C7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C5ACA"/>
    <w:rsid w:val="00AD1B07"/>
    <w:rsid w:val="00AD6C2A"/>
    <w:rsid w:val="00AE0003"/>
    <w:rsid w:val="00AE02EA"/>
    <w:rsid w:val="00AE7715"/>
    <w:rsid w:val="00B01405"/>
    <w:rsid w:val="00B04410"/>
    <w:rsid w:val="00B0733F"/>
    <w:rsid w:val="00B07C83"/>
    <w:rsid w:val="00B14888"/>
    <w:rsid w:val="00B23408"/>
    <w:rsid w:val="00B25BF9"/>
    <w:rsid w:val="00B27BBC"/>
    <w:rsid w:val="00B32E78"/>
    <w:rsid w:val="00B36B1B"/>
    <w:rsid w:val="00B4547E"/>
    <w:rsid w:val="00B61435"/>
    <w:rsid w:val="00B67FA8"/>
    <w:rsid w:val="00B7218B"/>
    <w:rsid w:val="00B72411"/>
    <w:rsid w:val="00B7540B"/>
    <w:rsid w:val="00B865B9"/>
    <w:rsid w:val="00B93DC6"/>
    <w:rsid w:val="00B96C60"/>
    <w:rsid w:val="00BA3832"/>
    <w:rsid w:val="00BA455A"/>
    <w:rsid w:val="00BA4DB1"/>
    <w:rsid w:val="00BA501C"/>
    <w:rsid w:val="00BB2276"/>
    <w:rsid w:val="00BC2C6A"/>
    <w:rsid w:val="00BC45E1"/>
    <w:rsid w:val="00BC4C11"/>
    <w:rsid w:val="00BC5C48"/>
    <w:rsid w:val="00BD39F6"/>
    <w:rsid w:val="00BD60C4"/>
    <w:rsid w:val="00BE1F6E"/>
    <w:rsid w:val="00BE68C2"/>
    <w:rsid w:val="00BF369A"/>
    <w:rsid w:val="00BF6DAC"/>
    <w:rsid w:val="00C05AC8"/>
    <w:rsid w:val="00C06AB4"/>
    <w:rsid w:val="00C11554"/>
    <w:rsid w:val="00C130B6"/>
    <w:rsid w:val="00C14A48"/>
    <w:rsid w:val="00C1789D"/>
    <w:rsid w:val="00C3410F"/>
    <w:rsid w:val="00C342F1"/>
    <w:rsid w:val="00C36BF9"/>
    <w:rsid w:val="00C37E40"/>
    <w:rsid w:val="00C52C3B"/>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6807"/>
    <w:rsid w:val="00CC36D5"/>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A6CF6"/>
    <w:rsid w:val="00DB0401"/>
    <w:rsid w:val="00DB10A7"/>
    <w:rsid w:val="00DB7637"/>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101E7"/>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B088D"/>
    <w:rsid w:val="00FB2040"/>
    <w:rsid w:val="00FB3475"/>
    <w:rsid w:val="00FB4057"/>
    <w:rsid w:val="00FC24B5"/>
    <w:rsid w:val="00FC359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495533501">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294215382">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2C6EF-9540-4440-83F6-B99F28AA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2235</TotalTime>
  <Pages>8</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George Cherian</cp:lastModifiedBy>
  <cp:revision>68</cp:revision>
  <cp:lastPrinted>2016-12-12T20:01:00Z</cp:lastPrinted>
  <dcterms:created xsi:type="dcterms:W3CDTF">2017-10-05T22:47:00Z</dcterms:created>
  <dcterms:modified xsi:type="dcterms:W3CDTF">2018-01-15T20:01:00Z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