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1D80E12" w:rsidR="00C723BC" w:rsidRPr="00183F4C" w:rsidRDefault="00DE1AE3" w:rsidP="00DE1AE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6A5CA8"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on the HE TB NDP feedback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A3D0B6E" w:rsidR="00C723BC" w:rsidRPr="00183F4C" w:rsidRDefault="00C723BC" w:rsidP="007048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048BD">
              <w:rPr>
                <w:b w:val="0"/>
                <w:sz w:val="20"/>
                <w:lang w:eastAsia="ko-KR"/>
              </w:rPr>
              <w:t>1</w:t>
            </w:r>
            <w:bookmarkStart w:id="0" w:name="_GoBack"/>
            <w:bookmarkEnd w:id="0"/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0A79D9E" w:rsidR="00DE1AE3" w:rsidRDefault="00FC0EB0" w:rsidP="00DE1AE3">
      <w:pPr>
        <w:jc w:val="both"/>
        <w:rPr>
          <w:sz w:val="22"/>
        </w:rPr>
      </w:pPr>
      <w:r>
        <w:rPr>
          <w:lang w:eastAsia="ko-KR"/>
        </w:rPr>
        <w:t xml:space="preserve">This submission proposes </w:t>
      </w:r>
      <w:r w:rsidR="00DE1AE3">
        <w:rPr>
          <w:lang w:eastAsia="ko-KR"/>
        </w:rPr>
        <w:t>changes to 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D7902">
        <w:rPr>
          <w:lang w:eastAsia="ko-KR"/>
        </w:rPr>
        <w:t>2</w:t>
      </w:r>
      <w:r w:rsidR="00DE1AE3">
        <w:rPr>
          <w:lang w:eastAsia="ko-KR"/>
        </w:rPr>
        <w:t>.0.</w:t>
      </w:r>
    </w:p>
    <w:p w14:paraId="0C240D89" w14:textId="493054EF" w:rsidR="00FC0EB0" w:rsidRDefault="00FC0EB0" w:rsidP="00FC0EB0">
      <w:pPr>
        <w:jc w:val="both"/>
        <w:rPr>
          <w:sz w:val="22"/>
        </w:rPr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0A899DF1" w14:textId="77777777" w:rsidR="007048BD" w:rsidRDefault="00DE1AE3" w:rsidP="00D7242A">
      <w:pPr>
        <w:rPr>
          <w:sz w:val="22"/>
        </w:rPr>
      </w:pPr>
      <w:r w:rsidRPr="00E044D0">
        <w:rPr>
          <w:b/>
          <w:sz w:val="22"/>
        </w:rPr>
        <w:t>Discussions:</w:t>
      </w:r>
      <w:r w:rsidRPr="00E044D0">
        <w:rPr>
          <w:sz w:val="22"/>
        </w:rPr>
        <w:t xml:space="preserve"> In the UL OFDMA transmission, the subcarrier ind</w:t>
      </w:r>
      <w:r w:rsidR="00452102">
        <w:rPr>
          <w:sz w:val="22"/>
        </w:rPr>
        <w:t>ices</w:t>
      </w:r>
      <w:r w:rsidRPr="00E044D0">
        <w:rPr>
          <w:sz w:val="22"/>
        </w:rPr>
        <w:t xml:space="preserve"> that HE-STF and the pre-HE-STF portion are populated on are tied to the RU where HE portion are populated. However the HE TB NDP feedback PPDU doesn’t have RU concept in the PPDU because </w:t>
      </w:r>
      <w:r w:rsidR="00AF5F24">
        <w:rPr>
          <w:sz w:val="22"/>
        </w:rPr>
        <w:t>of</w:t>
      </w:r>
      <w:r w:rsidRPr="00E044D0">
        <w:rPr>
          <w:sz w:val="22"/>
        </w:rPr>
        <w:t xml:space="preserve"> NDP. </w:t>
      </w:r>
      <w:r w:rsidR="00230A50" w:rsidRPr="00E044D0">
        <w:rPr>
          <w:sz w:val="22"/>
        </w:rPr>
        <w:t>The pre-HE portion is clear in the spec</w:t>
      </w:r>
      <w:r w:rsidR="007048BD">
        <w:rPr>
          <w:sz w:val="22"/>
        </w:rPr>
        <w:t>: “</w:t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The L-STF, L-LTF, L-SIG, RL-SIG, HE-SIG-A, and HE-SIG-B fields are referred to as the Pre-HE modulated fields, while the HE-STF, HE-LTF and Data fields are referred to as the HE modulated fields.</w:t>
      </w:r>
      <w:r w:rsidR="007048BD" w:rsidRPr="007048BD">
        <w:rPr>
          <w:rFonts w:ascii="TimesNewRomanPSMT" w:eastAsia="TimesNewRomanPSMT" w:hAnsi="TimesNewRomanPSMT" w:hint="eastAsia"/>
          <w:color w:val="00B050"/>
          <w:sz w:val="20"/>
        </w:rPr>
        <w:br/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In the HE TB PPDU, the pre-HE modulated fields, which include L-STF, L-LTF, L-SIG, RL-SIG and HESIG-A fields, are sent only on the 20 MHz channels where the STA's HE modulated fields are located.</w:t>
      </w:r>
      <w:r w:rsidR="007048BD" w:rsidRPr="007048BD">
        <w:rPr>
          <w:color w:val="00B050"/>
          <w:sz w:val="22"/>
        </w:rPr>
        <w:t>”</w:t>
      </w:r>
      <w:r w:rsidR="00230A50" w:rsidRPr="007048BD">
        <w:rPr>
          <w:color w:val="00B050"/>
          <w:sz w:val="22"/>
        </w:rPr>
        <w:t xml:space="preserve"> </w:t>
      </w:r>
    </w:p>
    <w:p w14:paraId="722CC900" w14:textId="55D5DE1C" w:rsidR="003A6328" w:rsidRPr="00E044D0" w:rsidRDefault="007048BD" w:rsidP="00D7242A">
      <w:pPr>
        <w:rPr>
          <w:sz w:val="22"/>
        </w:rPr>
      </w:pPr>
      <w:r>
        <w:rPr>
          <w:sz w:val="22"/>
        </w:rPr>
        <w:t>B</w:t>
      </w:r>
      <w:r w:rsidR="00230A50" w:rsidRPr="00E044D0">
        <w:rPr>
          <w:sz w:val="22"/>
        </w:rPr>
        <w:t xml:space="preserve">ut </w:t>
      </w:r>
      <w:proofErr w:type="spellStart"/>
      <w:r w:rsidR="00DE1AE3" w:rsidRPr="00E044D0">
        <w:rPr>
          <w:sz w:val="22"/>
        </w:rPr>
        <w:t>futher</w:t>
      </w:r>
      <w:proofErr w:type="spellEnd"/>
      <w:r w:rsidR="00DE1AE3" w:rsidRPr="00E044D0">
        <w:rPr>
          <w:sz w:val="22"/>
        </w:rPr>
        <w:t xml:space="preserve"> clarifications are needed for the HE-STF portion when HE TB NDP PPDU is transmitted.</w:t>
      </w:r>
    </w:p>
    <w:p w14:paraId="4796A3E3" w14:textId="77777777" w:rsidR="00DE1AE3" w:rsidRDefault="00DE1AE3" w:rsidP="00D7242A">
      <w:pPr>
        <w:rPr>
          <w:color w:val="000000" w:themeColor="text1"/>
          <w:sz w:val="22"/>
          <w:szCs w:val="22"/>
        </w:rPr>
      </w:pPr>
    </w:p>
    <w:p w14:paraId="23095C16" w14:textId="2EA36B59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>Propose</w:t>
      </w:r>
      <w:r w:rsidR="00A0104D">
        <w:rPr>
          <w:b/>
          <w:color w:val="000000" w:themeColor="text1"/>
          <w:sz w:val="22"/>
          <w:szCs w:val="22"/>
          <w:u w:val="single"/>
        </w:rPr>
        <w:t>d changes to D2.0</w:t>
      </w:r>
      <w:r>
        <w:rPr>
          <w:b/>
          <w:color w:val="000000" w:themeColor="text1"/>
          <w:sz w:val="22"/>
          <w:szCs w:val="22"/>
          <w:u w:val="single"/>
        </w:rPr>
        <w:t>:</w:t>
      </w:r>
    </w:p>
    <w:p w14:paraId="391E8ACA" w14:textId="1C721B76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477814">
        <w:rPr>
          <w:i/>
          <w:sz w:val="22"/>
          <w:szCs w:val="22"/>
          <w:highlight w:val="yellow"/>
        </w:rPr>
        <w:t>435</w:t>
      </w:r>
      <w:r w:rsidR="007F7144">
        <w:rPr>
          <w:i/>
          <w:sz w:val="22"/>
          <w:szCs w:val="22"/>
          <w:highlight w:val="yellow"/>
        </w:rPr>
        <w:t>.</w:t>
      </w:r>
      <w:r w:rsidR="00752781">
        <w:rPr>
          <w:i/>
          <w:sz w:val="22"/>
          <w:szCs w:val="22"/>
          <w:highlight w:val="yellow"/>
        </w:rPr>
        <w:t>3</w:t>
      </w:r>
      <w:r w:rsidR="00461FFC">
        <w:rPr>
          <w:i/>
          <w:sz w:val="22"/>
          <w:szCs w:val="22"/>
          <w:highlight w:val="yellow"/>
        </w:rPr>
        <w:t>2</w:t>
      </w:r>
      <w:r w:rsidR="00312633" w:rsidRPr="00F21920">
        <w:rPr>
          <w:i/>
          <w:sz w:val="22"/>
          <w:szCs w:val="22"/>
          <w:highlight w:val="yellow"/>
        </w:rPr>
        <w:t xml:space="preserve"> as following</w:t>
      </w:r>
      <w:r w:rsidR="00477814">
        <w:rPr>
          <w:i/>
          <w:sz w:val="22"/>
          <w:szCs w:val="22"/>
        </w:rPr>
        <w:t>:</w:t>
      </w:r>
    </w:p>
    <w:p w14:paraId="15B55A3B" w14:textId="66E53921" w:rsidR="00477814" w:rsidRDefault="00477814" w:rsidP="00F76418">
      <w:pPr>
        <w:spacing w:after="160" w:line="259" w:lineRule="auto"/>
        <w:rPr>
          <w:rFonts w:ascii="TimesNewRomanPSMT" w:eastAsia="TimesNewRomanPSMT" w:hAnsi="TimesNewRomanPSMT"/>
          <w:color w:val="FF0000"/>
          <w:sz w:val="20"/>
        </w:rPr>
      </w:pPr>
      <w:r w:rsidRPr="00477814">
        <w:rPr>
          <w:rFonts w:ascii="TimesNewRomanPSMT" w:eastAsia="TimesNewRomanPSMT" w:hAnsi="TimesNewRomanPSMT"/>
          <w:color w:val="000000"/>
          <w:sz w:val="20"/>
        </w:rPr>
        <w:t>For an OFDMA transmission, the coefficients in Equation (28-22) to Equation (28-31) are set to zero if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477814">
        <w:rPr>
          <w:rFonts w:ascii="TimesNewRomanPSMT" w:eastAsia="TimesNewRomanPSMT" w:hAnsi="TimesNewRomanPSMT"/>
          <w:color w:val="000000"/>
          <w:sz w:val="20"/>
        </w:rPr>
        <w:t>those values are corresponding to tone indices that fall within RUs that have no users assigned to them.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1645BE">
        <w:rPr>
          <w:rFonts w:ascii="TimesNewRomanPSMT" w:eastAsia="TimesNewRomanPSMT" w:hAnsi="TimesNewRomanPSMT"/>
          <w:color w:val="FF0000"/>
          <w:sz w:val="20"/>
        </w:rPr>
        <w:t>For a H</w:t>
      </w:r>
      <w:r w:rsidR="001645BE" w:rsidRPr="001645BE">
        <w:rPr>
          <w:rFonts w:ascii="TimesNewRomanPSMT" w:eastAsia="TimesNewRomanPSMT" w:hAnsi="TimesNewRomanPSMT"/>
          <w:color w:val="FF0000"/>
          <w:sz w:val="20"/>
        </w:rPr>
        <w:t>E</w:t>
      </w:r>
      <w:r w:rsidRPr="001645BE">
        <w:rPr>
          <w:rFonts w:ascii="TimesNewRomanPSMT" w:eastAsia="TimesNewRomanPSMT" w:hAnsi="TimesNewRomanPSMT"/>
          <w:color w:val="FF0000"/>
          <w:sz w:val="20"/>
        </w:rPr>
        <w:t xml:space="preserve"> TB NDP feedback transmission, the coefficients in Equation (28-27) to Equation (28-31) </w:t>
      </w:r>
      <w:r w:rsidR="001645BE" w:rsidRPr="001645BE">
        <w:rPr>
          <w:rFonts w:ascii="TimesNewRomanPSMT" w:eastAsia="TimesNewRomanPSMT" w:hAnsi="TimesNewRomanPSMT"/>
          <w:color w:val="FF0000"/>
          <w:sz w:val="20"/>
        </w:rPr>
        <w:t xml:space="preserve">are set to the </w:t>
      </w:r>
      <w:r w:rsidR="00B12961">
        <w:rPr>
          <w:rFonts w:ascii="TimesNewRomanPSMT" w:eastAsia="TimesNewRomanPSMT" w:hAnsi="TimesNewRomanPSMT"/>
          <w:color w:val="FF0000"/>
          <w:sz w:val="20"/>
        </w:rPr>
        <w:t>values that fall within</w:t>
      </w:r>
      <w:r w:rsidR="001645BE" w:rsidRPr="001645BE">
        <w:rPr>
          <w:rFonts w:ascii="TimesNewRomanPSMT" w:eastAsia="TimesNewRomanPSMT" w:hAnsi="TimesNewRomanPSMT"/>
          <w:color w:val="FF0000"/>
          <w:sz w:val="20"/>
        </w:rPr>
        <w:t xml:space="preserve"> the 20MHz channel where the HE-LTF tones</w:t>
      </w:r>
      <w:r w:rsidR="00B12961">
        <w:rPr>
          <w:rFonts w:ascii="TimesNewRomanPSMT" w:eastAsia="TimesNewRomanPSMT" w:hAnsi="TimesNewRomanPSMT"/>
          <w:color w:val="FF0000"/>
          <w:sz w:val="20"/>
        </w:rPr>
        <w:t>, which is defined in Equation (28-49),</w:t>
      </w:r>
      <w:r w:rsidR="001645BE" w:rsidRPr="001645BE">
        <w:rPr>
          <w:rFonts w:ascii="TimesNewRomanPSMT" w:eastAsia="TimesNewRomanPSMT" w:hAnsi="TimesNewRomanPSMT"/>
          <w:color w:val="FF0000"/>
          <w:sz w:val="20"/>
        </w:rPr>
        <w:t xml:space="preserve"> are allocated.</w:t>
      </w:r>
    </w:p>
    <w:p w14:paraId="7C11F2B6" w14:textId="7F9304BF" w:rsidR="00230A50" w:rsidRDefault="00230A50" w:rsidP="00230A50">
      <w:pPr>
        <w:spacing w:after="160" w:line="259" w:lineRule="auto"/>
        <w:rPr>
          <w:i/>
          <w:sz w:val="22"/>
          <w:szCs w:val="22"/>
        </w:rPr>
      </w:pPr>
      <w:r w:rsidRPr="00230A50">
        <w:rPr>
          <w:i/>
          <w:sz w:val="22"/>
          <w:szCs w:val="22"/>
          <w:highlight w:val="yellow"/>
        </w:rPr>
        <w:t>In addition,</w:t>
      </w:r>
      <w:r>
        <w:rPr>
          <w:rFonts w:ascii="TimesNewRomanPSMT" w:eastAsia="TimesNewRomanPSMT" w:hAnsi="TimesNewRomanPSMT"/>
          <w:color w:val="FF0000"/>
          <w:sz w:val="20"/>
        </w:rPr>
        <w:t xml:space="preserve"> </w:t>
      </w:r>
      <w:r w:rsidR="00E06A03">
        <w:rPr>
          <w:i/>
          <w:sz w:val="22"/>
          <w:szCs w:val="22"/>
          <w:highlight w:val="yellow"/>
        </w:rPr>
        <w:t xml:space="preserve">add the following sentence on </w:t>
      </w:r>
      <w:r w:rsidRPr="00F21920">
        <w:rPr>
          <w:i/>
          <w:sz w:val="22"/>
          <w:szCs w:val="22"/>
          <w:highlight w:val="yellow"/>
        </w:rPr>
        <w:t xml:space="preserve">P.L. </w:t>
      </w:r>
      <w:r w:rsidR="00E06A03">
        <w:rPr>
          <w:i/>
          <w:sz w:val="22"/>
          <w:szCs w:val="22"/>
          <w:highlight w:val="yellow"/>
        </w:rPr>
        <w:t>485</w:t>
      </w:r>
      <w:r>
        <w:rPr>
          <w:i/>
          <w:sz w:val="22"/>
          <w:szCs w:val="22"/>
          <w:highlight w:val="yellow"/>
        </w:rPr>
        <w:t>.</w:t>
      </w:r>
      <w:r w:rsidR="00E06A03">
        <w:rPr>
          <w:i/>
          <w:sz w:val="22"/>
          <w:szCs w:val="22"/>
          <w:highlight w:val="yellow"/>
        </w:rPr>
        <w:t>30</w:t>
      </w:r>
      <w:r w:rsidRPr="00F21920">
        <w:rPr>
          <w:i/>
          <w:sz w:val="22"/>
          <w:szCs w:val="22"/>
          <w:highlight w:val="yellow"/>
        </w:rPr>
        <w:t xml:space="preserve"> as following</w:t>
      </w:r>
      <w:r>
        <w:rPr>
          <w:i/>
          <w:sz w:val="22"/>
          <w:szCs w:val="22"/>
        </w:rPr>
        <w:t>:</w:t>
      </w:r>
    </w:p>
    <w:p w14:paraId="404EDD78" w14:textId="77777777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E06A03">
        <w:rPr>
          <w:rFonts w:ascii="TimesNewRomanPSMT" w:eastAsia="TimesNewRomanPSMT" w:hAnsi="TimesNewRomanPSMT"/>
          <w:color w:val="000000"/>
          <w:sz w:val="20"/>
        </w:rPr>
        <w:t>The HE TB NDP feedback PPDU has the following properties</w:t>
      </w:r>
      <w:proofErr w:type="gramStart"/>
      <w:r w:rsidRPr="00E06A03">
        <w:rPr>
          <w:rFonts w:ascii="TimesNewRomanPSMT" w:eastAsia="TimesNewRomanPSMT" w:hAnsi="TimesNewRomanPSMT"/>
          <w:color w:val="000000"/>
          <w:sz w:val="20"/>
        </w:rPr>
        <w:t>:</w:t>
      </w:r>
      <w:proofErr w:type="gramEnd"/>
      <w:r w:rsidRPr="00E06A03">
        <w:rPr>
          <w:rFonts w:ascii="TimesNewRomanPSMT" w:eastAsia="TimesNewRomanPSMT" w:hAnsi="TimesNewRomanPSMT" w:hint="eastAsia"/>
          <w:color w:val="000000"/>
          <w:sz w:val="20"/>
        </w:rPr>
        <w:br/>
      </w: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Uses the HE TB PPDU format but without the Data field and with </w:t>
      </w:r>
      <w:proofErr w:type="spellStart"/>
      <w:r w:rsidRPr="00E06A03">
        <w:rPr>
          <w:rFonts w:ascii="TimesNewRomanPSMT" w:eastAsia="TimesNewRomanPSMT" w:hAnsi="TimesNewRomanPSMT"/>
          <w:color w:val="000000"/>
          <w:sz w:val="20"/>
        </w:rPr>
        <w:t>PE_duration</w:t>
      </w:r>
      <w:proofErr w:type="spellEnd"/>
      <w:r w:rsidRPr="00E06A03">
        <w:rPr>
          <w:rFonts w:ascii="TimesNewRomanPSMT" w:eastAsia="TimesNewRomanPSMT" w:hAnsi="TimesNewRomanPSMT"/>
          <w:color w:val="000000"/>
          <w:sz w:val="20"/>
        </w:rPr>
        <w:t xml:space="preserve"> = 0</w:t>
      </w:r>
    </w:p>
    <w:p w14:paraId="20A4D549" w14:textId="5F47D378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Has two 4x HE-LTF symbols</w:t>
      </w:r>
    </w:p>
    <w:p w14:paraId="366A70FC" w14:textId="61888739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4x HE-LTF, </w:t>
      </w:r>
      <w:r w:rsidRPr="00E06A03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GI4</w:t>
      </w:r>
      <w:proofErr w:type="gramStart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,Data</w:t>
      </w:r>
      <w:proofErr w:type="gramEnd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is the only HE-LTF mode and GI duration combination for the HE-LTF</w:t>
      </w:r>
    </w:p>
    <w:p w14:paraId="40E533FC" w14:textId="60104E5E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The generation of HE-LTF symbols for the HE TB NDP feedback PPDU was defined in 28.3.10.10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(HE-LTF)</w:t>
      </w:r>
    </w:p>
    <w:p w14:paraId="6C9B5532" w14:textId="2E197041" w:rsidR="00E06A03" w:rsidRP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FF0000"/>
          <w:sz w:val="20"/>
        </w:rPr>
      </w:pPr>
      <w:proofErr w:type="gramStart"/>
      <w:r w:rsidRPr="00E06A03">
        <w:rPr>
          <w:rFonts w:ascii="TimesNewRomanPSMT" w:eastAsia="TimesNewRomanPSMT" w:hAnsi="TimesNewRomanPSMT"/>
          <w:color w:val="FF0000"/>
          <w:sz w:val="20"/>
        </w:rPr>
        <w:t xml:space="preserve">- </w:t>
      </w:r>
      <w:r w:rsidR="002F3AB3">
        <w:rPr>
          <w:rFonts w:ascii="TimesNewRomanPSMT" w:eastAsia="TimesNewRomanPSMT" w:hAnsi="TimesNewRomanPSMT"/>
          <w:color w:val="FF0000"/>
          <w:sz w:val="20"/>
        </w:rPr>
        <w:t xml:space="preserve">The </w:t>
      </w:r>
      <w:r w:rsidRPr="00E06A03">
        <w:rPr>
          <w:rFonts w:ascii="TimesNewRomanPSMT" w:eastAsia="TimesNewRomanPSMT" w:hAnsi="TimesNewRomanPSMT"/>
          <w:color w:val="FF0000"/>
          <w:sz w:val="20"/>
        </w:rPr>
        <w:t>HE</w:t>
      </w:r>
      <w:proofErr w:type="gramEnd"/>
      <w:r w:rsidRPr="00E06A03">
        <w:rPr>
          <w:rFonts w:ascii="TimesNewRomanPSMT" w:eastAsia="TimesNewRomanPSMT" w:hAnsi="TimesNewRomanPSMT"/>
          <w:color w:val="FF0000"/>
          <w:sz w:val="20"/>
        </w:rPr>
        <w:t xml:space="preserve">-STF and the pre-HE portion are always transmitted </w:t>
      </w:r>
      <w:r w:rsidR="00EA28FA">
        <w:rPr>
          <w:rFonts w:ascii="TimesNewRomanPSMT" w:eastAsia="TimesNewRomanPSMT" w:hAnsi="TimesNewRomanPSMT"/>
          <w:color w:val="FF0000"/>
          <w:sz w:val="20"/>
        </w:rPr>
        <w:t xml:space="preserve">only </w:t>
      </w:r>
      <w:r w:rsidRPr="00E06A03">
        <w:rPr>
          <w:rFonts w:ascii="TimesNewRomanPSMT" w:eastAsia="TimesNewRomanPSMT" w:hAnsi="TimesNewRomanPSMT"/>
          <w:color w:val="FF0000"/>
          <w:sz w:val="20"/>
        </w:rPr>
        <w:t>on the 20MHz channel where the HE-LTF tones, which is defined in Equation (28-49), are allocated.</w:t>
      </w:r>
    </w:p>
    <w:p w14:paraId="7805EE15" w14:textId="77777777" w:rsidR="00E06A03" w:rsidRDefault="00E06A03" w:rsidP="00230A50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</w:p>
    <w:p w14:paraId="477A7C5B" w14:textId="77777777" w:rsidR="00E06A03" w:rsidRDefault="00E06A03" w:rsidP="00230A50">
      <w:pPr>
        <w:spacing w:after="160" w:line="259" w:lineRule="auto"/>
        <w:rPr>
          <w:i/>
          <w:sz w:val="22"/>
          <w:szCs w:val="22"/>
        </w:rPr>
      </w:pPr>
    </w:p>
    <w:sectPr w:rsidR="00E06A0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4FCF4" w14:textId="77777777" w:rsidR="00D75348" w:rsidRDefault="00D75348">
      <w:r>
        <w:separator/>
      </w:r>
    </w:p>
  </w:endnote>
  <w:endnote w:type="continuationSeparator" w:id="0">
    <w:p w14:paraId="2B6AF12F" w14:textId="77777777" w:rsidR="00D75348" w:rsidRDefault="00D7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BE3C91" w:rsidRDefault="00D7534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3C91">
      <w:t>Submission</w:t>
    </w:r>
    <w:r>
      <w:fldChar w:fldCharType="end"/>
    </w:r>
    <w:r w:rsidR="00BE3C91">
      <w:tab/>
      <w:t xml:space="preserve">page </w:t>
    </w:r>
    <w:r w:rsidR="00BE3C91">
      <w:fldChar w:fldCharType="begin"/>
    </w:r>
    <w:r w:rsidR="00BE3C91">
      <w:instrText xml:space="preserve">page </w:instrText>
    </w:r>
    <w:r w:rsidR="00BE3C91">
      <w:fldChar w:fldCharType="separate"/>
    </w:r>
    <w:r w:rsidR="007048BD">
      <w:rPr>
        <w:noProof/>
      </w:rPr>
      <w:t>2</w:t>
    </w:r>
    <w:r w:rsidR="00BE3C91">
      <w:rPr>
        <w:noProof/>
      </w:rPr>
      <w:fldChar w:fldCharType="end"/>
    </w:r>
    <w:r w:rsidR="00BE3C91">
      <w:tab/>
    </w:r>
    <w:r w:rsidR="00BE3C91">
      <w:rPr>
        <w:lang w:eastAsia="ko-KR"/>
      </w:rPr>
      <w:t>Xiaogang Chen, Intel</w:t>
    </w:r>
    <w:r w:rsidR="00BE3C91">
      <w:t xml:space="preserve"> </w:t>
    </w:r>
  </w:p>
  <w:p w14:paraId="68131EC6" w14:textId="77777777" w:rsidR="00BE3C91" w:rsidRDefault="00BE3C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014B2" w14:textId="77777777" w:rsidR="00D75348" w:rsidRDefault="00D75348">
      <w:r>
        <w:separator/>
      </w:r>
    </w:p>
  </w:footnote>
  <w:footnote w:type="continuationSeparator" w:id="0">
    <w:p w14:paraId="014259DE" w14:textId="77777777" w:rsidR="00D75348" w:rsidRDefault="00D75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7DF429F6" w:rsidR="00BE3C91" w:rsidRDefault="00BE3C9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D75348">
      <w:fldChar w:fldCharType="begin"/>
    </w:r>
    <w:r w:rsidR="00D75348">
      <w:instrText xml:space="preserve"> TITLE  \* MERGEFORMAT </w:instrText>
    </w:r>
    <w:r w:rsidR="00D75348">
      <w:fldChar w:fldCharType="separate"/>
    </w:r>
    <w:r>
      <w:t>doc.: IEEE 802.11-18/</w:t>
    </w:r>
    <w:r w:rsidR="00E044D0">
      <w:t>0028</w:t>
    </w:r>
    <w:r>
      <w:rPr>
        <w:lang w:eastAsia="ko-KR"/>
      </w:rPr>
      <w:t>r</w:t>
    </w:r>
    <w:r w:rsidR="00D7534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45BE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58A8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0A50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9EB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66A"/>
    <w:rsid w:val="002F376B"/>
    <w:rsid w:val="002F3817"/>
    <w:rsid w:val="002F3AB3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A71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102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1FFC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77814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29F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023E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FCA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477AF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12F"/>
    <w:rsid w:val="006B55C1"/>
    <w:rsid w:val="006C0149"/>
    <w:rsid w:val="006C0178"/>
    <w:rsid w:val="006C030B"/>
    <w:rsid w:val="006C063A"/>
    <w:rsid w:val="006C1785"/>
    <w:rsid w:val="006C1FA8"/>
    <w:rsid w:val="006C208E"/>
    <w:rsid w:val="006C2289"/>
    <w:rsid w:val="006C2C97"/>
    <w:rsid w:val="006C3C41"/>
    <w:rsid w:val="006C4435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48BD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781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5C36"/>
    <w:rsid w:val="007A71C2"/>
    <w:rsid w:val="007A768E"/>
    <w:rsid w:val="007A76D3"/>
    <w:rsid w:val="007A77FC"/>
    <w:rsid w:val="007A7E99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8E5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1185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823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01E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2FC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104D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5800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4F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5F2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2961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29BC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C91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6DF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5348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86FF2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1AE3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4D0"/>
    <w:rsid w:val="00E04621"/>
    <w:rsid w:val="00E051FD"/>
    <w:rsid w:val="00E06A03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8FA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70"/>
    <w:rsid w:val="00F547C3"/>
    <w:rsid w:val="00F54F3A"/>
    <w:rsid w:val="00F55028"/>
    <w:rsid w:val="00F5564B"/>
    <w:rsid w:val="00F5670E"/>
    <w:rsid w:val="00F574CF"/>
    <w:rsid w:val="00F5758E"/>
    <w:rsid w:val="00F57699"/>
    <w:rsid w:val="00F57A58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4F5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5B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483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C47A-5F33-4B3F-AD1D-F81D3A39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2940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18</cp:revision>
  <cp:lastPrinted>2010-05-04T03:47:00Z</cp:lastPrinted>
  <dcterms:created xsi:type="dcterms:W3CDTF">2018-01-02T18:34:00Z</dcterms:created>
  <dcterms:modified xsi:type="dcterms:W3CDTF">2018-01-12T00:02:00Z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85cebbc5-574f-4301-8c38-5e1ca3d4fbfd</vt:lpwstr>
  </property>
  <property fmtid="{D5CDD505-2E9C-101B-9397-08002B2CF9AE}" pid="10" name="CTP_TimeStamp">
    <vt:lpwstr>2017-12-05 23:21:27Z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