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704621" w:rsidRDefault="00CA09B2">
      <w:pPr>
        <w:pStyle w:val="T1"/>
        <w:pBdr>
          <w:bottom w:val="single" w:sz="6" w:space="0" w:color="auto"/>
        </w:pBdr>
        <w:spacing w:after="240"/>
      </w:pPr>
      <w:r w:rsidRPr="00704621">
        <w:t xml:space="preserve">IEEE </w:t>
      </w:r>
      <w:proofErr w:type="spellStart"/>
      <w:r w:rsidRPr="00704621">
        <w:t>P802.11</w:t>
      </w:r>
      <w:proofErr w:type="spellEnd"/>
      <w:r w:rsidRPr="0070462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04621">
        <w:trPr>
          <w:trHeight w:val="485"/>
          <w:jc w:val="center"/>
        </w:trPr>
        <w:tc>
          <w:tcPr>
            <w:tcW w:w="9576" w:type="dxa"/>
            <w:gridSpan w:val="5"/>
            <w:vAlign w:val="center"/>
          </w:tcPr>
          <w:p w:rsidR="00CA09B2" w:rsidRPr="00704621" w:rsidRDefault="00704621" w:rsidP="00704621">
            <w:pPr>
              <w:pStyle w:val="T2"/>
            </w:pPr>
            <w:r w:rsidRPr="00704621">
              <w:t>Minutes 2017-11-30</w:t>
            </w:r>
            <w:r w:rsidR="00D84E16" w:rsidRPr="00704621">
              <w:t xml:space="preserve"> LC </w:t>
            </w:r>
            <w:r w:rsidRPr="00704621">
              <w:t>SG</w:t>
            </w:r>
            <w:r w:rsidR="00D84E16" w:rsidRPr="00704621">
              <w:t xml:space="preserve"> Teleconference</w:t>
            </w:r>
          </w:p>
        </w:tc>
      </w:tr>
      <w:tr w:rsidR="00CA09B2" w:rsidRPr="00704621">
        <w:trPr>
          <w:trHeight w:val="359"/>
          <w:jc w:val="center"/>
        </w:trPr>
        <w:tc>
          <w:tcPr>
            <w:tcW w:w="9576" w:type="dxa"/>
            <w:gridSpan w:val="5"/>
            <w:vAlign w:val="center"/>
          </w:tcPr>
          <w:p w:rsidR="00CA09B2" w:rsidRPr="00704621" w:rsidRDefault="00CA09B2" w:rsidP="00704621">
            <w:pPr>
              <w:pStyle w:val="T2"/>
              <w:ind w:left="0"/>
              <w:rPr>
                <w:sz w:val="20"/>
              </w:rPr>
            </w:pPr>
            <w:r w:rsidRPr="00704621">
              <w:rPr>
                <w:sz w:val="20"/>
              </w:rPr>
              <w:t>Date:</w:t>
            </w:r>
            <w:r w:rsidRPr="00704621">
              <w:rPr>
                <w:b w:val="0"/>
                <w:sz w:val="20"/>
              </w:rPr>
              <w:t xml:space="preserve">  </w:t>
            </w:r>
            <w:r w:rsidR="00D84E16" w:rsidRPr="00704621">
              <w:rPr>
                <w:b w:val="0"/>
                <w:sz w:val="20"/>
              </w:rPr>
              <w:t>2017-</w:t>
            </w:r>
            <w:r w:rsidR="00704621" w:rsidRPr="00704621">
              <w:rPr>
                <w:b w:val="0"/>
                <w:sz w:val="20"/>
              </w:rPr>
              <w:t>12-</w:t>
            </w:r>
            <w:r w:rsidR="00C75F00" w:rsidRPr="00704621">
              <w:rPr>
                <w:b w:val="0"/>
                <w:sz w:val="20"/>
              </w:rPr>
              <w:t>1</w:t>
            </w:r>
          </w:p>
        </w:tc>
      </w:tr>
      <w:tr w:rsidR="00CA09B2" w:rsidRPr="00704621">
        <w:trPr>
          <w:cantSplit/>
          <w:jc w:val="center"/>
        </w:trPr>
        <w:tc>
          <w:tcPr>
            <w:tcW w:w="9576" w:type="dxa"/>
            <w:gridSpan w:val="5"/>
            <w:vAlign w:val="center"/>
          </w:tcPr>
          <w:p w:rsidR="00CA09B2" w:rsidRPr="00704621" w:rsidRDefault="00CA09B2">
            <w:pPr>
              <w:pStyle w:val="T2"/>
              <w:spacing w:after="0"/>
              <w:ind w:left="0" w:right="0"/>
              <w:jc w:val="left"/>
              <w:rPr>
                <w:sz w:val="20"/>
              </w:rPr>
            </w:pPr>
            <w:r w:rsidRPr="00704621">
              <w:rPr>
                <w:sz w:val="20"/>
              </w:rPr>
              <w:t>Author(s):</w:t>
            </w:r>
          </w:p>
        </w:tc>
      </w:tr>
      <w:tr w:rsidR="00CA09B2" w:rsidRPr="00704621">
        <w:trPr>
          <w:jc w:val="center"/>
        </w:trPr>
        <w:tc>
          <w:tcPr>
            <w:tcW w:w="1336" w:type="dxa"/>
            <w:vAlign w:val="center"/>
          </w:tcPr>
          <w:p w:rsidR="00CA09B2" w:rsidRPr="00704621" w:rsidRDefault="00CA09B2">
            <w:pPr>
              <w:pStyle w:val="T2"/>
              <w:spacing w:after="0"/>
              <w:ind w:left="0" w:right="0"/>
              <w:jc w:val="left"/>
              <w:rPr>
                <w:sz w:val="20"/>
              </w:rPr>
            </w:pPr>
            <w:r w:rsidRPr="00704621">
              <w:rPr>
                <w:sz w:val="20"/>
              </w:rPr>
              <w:t>Name</w:t>
            </w:r>
          </w:p>
        </w:tc>
        <w:tc>
          <w:tcPr>
            <w:tcW w:w="2064" w:type="dxa"/>
            <w:vAlign w:val="center"/>
          </w:tcPr>
          <w:p w:rsidR="00CA09B2" w:rsidRPr="00704621" w:rsidRDefault="0062440B">
            <w:pPr>
              <w:pStyle w:val="T2"/>
              <w:spacing w:after="0"/>
              <w:ind w:left="0" w:right="0"/>
              <w:jc w:val="left"/>
              <w:rPr>
                <w:sz w:val="20"/>
              </w:rPr>
            </w:pPr>
            <w:r w:rsidRPr="00704621">
              <w:rPr>
                <w:sz w:val="20"/>
              </w:rPr>
              <w:t>Affiliation</w:t>
            </w:r>
          </w:p>
        </w:tc>
        <w:tc>
          <w:tcPr>
            <w:tcW w:w="2814" w:type="dxa"/>
            <w:vAlign w:val="center"/>
          </w:tcPr>
          <w:p w:rsidR="00CA09B2" w:rsidRPr="00704621" w:rsidRDefault="00CA09B2">
            <w:pPr>
              <w:pStyle w:val="T2"/>
              <w:spacing w:after="0"/>
              <w:ind w:left="0" w:right="0"/>
              <w:jc w:val="left"/>
              <w:rPr>
                <w:sz w:val="20"/>
              </w:rPr>
            </w:pPr>
            <w:r w:rsidRPr="00704621">
              <w:rPr>
                <w:sz w:val="20"/>
              </w:rPr>
              <w:t>Address</w:t>
            </w:r>
          </w:p>
        </w:tc>
        <w:tc>
          <w:tcPr>
            <w:tcW w:w="1715" w:type="dxa"/>
            <w:vAlign w:val="center"/>
          </w:tcPr>
          <w:p w:rsidR="00CA09B2" w:rsidRPr="00704621" w:rsidRDefault="00CA09B2">
            <w:pPr>
              <w:pStyle w:val="T2"/>
              <w:spacing w:after="0"/>
              <w:ind w:left="0" w:right="0"/>
              <w:jc w:val="left"/>
              <w:rPr>
                <w:sz w:val="20"/>
              </w:rPr>
            </w:pPr>
            <w:r w:rsidRPr="00704621">
              <w:rPr>
                <w:sz w:val="20"/>
              </w:rPr>
              <w:t>Phone</w:t>
            </w:r>
          </w:p>
        </w:tc>
        <w:tc>
          <w:tcPr>
            <w:tcW w:w="1647" w:type="dxa"/>
            <w:vAlign w:val="center"/>
          </w:tcPr>
          <w:p w:rsidR="00CA09B2" w:rsidRPr="00704621" w:rsidRDefault="00CA09B2">
            <w:pPr>
              <w:pStyle w:val="T2"/>
              <w:spacing w:after="0"/>
              <w:ind w:left="0" w:right="0"/>
              <w:jc w:val="left"/>
              <w:rPr>
                <w:sz w:val="20"/>
              </w:rPr>
            </w:pPr>
            <w:r w:rsidRPr="00704621">
              <w:rPr>
                <w:sz w:val="20"/>
              </w:rPr>
              <w:t>email</w:t>
            </w:r>
          </w:p>
        </w:tc>
      </w:tr>
      <w:tr w:rsidR="00CA09B2" w:rsidRPr="00704621">
        <w:trPr>
          <w:jc w:val="center"/>
        </w:trPr>
        <w:tc>
          <w:tcPr>
            <w:tcW w:w="1336" w:type="dxa"/>
            <w:vAlign w:val="center"/>
          </w:tcPr>
          <w:p w:rsidR="00CA09B2" w:rsidRPr="00704621" w:rsidRDefault="00704621">
            <w:pPr>
              <w:pStyle w:val="T2"/>
              <w:spacing w:after="0"/>
              <w:ind w:left="0" w:right="0"/>
              <w:rPr>
                <w:b w:val="0"/>
                <w:sz w:val="20"/>
              </w:rPr>
            </w:pPr>
            <w:r w:rsidRPr="00704621">
              <w:rPr>
                <w:b w:val="0"/>
                <w:sz w:val="20"/>
              </w:rPr>
              <w:t>John Li</w:t>
            </w:r>
          </w:p>
        </w:tc>
        <w:tc>
          <w:tcPr>
            <w:tcW w:w="2064" w:type="dxa"/>
            <w:vAlign w:val="center"/>
          </w:tcPr>
          <w:p w:rsidR="00CA09B2" w:rsidRPr="00704621" w:rsidRDefault="00704621">
            <w:pPr>
              <w:pStyle w:val="T2"/>
              <w:spacing w:after="0"/>
              <w:ind w:left="0" w:right="0"/>
              <w:rPr>
                <w:b w:val="0"/>
                <w:sz w:val="20"/>
              </w:rPr>
            </w:pPr>
            <w:r w:rsidRPr="00704621">
              <w:rPr>
                <w:b w:val="0"/>
                <w:sz w:val="20"/>
              </w:rPr>
              <w:t>Huawei Technologies</w:t>
            </w:r>
          </w:p>
        </w:tc>
        <w:tc>
          <w:tcPr>
            <w:tcW w:w="2814" w:type="dxa"/>
            <w:vAlign w:val="center"/>
          </w:tcPr>
          <w:p w:rsidR="00CA09B2" w:rsidRPr="00704621" w:rsidRDefault="00704621" w:rsidP="00704621">
            <w:pPr>
              <w:pStyle w:val="T2"/>
              <w:spacing w:after="0"/>
              <w:ind w:left="0" w:right="0"/>
              <w:rPr>
                <w:b w:val="0"/>
                <w:sz w:val="20"/>
              </w:rPr>
            </w:pPr>
            <w:r w:rsidRPr="00704621">
              <w:rPr>
                <w:b w:val="0"/>
                <w:sz w:val="20"/>
              </w:rPr>
              <w:t xml:space="preserve">No. 156 </w:t>
            </w:r>
            <w:proofErr w:type="spellStart"/>
            <w:r w:rsidRPr="00704621">
              <w:rPr>
                <w:b w:val="0"/>
                <w:sz w:val="20"/>
              </w:rPr>
              <w:t>Beiqing</w:t>
            </w:r>
            <w:proofErr w:type="spellEnd"/>
            <w:r w:rsidRPr="00704621">
              <w:rPr>
                <w:b w:val="0"/>
                <w:sz w:val="20"/>
              </w:rPr>
              <w:t xml:space="preserve"> Road</w:t>
            </w:r>
            <w:r w:rsidR="00D84E16" w:rsidRPr="00704621">
              <w:rPr>
                <w:b w:val="0"/>
                <w:sz w:val="20"/>
              </w:rPr>
              <w:br/>
            </w:r>
            <w:r w:rsidRPr="00704621">
              <w:rPr>
                <w:b w:val="0"/>
                <w:sz w:val="20"/>
              </w:rPr>
              <w:t>Beijing</w:t>
            </w:r>
            <w:r w:rsidR="00D84E16" w:rsidRPr="00704621">
              <w:rPr>
                <w:b w:val="0"/>
                <w:sz w:val="20"/>
              </w:rPr>
              <w:t xml:space="preserve">, </w:t>
            </w:r>
            <w:r w:rsidRPr="00704621">
              <w:rPr>
                <w:b w:val="0"/>
                <w:sz w:val="20"/>
              </w:rPr>
              <w:t>China</w:t>
            </w:r>
            <w:r w:rsidR="00D84E16" w:rsidRPr="00704621">
              <w:rPr>
                <w:b w:val="0"/>
                <w:sz w:val="20"/>
              </w:rPr>
              <w:t xml:space="preserve"> </w:t>
            </w:r>
            <w:r w:rsidRPr="00704621">
              <w:rPr>
                <w:b w:val="0"/>
                <w:sz w:val="20"/>
              </w:rPr>
              <w:t>100095</w:t>
            </w:r>
          </w:p>
        </w:tc>
        <w:tc>
          <w:tcPr>
            <w:tcW w:w="1715" w:type="dxa"/>
            <w:vAlign w:val="center"/>
          </w:tcPr>
          <w:p w:rsidR="00CA09B2" w:rsidRPr="00704621" w:rsidRDefault="00D84E16" w:rsidP="00704621">
            <w:pPr>
              <w:pStyle w:val="T2"/>
              <w:spacing w:after="0"/>
              <w:ind w:left="0" w:right="0"/>
              <w:rPr>
                <w:b w:val="0"/>
                <w:sz w:val="20"/>
              </w:rPr>
            </w:pPr>
            <w:r w:rsidRPr="00704621">
              <w:rPr>
                <w:b w:val="0"/>
                <w:sz w:val="20"/>
              </w:rPr>
              <w:t>+</w:t>
            </w:r>
            <w:r w:rsidR="00704621">
              <w:rPr>
                <w:b w:val="0"/>
                <w:sz w:val="20"/>
              </w:rPr>
              <w:t>86</w:t>
            </w:r>
            <w:r w:rsidRPr="00704621">
              <w:rPr>
                <w:b w:val="0"/>
                <w:sz w:val="20"/>
              </w:rPr>
              <w:t xml:space="preserve"> </w:t>
            </w:r>
            <w:r w:rsidR="00704621" w:rsidRPr="00704621">
              <w:rPr>
                <w:b w:val="0"/>
                <w:sz w:val="20"/>
              </w:rPr>
              <w:t>158 0153 9749</w:t>
            </w:r>
          </w:p>
        </w:tc>
        <w:tc>
          <w:tcPr>
            <w:tcW w:w="1647" w:type="dxa"/>
            <w:vAlign w:val="center"/>
          </w:tcPr>
          <w:p w:rsidR="00CA09B2" w:rsidRPr="00704621" w:rsidRDefault="002412B2" w:rsidP="00704621">
            <w:pPr>
              <w:pStyle w:val="T2"/>
              <w:spacing w:after="0"/>
              <w:ind w:left="0" w:right="0"/>
              <w:rPr>
                <w:b w:val="0"/>
                <w:sz w:val="16"/>
              </w:rPr>
            </w:pPr>
            <w:hyperlink r:id="rId7" w:history="1">
              <w:proofErr w:type="spellStart"/>
              <w:r w:rsidR="00704621" w:rsidRPr="00704621">
                <w:rPr>
                  <w:rStyle w:val="a6"/>
                  <w:b w:val="0"/>
                  <w:sz w:val="16"/>
                </w:rPr>
                <w:t>john.liqiang@huawei.com</w:t>
              </w:r>
              <w:proofErr w:type="spellEnd"/>
            </w:hyperlink>
            <w:r w:rsidR="00D84E16" w:rsidRPr="00704621">
              <w:rPr>
                <w:b w:val="0"/>
                <w:sz w:val="16"/>
              </w:rPr>
              <w:t xml:space="preserve"> </w:t>
            </w:r>
          </w:p>
        </w:tc>
      </w:tr>
      <w:tr w:rsidR="00CA09B2" w:rsidRPr="00704621">
        <w:trPr>
          <w:jc w:val="center"/>
        </w:trPr>
        <w:tc>
          <w:tcPr>
            <w:tcW w:w="1336" w:type="dxa"/>
            <w:vAlign w:val="center"/>
          </w:tcPr>
          <w:p w:rsidR="00CA09B2" w:rsidRPr="00704621" w:rsidRDefault="00CA09B2">
            <w:pPr>
              <w:pStyle w:val="T2"/>
              <w:spacing w:after="0"/>
              <w:ind w:left="0" w:right="0"/>
              <w:rPr>
                <w:b w:val="0"/>
                <w:sz w:val="20"/>
                <w:highlight w:val="yellow"/>
              </w:rPr>
            </w:pPr>
          </w:p>
        </w:tc>
        <w:tc>
          <w:tcPr>
            <w:tcW w:w="2064" w:type="dxa"/>
            <w:vAlign w:val="center"/>
          </w:tcPr>
          <w:p w:rsidR="00CA09B2" w:rsidRPr="00704621" w:rsidRDefault="00CA09B2">
            <w:pPr>
              <w:pStyle w:val="T2"/>
              <w:spacing w:after="0"/>
              <w:ind w:left="0" w:right="0"/>
              <w:rPr>
                <w:b w:val="0"/>
                <w:sz w:val="20"/>
                <w:highlight w:val="yellow"/>
              </w:rPr>
            </w:pPr>
          </w:p>
        </w:tc>
        <w:tc>
          <w:tcPr>
            <w:tcW w:w="2814" w:type="dxa"/>
            <w:vAlign w:val="center"/>
          </w:tcPr>
          <w:p w:rsidR="00CA09B2" w:rsidRPr="00704621" w:rsidRDefault="00CA09B2">
            <w:pPr>
              <w:pStyle w:val="T2"/>
              <w:spacing w:after="0"/>
              <w:ind w:left="0" w:right="0"/>
              <w:rPr>
                <w:b w:val="0"/>
                <w:sz w:val="20"/>
                <w:highlight w:val="yellow"/>
              </w:rPr>
            </w:pPr>
          </w:p>
        </w:tc>
        <w:tc>
          <w:tcPr>
            <w:tcW w:w="1715" w:type="dxa"/>
            <w:vAlign w:val="center"/>
          </w:tcPr>
          <w:p w:rsidR="00CA09B2" w:rsidRPr="00704621" w:rsidRDefault="00CA09B2">
            <w:pPr>
              <w:pStyle w:val="T2"/>
              <w:spacing w:after="0"/>
              <w:ind w:left="0" w:right="0"/>
              <w:rPr>
                <w:b w:val="0"/>
                <w:sz w:val="20"/>
                <w:highlight w:val="yellow"/>
              </w:rPr>
            </w:pPr>
          </w:p>
        </w:tc>
        <w:tc>
          <w:tcPr>
            <w:tcW w:w="1647" w:type="dxa"/>
            <w:vAlign w:val="center"/>
          </w:tcPr>
          <w:p w:rsidR="00CA09B2" w:rsidRPr="00704621" w:rsidRDefault="00CA09B2">
            <w:pPr>
              <w:pStyle w:val="T2"/>
              <w:spacing w:after="0"/>
              <w:ind w:left="0" w:right="0"/>
              <w:rPr>
                <w:b w:val="0"/>
                <w:sz w:val="16"/>
                <w:highlight w:val="yellow"/>
              </w:rPr>
            </w:pPr>
          </w:p>
        </w:tc>
      </w:tr>
    </w:tbl>
    <w:p w:rsidR="00CA09B2" w:rsidRPr="00704621" w:rsidRDefault="00B45B96">
      <w:pPr>
        <w:pStyle w:val="T1"/>
        <w:spacing w:after="120"/>
        <w:rPr>
          <w:sz w:val="22"/>
          <w:highlight w:val="yellow"/>
        </w:rPr>
      </w:pPr>
      <w:r w:rsidRPr="00704621">
        <w:rPr>
          <w:noProof/>
          <w:highlight w:val="yellow"/>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Pr="00704621" w:rsidRDefault="0029020B">
                            <w:pPr>
                              <w:pStyle w:val="T1"/>
                              <w:spacing w:after="120"/>
                            </w:pPr>
                            <w:r w:rsidRPr="00704621">
                              <w:t>Abstract</w:t>
                            </w:r>
                          </w:p>
                          <w:p w:rsidR="0029020B" w:rsidRDefault="00D84E16">
                            <w:pPr>
                              <w:jc w:val="both"/>
                            </w:pPr>
                            <w:r w:rsidRPr="00704621">
                              <w:t>This document contains the</w:t>
                            </w:r>
                            <w:r w:rsidR="00704621" w:rsidRPr="00704621">
                              <w:t xml:space="preserve"> meeting minutes for the 2017-11-3</w:t>
                            </w:r>
                            <w:r w:rsidRPr="00704621">
                              <w:t xml:space="preserve">0 Light Communication </w:t>
                            </w:r>
                            <w:r w:rsidR="00704621" w:rsidRPr="00704621">
                              <w:t>Study</w:t>
                            </w:r>
                            <w:r w:rsidRPr="00704621">
                              <w:t xml:space="preserve"> Group (</w:t>
                            </w:r>
                            <w:r w:rsidR="00704621" w:rsidRPr="00704621">
                              <w:t>S</w:t>
                            </w:r>
                            <w:r w:rsidRPr="00704621">
                              <w:t>G)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Pr="00704621" w:rsidRDefault="0029020B">
                      <w:pPr>
                        <w:pStyle w:val="T1"/>
                        <w:spacing w:after="120"/>
                      </w:pPr>
                      <w:r w:rsidRPr="00704621">
                        <w:t>Abstract</w:t>
                      </w:r>
                    </w:p>
                    <w:p w:rsidR="0029020B" w:rsidRDefault="00D84E16">
                      <w:pPr>
                        <w:jc w:val="both"/>
                      </w:pPr>
                      <w:r w:rsidRPr="00704621">
                        <w:t>This document contains the</w:t>
                      </w:r>
                      <w:r w:rsidR="00704621" w:rsidRPr="00704621">
                        <w:t xml:space="preserve"> meeting minutes for the 2017-11-3</w:t>
                      </w:r>
                      <w:r w:rsidRPr="00704621">
                        <w:t xml:space="preserve">0 Light Communication </w:t>
                      </w:r>
                      <w:r w:rsidR="00704621" w:rsidRPr="00704621">
                        <w:t>Study</w:t>
                      </w:r>
                      <w:r w:rsidRPr="00704621">
                        <w:t xml:space="preserve"> Group (</w:t>
                      </w:r>
                      <w:r w:rsidR="00704621" w:rsidRPr="00704621">
                        <w:t>S</w:t>
                      </w:r>
                      <w:r w:rsidRPr="00704621">
                        <w:t>G) teleconference.</w:t>
                      </w:r>
                    </w:p>
                  </w:txbxContent>
                </v:textbox>
              </v:shape>
            </w:pict>
          </mc:Fallback>
        </mc:AlternateContent>
      </w:r>
    </w:p>
    <w:p w:rsidR="00CA09B2" w:rsidRPr="00704621" w:rsidRDefault="00CA09B2" w:rsidP="006D0754">
      <w:pPr>
        <w:rPr>
          <w:highlight w:val="yellow"/>
        </w:rPr>
      </w:pPr>
      <w:r w:rsidRPr="00704621">
        <w:rPr>
          <w:highlight w:val="yellow"/>
        </w:rPr>
        <w:br w:type="page"/>
      </w:r>
    </w:p>
    <w:p w:rsidR="00897FFB" w:rsidRPr="004D7240" w:rsidRDefault="00704621" w:rsidP="0003322C">
      <w:pPr>
        <w:pStyle w:val="a7"/>
        <w:numPr>
          <w:ilvl w:val="0"/>
          <w:numId w:val="2"/>
        </w:numPr>
        <w:rPr>
          <w:rStyle w:val="a6"/>
          <w:color w:val="auto"/>
          <w:u w:val="none"/>
        </w:rPr>
      </w:pPr>
      <w:r w:rsidRPr="004D7240">
        <w:lastRenderedPageBreak/>
        <w:t>Meeting called to order at 8:35</w:t>
      </w:r>
      <w:r w:rsidR="00897FFB" w:rsidRPr="004D7240">
        <w:t xml:space="preserve"> </w:t>
      </w:r>
      <w:r w:rsidR="004D7240" w:rsidRPr="004D7240">
        <w:t xml:space="preserve">EST </w:t>
      </w:r>
      <w:r w:rsidR="00897FFB" w:rsidRPr="004D7240">
        <w:t>by Nikola Serafimovski (</w:t>
      </w:r>
      <w:proofErr w:type="spellStart"/>
      <w:r w:rsidR="00897FFB" w:rsidRPr="004D7240">
        <w:t>pureLiFi</w:t>
      </w:r>
      <w:proofErr w:type="spellEnd"/>
      <w:r w:rsidR="00897FFB" w:rsidRPr="004D7240">
        <w:t xml:space="preserve">) </w:t>
      </w:r>
      <w:hyperlink r:id="rId8" w:history="1">
        <w:proofErr w:type="spellStart"/>
        <w:r w:rsidR="00897FFB" w:rsidRPr="004D7240">
          <w:rPr>
            <w:rStyle w:val="a6"/>
          </w:rPr>
          <w:t>nikola.serafimovski@purelifi.com</w:t>
        </w:r>
        <w:proofErr w:type="spellEnd"/>
      </w:hyperlink>
    </w:p>
    <w:p w:rsidR="0003322C" w:rsidRPr="004D7240" w:rsidRDefault="002A3340" w:rsidP="004D7240">
      <w:pPr>
        <w:pStyle w:val="a7"/>
        <w:numPr>
          <w:ilvl w:val="1"/>
          <w:numId w:val="2"/>
        </w:numPr>
      </w:pPr>
      <w:r w:rsidRPr="004D7240">
        <w:t>See agenda document</w:t>
      </w:r>
      <w:r w:rsidR="0003322C" w:rsidRPr="004D7240">
        <w:t xml:space="preserve"> </w:t>
      </w:r>
      <w:hyperlink r:id="rId9" w:history="1">
        <w:r w:rsidR="004D7240" w:rsidRPr="004D7240">
          <w:rPr>
            <w:rStyle w:val="a6"/>
          </w:rPr>
          <w:t>https://mentor.ieee.org/802.11/dcn/17/11-17-1832-00-00lc-30-nov-2017-conference-call-agenda.ppt</w:t>
        </w:r>
      </w:hyperlink>
      <w:r w:rsidR="004D7240" w:rsidRPr="004D7240">
        <w:t xml:space="preserve"> </w:t>
      </w:r>
    </w:p>
    <w:p w:rsidR="0003322C" w:rsidRPr="004D7240" w:rsidRDefault="002A3340" w:rsidP="0003322C">
      <w:pPr>
        <w:pStyle w:val="a7"/>
        <w:numPr>
          <w:ilvl w:val="1"/>
          <w:numId w:val="2"/>
        </w:numPr>
      </w:pPr>
      <w:r w:rsidRPr="004D7240">
        <w:t>Revi</w:t>
      </w:r>
      <w:r w:rsidR="0003322C" w:rsidRPr="004D7240">
        <w:t>ew of administrative and policy materials</w:t>
      </w:r>
    </w:p>
    <w:p w:rsidR="0003322C" w:rsidRPr="004D7240" w:rsidRDefault="0003322C" w:rsidP="0003322C">
      <w:pPr>
        <w:pStyle w:val="a7"/>
        <w:numPr>
          <w:ilvl w:val="1"/>
          <w:numId w:val="2"/>
        </w:numPr>
      </w:pPr>
      <w:r w:rsidRPr="004D7240">
        <w:t>Agenda agreed as presented</w:t>
      </w:r>
    </w:p>
    <w:p w:rsidR="0003322C" w:rsidRPr="00704621" w:rsidRDefault="0003322C" w:rsidP="0003322C">
      <w:pPr>
        <w:pStyle w:val="a7"/>
        <w:ind w:left="792"/>
        <w:rPr>
          <w:highlight w:val="yellow"/>
        </w:rPr>
      </w:pPr>
    </w:p>
    <w:p w:rsidR="002A3340" w:rsidRPr="007E7933" w:rsidRDefault="00140EC9" w:rsidP="0003322C">
      <w:pPr>
        <w:pStyle w:val="a7"/>
        <w:numPr>
          <w:ilvl w:val="0"/>
          <w:numId w:val="2"/>
        </w:numPr>
      </w:pPr>
      <w:r>
        <w:t>R</w:t>
      </w:r>
      <w:r w:rsidR="00B47502" w:rsidRPr="007E7933">
        <w:t xml:space="preserve">esolution </w:t>
      </w:r>
      <w:r>
        <w:t xml:space="preserve">of comments </w:t>
      </w:r>
      <w:r w:rsidR="00B47502" w:rsidRPr="007E7933">
        <w:t>on draft PAR and CSD</w:t>
      </w:r>
      <w:r w:rsidR="002A3340" w:rsidRPr="007E7933">
        <w:t xml:space="preserve">: </w:t>
      </w:r>
    </w:p>
    <w:p w:rsidR="00B47502" w:rsidRDefault="00B3626D" w:rsidP="00B47502">
      <w:pPr>
        <w:pStyle w:val="a7"/>
        <w:numPr>
          <w:ilvl w:val="1"/>
          <w:numId w:val="2"/>
        </w:numPr>
      </w:pPr>
      <w:r>
        <w:t>For c</w:t>
      </w:r>
      <w:r w:rsidR="00B47502" w:rsidRPr="007E7933">
        <w:t>omments collected</w:t>
      </w:r>
      <w:r>
        <w:t>, see</w:t>
      </w:r>
      <w:r w:rsidR="00B47502" w:rsidRPr="007E7933">
        <w:t xml:space="preserve"> </w:t>
      </w:r>
      <w:hyperlink r:id="rId10" w:history="1">
        <w:r w:rsidR="00B47502" w:rsidRPr="007E7933">
          <w:rPr>
            <w:rStyle w:val="a6"/>
          </w:rPr>
          <w:t>https://mentor.ieee.org/802.11/dcn/17/11-17-1831-00-00lc-lc-par-csd-comments.xls</w:t>
        </w:r>
      </w:hyperlink>
      <w:r w:rsidR="00B47502" w:rsidRPr="007E7933">
        <w:t xml:space="preserve"> </w:t>
      </w:r>
    </w:p>
    <w:p w:rsidR="00B3626D" w:rsidRPr="007E7933" w:rsidRDefault="00B3626D" w:rsidP="00B47502">
      <w:pPr>
        <w:pStyle w:val="a7"/>
        <w:numPr>
          <w:ilvl w:val="1"/>
          <w:numId w:val="2"/>
        </w:numPr>
      </w:pPr>
      <w:r>
        <w:t>For current revision of PAR and CSD</w:t>
      </w:r>
    </w:p>
    <w:p w:rsidR="0003322C" w:rsidRPr="00922F98" w:rsidRDefault="00411156" w:rsidP="0003322C">
      <w:pPr>
        <w:pStyle w:val="a7"/>
        <w:numPr>
          <w:ilvl w:val="1"/>
          <w:numId w:val="2"/>
        </w:numPr>
      </w:pPr>
      <w:r>
        <w:rPr>
          <w:lang w:eastAsia="zh-CN"/>
        </w:rPr>
        <w:t>Some of the authors of the comments were not on the call.</w:t>
      </w:r>
      <w:r w:rsidRPr="00922F98">
        <w:t xml:space="preserve"> </w:t>
      </w:r>
      <w:r w:rsidR="007E7933" w:rsidRPr="00922F98">
        <w:t xml:space="preserve">Chair suggested that technical comments that from the individuals that are not on the call </w:t>
      </w:r>
      <w:r w:rsidR="00922F98" w:rsidRPr="00922F98">
        <w:t xml:space="preserve">are postponed. </w:t>
      </w:r>
      <w:r w:rsidR="00140EC9">
        <w:t>The suggestion was adopted</w:t>
      </w:r>
      <w:r w:rsidR="00922F98">
        <w:t>.</w:t>
      </w:r>
    </w:p>
    <w:p w:rsidR="00922F98" w:rsidRPr="00780022" w:rsidRDefault="00922F98" w:rsidP="0003322C">
      <w:pPr>
        <w:pStyle w:val="a7"/>
        <w:numPr>
          <w:ilvl w:val="1"/>
          <w:numId w:val="2"/>
        </w:numPr>
      </w:pPr>
      <w:r w:rsidRPr="00780022">
        <w:t xml:space="preserve">CID 67: </w:t>
      </w:r>
    </w:p>
    <w:p w:rsidR="0003322C" w:rsidRDefault="00922F98" w:rsidP="00922F98">
      <w:pPr>
        <w:pStyle w:val="a7"/>
        <w:numPr>
          <w:ilvl w:val="2"/>
          <w:numId w:val="2"/>
        </w:numPr>
      </w:pPr>
      <w:r w:rsidRPr="00780022">
        <w:t>Suggest to use “Frequency division duplex (FDD)”</w:t>
      </w:r>
      <w:r w:rsidR="002A62E6">
        <w:t xml:space="preserve"> instead of</w:t>
      </w:r>
      <w:r w:rsidRPr="00780022">
        <w:t xml:space="preserve"> “ful</w:t>
      </w:r>
      <w:r w:rsidR="00780022">
        <w:t>l</w:t>
      </w:r>
      <w:r w:rsidRPr="00780022">
        <w:t xml:space="preserve"> duplex”. </w:t>
      </w:r>
    </w:p>
    <w:p w:rsidR="003F06B0" w:rsidRDefault="003F06B0" w:rsidP="00922F98">
      <w:pPr>
        <w:pStyle w:val="a7"/>
        <w:numPr>
          <w:ilvl w:val="2"/>
          <w:numId w:val="2"/>
        </w:numPr>
      </w:pPr>
      <w:r w:rsidRPr="00780022">
        <w:t xml:space="preserve">Concerns were raised that the proposed change will limit the channel access </w:t>
      </w:r>
      <w:r w:rsidR="00140EC9">
        <w:t>scheme</w:t>
      </w:r>
      <w:r w:rsidRPr="00780022">
        <w:t xml:space="preserve">. </w:t>
      </w:r>
      <w:r w:rsidR="00432131">
        <w:t xml:space="preserve">It may exclude other channel access schemes such as half-duplex. </w:t>
      </w:r>
    </w:p>
    <w:p w:rsidR="002A62E6" w:rsidRDefault="002A62E6" w:rsidP="00922F98">
      <w:pPr>
        <w:pStyle w:val="a7"/>
        <w:numPr>
          <w:ilvl w:val="2"/>
          <w:numId w:val="2"/>
        </w:numPr>
      </w:pPr>
      <w:r>
        <w:t>It was decided to have a straw poll in January meeting on possible wording.</w:t>
      </w:r>
    </w:p>
    <w:p w:rsidR="002A62E6" w:rsidRDefault="002A62E6" w:rsidP="002A62E6">
      <w:pPr>
        <w:pStyle w:val="a7"/>
        <w:numPr>
          <w:ilvl w:val="1"/>
          <w:numId w:val="2"/>
        </w:numPr>
      </w:pPr>
      <w:r>
        <w:t>CID 68:</w:t>
      </w:r>
    </w:p>
    <w:p w:rsidR="002A62E6" w:rsidRDefault="004E63EF" w:rsidP="002A62E6">
      <w:pPr>
        <w:pStyle w:val="a7"/>
        <w:numPr>
          <w:ilvl w:val="2"/>
          <w:numId w:val="2"/>
        </w:numPr>
      </w:pPr>
      <w:r>
        <w:rPr>
          <w:lang w:eastAsia="zh-CN"/>
        </w:rPr>
        <w:t>Suggest</w:t>
      </w:r>
      <w:r w:rsidR="00140EC9">
        <w:rPr>
          <w:lang w:eastAsia="zh-CN"/>
        </w:rPr>
        <w:t>ed</w:t>
      </w:r>
      <w:r>
        <w:rPr>
          <w:lang w:eastAsia="zh-CN"/>
        </w:rPr>
        <w:t xml:space="preserve"> that the amendment should be flexible to support users with different capabilities. Since different LEDs have different modulation bandwidth.</w:t>
      </w:r>
    </w:p>
    <w:p w:rsidR="004E63EF" w:rsidRDefault="003F082C" w:rsidP="002A62E6">
      <w:pPr>
        <w:pStyle w:val="a7"/>
        <w:numPr>
          <w:ilvl w:val="2"/>
          <w:numId w:val="2"/>
        </w:numPr>
      </w:pPr>
      <w:r>
        <w:rPr>
          <w:lang w:eastAsia="zh-CN"/>
        </w:rPr>
        <w:t>Revise PAR to include the proposed text.</w:t>
      </w:r>
    </w:p>
    <w:p w:rsidR="004E63EF" w:rsidRDefault="004E63EF" w:rsidP="004E63EF">
      <w:pPr>
        <w:pStyle w:val="a7"/>
        <w:numPr>
          <w:ilvl w:val="1"/>
          <w:numId w:val="2"/>
        </w:numPr>
      </w:pPr>
      <w:r>
        <w:rPr>
          <w:lang w:eastAsia="zh-CN"/>
        </w:rPr>
        <w:t>CID 69:</w:t>
      </w:r>
    </w:p>
    <w:p w:rsidR="004E63EF" w:rsidRDefault="005A57F4" w:rsidP="004E63EF">
      <w:pPr>
        <w:pStyle w:val="a7"/>
        <w:numPr>
          <w:ilvl w:val="2"/>
          <w:numId w:val="2"/>
        </w:numPr>
      </w:pPr>
      <w:r>
        <w:rPr>
          <w:rFonts w:hint="eastAsia"/>
          <w:lang w:eastAsia="zh-CN"/>
        </w:rPr>
        <w:t>I</w:t>
      </w:r>
      <w:r>
        <w:rPr>
          <w:lang w:eastAsia="zh-CN"/>
        </w:rPr>
        <w:t>t was pointed out there is a related comment (CID 17)</w:t>
      </w:r>
      <w:r w:rsidR="00830E90">
        <w:rPr>
          <w:lang w:eastAsia="zh-CN"/>
        </w:rPr>
        <w:t>. It was unclear at the point why the upper bound of operation wavelength is set to 10000 nm.</w:t>
      </w:r>
      <w:r w:rsidR="00886A4C">
        <w:rPr>
          <w:lang w:eastAsia="zh-CN"/>
        </w:rPr>
        <w:t xml:space="preserve"> Further discussion is needed.</w:t>
      </w:r>
    </w:p>
    <w:p w:rsidR="00830E90" w:rsidRDefault="00830E90" w:rsidP="004E63EF">
      <w:pPr>
        <w:pStyle w:val="a7"/>
        <w:numPr>
          <w:ilvl w:val="2"/>
          <w:numId w:val="2"/>
        </w:numPr>
      </w:pPr>
      <w:r>
        <w:rPr>
          <w:lang w:eastAsia="zh-CN"/>
        </w:rPr>
        <w:t>Agreed that ultraviolet should be out of the scope.</w:t>
      </w:r>
    </w:p>
    <w:p w:rsidR="00830E90" w:rsidRDefault="00830E90" w:rsidP="004E63EF">
      <w:pPr>
        <w:pStyle w:val="a7"/>
        <w:numPr>
          <w:ilvl w:val="2"/>
          <w:numId w:val="2"/>
        </w:numPr>
      </w:pPr>
      <w:r>
        <w:rPr>
          <w:lang w:eastAsia="zh-CN"/>
        </w:rPr>
        <w:t>The proposed change was accepted.</w:t>
      </w:r>
    </w:p>
    <w:p w:rsidR="00830E90" w:rsidRDefault="00830E90" w:rsidP="00830E90">
      <w:pPr>
        <w:pStyle w:val="a7"/>
        <w:numPr>
          <w:ilvl w:val="1"/>
          <w:numId w:val="2"/>
        </w:numPr>
      </w:pPr>
      <w:r>
        <w:rPr>
          <w:lang w:eastAsia="zh-CN"/>
        </w:rPr>
        <w:t>CID 70:</w:t>
      </w:r>
    </w:p>
    <w:p w:rsidR="00830E90" w:rsidRDefault="00830E90" w:rsidP="00830E90">
      <w:pPr>
        <w:pStyle w:val="a7"/>
        <w:numPr>
          <w:ilvl w:val="2"/>
          <w:numId w:val="2"/>
        </w:numPr>
      </w:pPr>
      <w:r>
        <w:rPr>
          <w:lang w:eastAsia="zh-CN"/>
        </w:rPr>
        <w:t>Discussion whether the PAR</w:t>
      </w:r>
      <w:r w:rsidR="009C51FE">
        <w:rPr>
          <w:lang w:eastAsia="zh-CN"/>
        </w:rPr>
        <w:t>/CSD</w:t>
      </w:r>
      <w:r>
        <w:rPr>
          <w:lang w:eastAsia="zh-CN"/>
        </w:rPr>
        <w:t xml:space="preserve"> need to justify its </w:t>
      </w:r>
      <w:r w:rsidR="000455D2">
        <w:rPr>
          <w:lang w:eastAsia="zh-CN"/>
        </w:rPr>
        <w:t>distinct identity</w:t>
      </w:r>
      <w:r>
        <w:rPr>
          <w:lang w:eastAsia="zh-CN"/>
        </w:rPr>
        <w:t xml:space="preserve"> from standards outside IEEE or IEEE 802</w:t>
      </w:r>
      <w:r w:rsidR="00B275B9">
        <w:rPr>
          <w:lang w:eastAsia="zh-CN"/>
        </w:rPr>
        <w:t>. It was suggested to accept the comment and to find the correct wording.</w:t>
      </w:r>
    </w:p>
    <w:p w:rsidR="00B275B9" w:rsidRDefault="00B275B9" w:rsidP="00B275B9">
      <w:pPr>
        <w:pStyle w:val="a7"/>
        <w:numPr>
          <w:ilvl w:val="2"/>
          <w:numId w:val="2"/>
        </w:numPr>
        <w:rPr>
          <w:lang w:eastAsia="zh-CN"/>
        </w:rPr>
      </w:pPr>
      <w:r>
        <w:rPr>
          <w:lang w:eastAsia="zh-CN"/>
        </w:rPr>
        <w:t xml:space="preserve"> The text addressing the difference between LC amendment and ITU-T </w:t>
      </w:r>
      <w:proofErr w:type="spellStart"/>
      <w:r>
        <w:rPr>
          <w:lang w:eastAsia="zh-CN"/>
        </w:rPr>
        <w:t>G.vlc</w:t>
      </w:r>
      <w:proofErr w:type="spellEnd"/>
      <w:r>
        <w:rPr>
          <w:lang w:eastAsia="zh-CN"/>
        </w:rPr>
        <w:t xml:space="preserve"> was generated and was accepted.</w:t>
      </w:r>
    </w:p>
    <w:p w:rsidR="007E420F" w:rsidRDefault="007E420F" w:rsidP="007E420F">
      <w:pPr>
        <w:pStyle w:val="a7"/>
        <w:numPr>
          <w:ilvl w:val="1"/>
          <w:numId w:val="2"/>
        </w:numPr>
        <w:rPr>
          <w:lang w:eastAsia="zh-CN"/>
        </w:rPr>
      </w:pPr>
      <w:r>
        <w:rPr>
          <w:lang w:eastAsia="zh-CN"/>
        </w:rPr>
        <w:t>CID 71-72:</w:t>
      </w:r>
    </w:p>
    <w:p w:rsidR="007E420F" w:rsidRDefault="007E420F" w:rsidP="007E420F">
      <w:pPr>
        <w:pStyle w:val="a7"/>
        <w:numPr>
          <w:ilvl w:val="2"/>
          <w:numId w:val="2"/>
        </w:numPr>
        <w:rPr>
          <w:lang w:eastAsia="zh-CN"/>
        </w:rPr>
      </w:pPr>
      <w:r>
        <w:rPr>
          <w:lang w:eastAsia="zh-CN"/>
        </w:rPr>
        <w:t>Discussion on whether a precise number is needed to clarify the requirement or should it just refer to the existing mechanism.</w:t>
      </w:r>
    </w:p>
    <w:p w:rsidR="007E420F" w:rsidRDefault="007E420F" w:rsidP="007E420F">
      <w:pPr>
        <w:pStyle w:val="a7"/>
        <w:numPr>
          <w:ilvl w:val="2"/>
          <w:numId w:val="2"/>
        </w:numPr>
        <w:rPr>
          <w:lang w:eastAsia="zh-CN"/>
        </w:rPr>
      </w:pPr>
      <w:r>
        <w:rPr>
          <w:rFonts w:hint="eastAsia"/>
          <w:lang w:eastAsia="zh-CN"/>
        </w:rPr>
        <w:t xml:space="preserve">It was decided to </w:t>
      </w:r>
      <w:r w:rsidR="005D1194">
        <w:rPr>
          <w:lang w:eastAsia="zh-CN"/>
        </w:rPr>
        <w:t>postpone the discussion</w:t>
      </w:r>
      <w:r>
        <w:rPr>
          <w:lang w:eastAsia="zh-CN"/>
        </w:rPr>
        <w:t>.</w:t>
      </w:r>
    </w:p>
    <w:p w:rsidR="007E420F" w:rsidRDefault="007E420F" w:rsidP="007E420F">
      <w:pPr>
        <w:pStyle w:val="a7"/>
        <w:numPr>
          <w:ilvl w:val="1"/>
          <w:numId w:val="2"/>
        </w:numPr>
        <w:rPr>
          <w:lang w:eastAsia="zh-CN"/>
        </w:rPr>
      </w:pPr>
      <w:r>
        <w:rPr>
          <w:lang w:eastAsia="zh-CN"/>
        </w:rPr>
        <w:t>CID 66: accepted</w:t>
      </w:r>
    </w:p>
    <w:p w:rsidR="007E420F" w:rsidRDefault="007E420F" w:rsidP="007E420F">
      <w:pPr>
        <w:pStyle w:val="a7"/>
        <w:numPr>
          <w:ilvl w:val="1"/>
          <w:numId w:val="2"/>
        </w:numPr>
        <w:rPr>
          <w:lang w:eastAsia="zh-CN"/>
        </w:rPr>
      </w:pPr>
      <w:r>
        <w:rPr>
          <w:lang w:eastAsia="zh-CN"/>
        </w:rPr>
        <w:t>Since some of the authors of the comments were not on the call, the chair suggested to go through all the editorial comments first. The chair will update the documents to reflect the agreed changes.</w:t>
      </w:r>
      <w:r w:rsidR="00411156">
        <w:rPr>
          <w:lang w:eastAsia="zh-CN"/>
        </w:rPr>
        <w:t xml:space="preserve"> The chair also suggested to have a follow-up conference call with ten-day notice.</w:t>
      </w:r>
    </w:p>
    <w:p w:rsidR="00411156" w:rsidRDefault="00411156" w:rsidP="00411156">
      <w:pPr>
        <w:pStyle w:val="a7"/>
        <w:numPr>
          <w:ilvl w:val="1"/>
          <w:numId w:val="2"/>
        </w:numPr>
        <w:rPr>
          <w:lang w:eastAsia="zh-CN"/>
        </w:rPr>
      </w:pPr>
      <w:r>
        <w:rPr>
          <w:lang w:eastAsia="zh-CN"/>
        </w:rPr>
        <w:t>The chair went through all editorial comments</w:t>
      </w:r>
    </w:p>
    <w:p w:rsidR="00411156" w:rsidRDefault="00411156" w:rsidP="00411156">
      <w:pPr>
        <w:pStyle w:val="a7"/>
        <w:numPr>
          <w:ilvl w:val="2"/>
          <w:numId w:val="2"/>
        </w:numPr>
        <w:rPr>
          <w:lang w:eastAsia="zh-CN"/>
        </w:rPr>
      </w:pPr>
      <w:r>
        <w:rPr>
          <w:lang w:eastAsia="zh-CN"/>
        </w:rPr>
        <w:t>CID 3: accepted</w:t>
      </w:r>
      <w:r w:rsidR="00140EC9">
        <w:rPr>
          <w:lang w:eastAsia="zh-CN"/>
        </w:rPr>
        <w:t xml:space="preserve"> </w:t>
      </w:r>
      <w:bookmarkStart w:id="0" w:name="_GoBack"/>
      <w:bookmarkEnd w:id="0"/>
    </w:p>
    <w:p w:rsidR="00411156" w:rsidRDefault="00411156" w:rsidP="00411156">
      <w:pPr>
        <w:pStyle w:val="a7"/>
        <w:numPr>
          <w:ilvl w:val="2"/>
          <w:numId w:val="2"/>
        </w:numPr>
        <w:rPr>
          <w:lang w:eastAsia="zh-CN"/>
        </w:rPr>
      </w:pPr>
      <w:r>
        <w:rPr>
          <w:lang w:eastAsia="zh-CN"/>
        </w:rPr>
        <w:t>CID 4: concerns were raised that the comment is related to technical aspects. The definition of “PHY spec” is not clear enough for some participants. It was agreed to postpone the discussion.</w:t>
      </w:r>
    </w:p>
    <w:p w:rsidR="00140EC9" w:rsidRDefault="00140EC9" w:rsidP="00411156">
      <w:pPr>
        <w:pStyle w:val="a7"/>
        <w:numPr>
          <w:ilvl w:val="2"/>
          <w:numId w:val="2"/>
        </w:numPr>
        <w:rPr>
          <w:lang w:eastAsia="zh-CN"/>
        </w:rPr>
      </w:pPr>
      <w:r>
        <w:rPr>
          <w:lang w:eastAsia="zh-CN"/>
        </w:rPr>
        <w:t>CID 5, CID10, CID 12: accepted</w:t>
      </w:r>
    </w:p>
    <w:p w:rsidR="00140EC9" w:rsidRDefault="00140EC9" w:rsidP="00411156">
      <w:pPr>
        <w:pStyle w:val="a7"/>
        <w:numPr>
          <w:ilvl w:val="2"/>
          <w:numId w:val="2"/>
        </w:numPr>
        <w:rPr>
          <w:lang w:eastAsia="zh-CN"/>
        </w:rPr>
      </w:pPr>
      <w:r>
        <w:rPr>
          <w:lang w:eastAsia="zh-CN"/>
        </w:rPr>
        <w:t>CID13: discussion on whether the comment is a technical one. It was agreed to postpone the resolution.</w:t>
      </w:r>
    </w:p>
    <w:p w:rsidR="00140EC9" w:rsidRDefault="00140EC9" w:rsidP="00411156">
      <w:pPr>
        <w:pStyle w:val="a7"/>
        <w:numPr>
          <w:ilvl w:val="2"/>
          <w:numId w:val="2"/>
        </w:numPr>
        <w:rPr>
          <w:lang w:eastAsia="zh-CN"/>
        </w:rPr>
      </w:pPr>
      <w:r>
        <w:rPr>
          <w:lang w:eastAsia="zh-CN"/>
        </w:rPr>
        <w:t>CID 16: cannot reach consensus of the wording. The resolution was postponed.</w:t>
      </w:r>
    </w:p>
    <w:p w:rsidR="00423437" w:rsidRDefault="00423437" w:rsidP="00411156">
      <w:pPr>
        <w:pStyle w:val="a7"/>
        <w:numPr>
          <w:ilvl w:val="2"/>
          <w:numId w:val="2"/>
        </w:numPr>
        <w:rPr>
          <w:lang w:eastAsia="zh-CN"/>
        </w:rPr>
      </w:pPr>
      <w:r>
        <w:rPr>
          <w:lang w:eastAsia="zh-CN"/>
        </w:rPr>
        <w:t>CID 19</w:t>
      </w:r>
      <w:r w:rsidR="00457EEA">
        <w:rPr>
          <w:lang w:eastAsia="zh-CN"/>
        </w:rPr>
        <w:t>, CID20</w:t>
      </w:r>
      <w:r w:rsidR="00FF65FF">
        <w:rPr>
          <w:lang w:eastAsia="zh-CN"/>
        </w:rPr>
        <w:t>, CID22</w:t>
      </w:r>
      <w:r>
        <w:rPr>
          <w:lang w:eastAsia="zh-CN"/>
        </w:rPr>
        <w:t>: accepted</w:t>
      </w:r>
    </w:p>
    <w:p w:rsidR="00FF65FF" w:rsidRDefault="00FF65FF" w:rsidP="00411156">
      <w:pPr>
        <w:pStyle w:val="a7"/>
        <w:numPr>
          <w:ilvl w:val="2"/>
          <w:numId w:val="2"/>
        </w:numPr>
        <w:rPr>
          <w:lang w:eastAsia="zh-CN"/>
        </w:rPr>
      </w:pPr>
      <w:r>
        <w:rPr>
          <w:lang w:eastAsia="zh-CN"/>
        </w:rPr>
        <w:t>CID 25: accepted, the Chair would provide the reference</w:t>
      </w:r>
    </w:p>
    <w:p w:rsidR="00E97F18" w:rsidRDefault="00E97F18" w:rsidP="00411156">
      <w:pPr>
        <w:pStyle w:val="a7"/>
        <w:numPr>
          <w:ilvl w:val="2"/>
          <w:numId w:val="2"/>
        </w:numPr>
        <w:rPr>
          <w:lang w:eastAsia="zh-CN"/>
        </w:rPr>
      </w:pPr>
      <w:r>
        <w:rPr>
          <w:lang w:eastAsia="zh-CN"/>
        </w:rPr>
        <w:t>CID 27: accepted</w:t>
      </w:r>
    </w:p>
    <w:p w:rsidR="00E97F18" w:rsidRDefault="00E97F18" w:rsidP="00411156">
      <w:pPr>
        <w:pStyle w:val="a7"/>
        <w:numPr>
          <w:ilvl w:val="2"/>
          <w:numId w:val="2"/>
        </w:numPr>
        <w:rPr>
          <w:lang w:eastAsia="zh-CN"/>
        </w:rPr>
      </w:pPr>
      <w:r>
        <w:rPr>
          <w:lang w:eastAsia="zh-CN"/>
        </w:rPr>
        <w:lastRenderedPageBreak/>
        <w:t xml:space="preserve">CID 30-31: it was pointed out that the dates should be the date that the standards are expected to be released. The current dates were </w:t>
      </w:r>
      <w:r w:rsidR="009472E9">
        <w:rPr>
          <w:lang w:eastAsia="zh-CN"/>
        </w:rPr>
        <w:t>the dates when the projects were authorized</w:t>
      </w:r>
      <w:r>
        <w:rPr>
          <w:lang w:eastAsia="zh-CN"/>
        </w:rPr>
        <w:t xml:space="preserve">. The correct </w:t>
      </w:r>
      <w:r w:rsidR="00B751AF">
        <w:rPr>
          <w:lang w:eastAsia="zh-CN"/>
        </w:rPr>
        <w:t>date would be provided in the next meeting or conference call</w:t>
      </w:r>
      <w:r>
        <w:rPr>
          <w:lang w:eastAsia="zh-CN"/>
        </w:rPr>
        <w:t>.</w:t>
      </w:r>
    </w:p>
    <w:p w:rsidR="00B751AF" w:rsidRDefault="00B751AF" w:rsidP="00411156">
      <w:pPr>
        <w:pStyle w:val="a7"/>
        <w:numPr>
          <w:ilvl w:val="2"/>
          <w:numId w:val="2"/>
        </w:numPr>
        <w:rPr>
          <w:lang w:eastAsia="zh-CN"/>
        </w:rPr>
      </w:pPr>
      <w:r>
        <w:rPr>
          <w:lang w:eastAsia="zh-CN"/>
        </w:rPr>
        <w:t>CID</w:t>
      </w:r>
      <w:r w:rsidR="00FD2AD8">
        <w:rPr>
          <w:lang w:eastAsia="zh-CN"/>
        </w:rPr>
        <w:t xml:space="preserve"> </w:t>
      </w:r>
      <w:r>
        <w:rPr>
          <w:lang w:eastAsia="zh-CN"/>
        </w:rPr>
        <w:t>32</w:t>
      </w:r>
      <w:r w:rsidR="00FF3124">
        <w:rPr>
          <w:lang w:eastAsia="zh-CN"/>
        </w:rPr>
        <w:t xml:space="preserve">, </w:t>
      </w:r>
      <w:r w:rsidR="00FD2AD8">
        <w:rPr>
          <w:lang w:eastAsia="zh-CN"/>
        </w:rPr>
        <w:t xml:space="preserve">CID </w:t>
      </w:r>
      <w:r w:rsidR="00FF3124">
        <w:rPr>
          <w:lang w:eastAsia="zh-CN"/>
        </w:rPr>
        <w:t>34</w:t>
      </w:r>
      <w:r w:rsidR="00FD2AD8">
        <w:rPr>
          <w:lang w:eastAsia="zh-CN"/>
        </w:rPr>
        <w:t>, CID 35, CID 36</w:t>
      </w:r>
      <w:r w:rsidR="00A45523">
        <w:rPr>
          <w:lang w:eastAsia="zh-CN"/>
        </w:rPr>
        <w:t>, CID 37</w:t>
      </w:r>
      <w:r w:rsidR="009472E9">
        <w:rPr>
          <w:lang w:eastAsia="zh-CN"/>
        </w:rPr>
        <w:t>, CID 38, CID 43</w:t>
      </w:r>
      <w:r w:rsidR="0025406F">
        <w:rPr>
          <w:lang w:eastAsia="zh-CN"/>
        </w:rPr>
        <w:t>, CID44</w:t>
      </w:r>
      <w:r w:rsidR="002003D9">
        <w:rPr>
          <w:lang w:eastAsia="zh-CN"/>
        </w:rPr>
        <w:t>, CID 48</w:t>
      </w:r>
      <w:r w:rsidR="0081006A">
        <w:rPr>
          <w:lang w:eastAsia="zh-CN"/>
        </w:rPr>
        <w:t>, CID 49</w:t>
      </w:r>
      <w:r w:rsidR="005F3B0C">
        <w:rPr>
          <w:lang w:eastAsia="zh-CN"/>
        </w:rPr>
        <w:t>, CID 50</w:t>
      </w:r>
      <w:r w:rsidR="00A41A39">
        <w:rPr>
          <w:lang w:eastAsia="zh-CN"/>
        </w:rPr>
        <w:t>, CID 51</w:t>
      </w:r>
      <w:r w:rsidR="00AB2AC1">
        <w:rPr>
          <w:lang w:eastAsia="zh-CN"/>
        </w:rPr>
        <w:t>, CID 53</w:t>
      </w:r>
      <w:r w:rsidR="007A5768">
        <w:rPr>
          <w:lang w:eastAsia="zh-CN"/>
        </w:rPr>
        <w:t>, CID 57</w:t>
      </w:r>
      <w:r w:rsidR="00716DD5">
        <w:rPr>
          <w:lang w:eastAsia="zh-CN"/>
        </w:rPr>
        <w:t>, CID 63, CID 64</w:t>
      </w:r>
      <w:r>
        <w:rPr>
          <w:lang w:eastAsia="zh-CN"/>
        </w:rPr>
        <w:t>: accepted</w:t>
      </w:r>
    </w:p>
    <w:p w:rsidR="006D404C" w:rsidRDefault="006D404C" w:rsidP="006D404C">
      <w:pPr>
        <w:pStyle w:val="a7"/>
        <w:numPr>
          <w:ilvl w:val="1"/>
          <w:numId w:val="2"/>
        </w:numPr>
        <w:rPr>
          <w:lang w:eastAsia="zh-CN"/>
        </w:rPr>
      </w:pPr>
      <w:r>
        <w:rPr>
          <w:lang w:eastAsia="zh-CN"/>
        </w:rPr>
        <w:t xml:space="preserve">The chair would update the PAR / CSD proposal according to the agreed comments. </w:t>
      </w:r>
      <w:r>
        <w:t>The chair</w:t>
      </w:r>
      <w:r>
        <w:rPr>
          <w:rFonts w:hint="eastAsia"/>
        </w:rPr>
        <w:t xml:space="preserve"> </w:t>
      </w:r>
      <w:r w:rsidR="00B3626D">
        <w:t>would</w:t>
      </w:r>
      <w:r>
        <w:rPr>
          <w:rFonts w:hint="eastAsia"/>
        </w:rPr>
        <w:t xml:space="preserve"> schedule </w:t>
      </w:r>
      <w:r>
        <w:t>another</w:t>
      </w:r>
      <w:r>
        <w:rPr>
          <w:rFonts w:hint="eastAsia"/>
        </w:rPr>
        <w:t xml:space="preserve"> conference call to go through the rest of the comments with 10 </w:t>
      </w:r>
      <w:r>
        <w:t>days’ notice</w:t>
      </w:r>
      <w:r>
        <w:rPr>
          <w:rFonts w:hint="eastAsia"/>
        </w:rPr>
        <w:t xml:space="preserve"> ahead of the meeting in Jan. 2018.</w:t>
      </w:r>
    </w:p>
    <w:p w:rsidR="002606C6" w:rsidRPr="006D404C" w:rsidRDefault="002606C6" w:rsidP="002606C6">
      <w:pPr>
        <w:pStyle w:val="a7"/>
        <w:numPr>
          <w:ilvl w:val="0"/>
          <w:numId w:val="2"/>
        </w:numPr>
      </w:pPr>
      <w:r w:rsidRPr="006D404C">
        <w:t>Call for Any other business – None identified</w:t>
      </w:r>
    </w:p>
    <w:p w:rsidR="002606C6" w:rsidRPr="006D404C" w:rsidRDefault="002606C6" w:rsidP="002606C6">
      <w:pPr>
        <w:pStyle w:val="a7"/>
        <w:numPr>
          <w:ilvl w:val="0"/>
          <w:numId w:val="2"/>
        </w:numPr>
      </w:pPr>
      <w:r w:rsidRPr="006D404C">
        <w:t xml:space="preserve">Meeting adjourned </w:t>
      </w:r>
    </w:p>
    <w:p w:rsidR="002606C6" w:rsidRPr="00B3626D" w:rsidRDefault="002606C6" w:rsidP="002606C6">
      <w:pPr>
        <w:ind w:left="360"/>
      </w:pPr>
      <w:r w:rsidRPr="00B3626D">
        <w:t xml:space="preserve"> </w:t>
      </w:r>
    </w:p>
    <w:p w:rsidR="00BC389C" w:rsidRPr="00B3626D" w:rsidRDefault="006D0754" w:rsidP="006D0754">
      <w:r w:rsidRPr="00B3626D">
        <w:t>Attendees:</w:t>
      </w:r>
    </w:p>
    <w:p w:rsidR="006D0754" w:rsidRPr="00B3626D" w:rsidRDefault="006D0754" w:rsidP="006D0754"/>
    <w:p w:rsidR="006D404C" w:rsidRDefault="006D404C" w:rsidP="006D0754">
      <w:pPr>
        <w:rPr>
          <w:lang w:eastAsia="zh-CN"/>
        </w:rPr>
      </w:pPr>
      <w:r w:rsidRPr="00B3626D">
        <w:rPr>
          <w:rFonts w:hint="eastAsia"/>
          <w:lang w:eastAsia="zh-CN"/>
        </w:rPr>
        <w:t>Chen</w:t>
      </w:r>
      <w:r w:rsidR="000118D7">
        <w:rPr>
          <w:lang w:eastAsia="zh-CN"/>
        </w:rPr>
        <w:t xml:space="preserve">, </w:t>
      </w:r>
      <w:r w:rsidR="000118D7" w:rsidRPr="00B3626D">
        <w:rPr>
          <w:rFonts w:hint="eastAsia"/>
          <w:lang w:eastAsia="zh-CN"/>
        </w:rPr>
        <w:t>Jiamin</w:t>
      </w:r>
      <w:r w:rsidRPr="00B3626D">
        <w:rPr>
          <w:rFonts w:hint="eastAsia"/>
          <w:lang w:eastAsia="zh-CN"/>
        </w:rPr>
        <w:tab/>
      </w:r>
      <w:r w:rsidRPr="00B3626D">
        <w:rPr>
          <w:rFonts w:hint="eastAsia"/>
          <w:lang w:eastAsia="zh-CN"/>
        </w:rPr>
        <w:tab/>
        <w:t>Huawei</w:t>
      </w:r>
    </w:p>
    <w:p w:rsidR="00BE6124" w:rsidRPr="00B3626D" w:rsidRDefault="00BE6124" w:rsidP="006D0754">
      <w:pPr>
        <w:rPr>
          <w:lang w:eastAsia="zh-CN"/>
        </w:rPr>
      </w:pPr>
      <w:proofErr w:type="spellStart"/>
      <w:r>
        <w:t>Jurczak</w:t>
      </w:r>
      <w:proofErr w:type="spellEnd"/>
      <w:r>
        <w:t xml:space="preserve">, Christophe </w:t>
      </w:r>
      <w:r>
        <w:tab/>
      </w:r>
      <w:proofErr w:type="spellStart"/>
      <w:r>
        <w:t>Lucibel</w:t>
      </w:r>
      <w:proofErr w:type="spellEnd"/>
    </w:p>
    <w:p w:rsidR="006D0754" w:rsidRPr="00B3626D" w:rsidRDefault="006D404C" w:rsidP="006D0754">
      <w:r w:rsidRPr="00B3626D">
        <w:t>Li, John</w:t>
      </w:r>
      <w:r w:rsidRPr="00B3626D">
        <w:tab/>
      </w:r>
      <w:r w:rsidR="006D0754" w:rsidRPr="00B3626D">
        <w:tab/>
        <w:t>Huawei</w:t>
      </w:r>
    </w:p>
    <w:p w:rsidR="00B3626D" w:rsidRDefault="00B3626D" w:rsidP="006D0754">
      <w:r w:rsidRPr="00B3626D">
        <w:t>Nikolich, Paul</w:t>
      </w:r>
      <w:r w:rsidRPr="00B3626D">
        <w:tab/>
      </w:r>
      <w:r w:rsidRPr="00B3626D">
        <w:tab/>
        <w:t>self</w:t>
      </w:r>
    </w:p>
    <w:p w:rsidR="00BF12ED" w:rsidRPr="00B3626D" w:rsidRDefault="00BF12ED" w:rsidP="006D0754">
      <w:r w:rsidRPr="00BF12ED">
        <w:t xml:space="preserve">Osama </w:t>
      </w:r>
      <w:proofErr w:type="spellStart"/>
      <w:r w:rsidRPr="00BF12ED">
        <w:t>Aboul-Magd</w:t>
      </w:r>
      <w:proofErr w:type="spellEnd"/>
      <w:r>
        <w:tab/>
        <w:t>Huawei</w:t>
      </w:r>
    </w:p>
    <w:p w:rsidR="00B3626D" w:rsidRPr="00B3626D" w:rsidRDefault="00B3626D" w:rsidP="006D0754">
      <w:proofErr w:type="spellStart"/>
      <w:r w:rsidRPr="00B3626D">
        <w:t>Patwardhan</w:t>
      </w:r>
      <w:proofErr w:type="spellEnd"/>
      <w:r w:rsidRPr="00B3626D">
        <w:t xml:space="preserve">, Gaurav </w:t>
      </w:r>
      <w:r w:rsidRPr="00B3626D">
        <w:tab/>
        <w:t>HPE</w:t>
      </w:r>
    </w:p>
    <w:p w:rsidR="00B3626D" w:rsidRDefault="006D0754">
      <w:r w:rsidRPr="00B3626D">
        <w:t xml:space="preserve">Serafimovski, Nikola </w:t>
      </w:r>
      <w:r w:rsidRPr="00B3626D">
        <w:tab/>
      </w:r>
      <w:proofErr w:type="spellStart"/>
      <w:r w:rsidRPr="00B3626D">
        <w:t>pureLiFi</w:t>
      </w:r>
      <w:proofErr w:type="spellEnd"/>
    </w:p>
    <w:p w:rsidR="00B3626D" w:rsidRDefault="00B3626D"/>
    <w:p w:rsidR="00CA09B2" w:rsidRDefault="00CA09B2">
      <w:pPr>
        <w:rPr>
          <w:b/>
          <w:sz w:val="24"/>
        </w:rPr>
      </w:pPr>
      <w:r w:rsidRPr="00B3626D">
        <w:rPr>
          <w:b/>
          <w:sz w:val="24"/>
        </w:rPr>
        <w:t>References:</w:t>
      </w:r>
    </w:p>
    <w:p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B2" w:rsidRDefault="002412B2">
      <w:r>
        <w:separator/>
      </w:r>
    </w:p>
  </w:endnote>
  <w:endnote w:type="continuationSeparator" w:id="0">
    <w:p w:rsidR="002412B2" w:rsidRDefault="0024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37819">
    <w:pPr>
      <w:pStyle w:val="a3"/>
      <w:tabs>
        <w:tab w:val="clear" w:pos="6480"/>
        <w:tab w:val="center" w:pos="4680"/>
        <w:tab w:val="right" w:pos="9360"/>
      </w:tabs>
    </w:pPr>
    <w:fldSimple w:instr=" SUBJECT  \* MERGEFORMAT ">
      <w:r w:rsidR="00B45B96">
        <w:t>Submission</w:t>
      </w:r>
    </w:fldSimple>
    <w:r w:rsidR="0029020B">
      <w:tab/>
      <w:t xml:space="preserve">page </w:t>
    </w:r>
    <w:r w:rsidR="0029020B">
      <w:fldChar w:fldCharType="begin"/>
    </w:r>
    <w:r w:rsidR="0029020B">
      <w:instrText xml:space="preserve">page </w:instrText>
    </w:r>
    <w:r w:rsidR="0029020B">
      <w:fldChar w:fldCharType="separate"/>
    </w:r>
    <w:r w:rsidR="005D1194">
      <w:rPr>
        <w:noProof/>
      </w:rPr>
      <w:t>3</w:t>
    </w:r>
    <w:r w:rsidR="0029020B">
      <w:fldChar w:fldCharType="end"/>
    </w:r>
    <w:r w:rsidR="0029020B">
      <w:tab/>
    </w:r>
    <w:fldSimple w:instr=" COMMENTS  \* MERGEFORMAT ">
      <w:r w:rsidR="00704621">
        <w:t>John Li</w:t>
      </w:r>
      <w:r w:rsidR="006D0754">
        <w:t>, H</w:t>
      </w:r>
    </w:fldSimple>
    <w:r w:rsidR="00704621">
      <w:t>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B2" w:rsidRDefault="002412B2">
      <w:r>
        <w:separator/>
      </w:r>
    </w:p>
  </w:footnote>
  <w:footnote w:type="continuationSeparator" w:id="0">
    <w:p w:rsidR="002412B2" w:rsidRDefault="0024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37819">
    <w:pPr>
      <w:pStyle w:val="a4"/>
      <w:tabs>
        <w:tab w:val="clear" w:pos="6480"/>
        <w:tab w:val="center" w:pos="4680"/>
        <w:tab w:val="right" w:pos="9360"/>
      </w:tabs>
    </w:pPr>
    <w:r>
      <w:fldChar w:fldCharType="begin"/>
    </w:r>
    <w:r>
      <w:instrText xml:space="preserve"> KEYWORDS  \* MERGEFORMAT </w:instrText>
    </w:r>
    <w:r>
      <w:fldChar w:fldCharType="separate"/>
    </w:r>
    <w:r w:rsidR="00704621">
      <w:t>November</w:t>
    </w:r>
    <w:r w:rsidR="00D84E16">
      <w:t xml:space="preserve"> 2017</w:t>
    </w:r>
    <w:r>
      <w:fldChar w:fldCharType="end"/>
    </w:r>
    <w:r w:rsidR="0029020B">
      <w:tab/>
    </w:r>
    <w:r w:rsidR="0029020B">
      <w:tab/>
    </w:r>
    <w:r>
      <w:fldChar w:fldCharType="begin"/>
    </w:r>
    <w:r>
      <w:instrText xml:space="preserve"> TITLE  \* MERGEFORMAT </w:instrText>
    </w:r>
    <w:r>
      <w:fldChar w:fldCharType="separate"/>
    </w:r>
    <w:r w:rsidR="002D3E86">
      <w:t>doc.: IEEE 802.11-17/</w:t>
    </w:r>
    <w:r w:rsidR="002D3E86" w:rsidRPr="002D3E86">
      <w:rPr>
        <w:rStyle w:val="a3"/>
      </w:rPr>
      <w:t xml:space="preserve"> </w:t>
    </w:r>
    <w:proofErr w:type="spellStart"/>
    <w:r w:rsidR="002D3E86">
      <w:rPr>
        <w:rStyle w:val="highlight"/>
      </w:rPr>
      <w:t>1833</w:t>
    </w:r>
    <w:r w:rsidR="00B45B96">
      <w:t>r0</w:t>
    </w:r>
    <w:proofErr w:type="spellEnd"/>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01511"/>
    <w:multiLevelType w:val="hybridMultilevel"/>
    <w:tmpl w:val="57EEC5C0"/>
    <w:lvl w:ilvl="0" w:tplc="8A9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2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7F4C20"/>
    <w:multiLevelType w:val="hybridMultilevel"/>
    <w:tmpl w:val="57060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96"/>
    <w:rsid w:val="000118D7"/>
    <w:rsid w:val="0003322C"/>
    <w:rsid w:val="000455D2"/>
    <w:rsid w:val="00140EC9"/>
    <w:rsid w:val="001D723B"/>
    <w:rsid w:val="002003D9"/>
    <w:rsid w:val="0022106D"/>
    <w:rsid w:val="00236F78"/>
    <w:rsid w:val="002412B2"/>
    <w:rsid w:val="0025406F"/>
    <w:rsid w:val="002606C6"/>
    <w:rsid w:val="0029020B"/>
    <w:rsid w:val="002908C4"/>
    <w:rsid w:val="002A3340"/>
    <w:rsid w:val="002A62E6"/>
    <w:rsid w:val="002A7D43"/>
    <w:rsid w:val="002D3E86"/>
    <w:rsid w:val="002D44BE"/>
    <w:rsid w:val="003341BD"/>
    <w:rsid w:val="003F06B0"/>
    <w:rsid w:val="003F082C"/>
    <w:rsid w:val="00411156"/>
    <w:rsid w:val="00423437"/>
    <w:rsid w:val="00432131"/>
    <w:rsid w:val="00442037"/>
    <w:rsid w:val="00457EEA"/>
    <w:rsid w:val="004B064B"/>
    <w:rsid w:val="004D7240"/>
    <w:rsid w:val="004E63EF"/>
    <w:rsid w:val="00540599"/>
    <w:rsid w:val="00577139"/>
    <w:rsid w:val="005A57F4"/>
    <w:rsid w:val="005D1194"/>
    <w:rsid w:val="005F3B0C"/>
    <w:rsid w:val="005F518C"/>
    <w:rsid w:val="0062440B"/>
    <w:rsid w:val="006C0727"/>
    <w:rsid w:val="006D0754"/>
    <w:rsid w:val="006D404C"/>
    <w:rsid w:val="006E145F"/>
    <w:rsid w:val="00704621"/>
    <w:rsid w:val="00716DD5"/>
    <w:rsid w:val="00770572"/>
    <w:rsid w:val="00780022"/>
    <w:rsid w:val="007A5768"/>
    <w:rsid w:val="007E420F"/>
    <w:rsid w:val="007E7933"/>
    <w:rsid w:val="0081006A"/>
    <w:rsid w:val="00830E90"/>
    <w:rsid w:val="00886A4C"/>
    <w:rsid w:val="00897FFB"/>
    <w:rsid w:val="008D7AD1"/>
    <w:rsid w:val="00922F98"/>
    <w:rsid w:val="009472E9"/>
    <w:rsid w:val="009C51FE"/>
    <w:rsid w:val="009F2FBC"/>
    <w:rsid w:val="00A41A39"/>
    <w:rsid w:val="00A45523"/>
    <w:rsid w:val="00A46403"/>
    <w:rsid w:val="00AA427C"/>
    <w:rsid w:val="00AB2AC1"/>
    <w:rsid w:val="00B275B9"/>
    <w:rsid w:val="00B3626D"/>
    <w:rsid w:val="00B45B96"/>
    <w:rsid w:val="00B47502"/>
    <w:rsid w:val="00B751AF"/>
    <w:rsid w:val="00BC389C"/>
    <w:rsid w:val="00BE6124"/>
    <w:rsid w:val="00BE68C2"/>
    <w:rsid w:val="00BF12ED"/>
    <w:rsid w:val="00C75F00"/>
    <w:rsid w:val="00CA09B2"/>
    <w:rsid w:val="00CD6D96"/>
    <w:rsid w:val="00D37819"/>
    <w:rsid w:val="00D84E16"/>
    <w:rsid w:val="00DC5A7B"/>
    <w:rsid w:val="00E0109B"/>
    <w:rsid w:val="00E97F18"/>
    <w:rsid w:val="00FD2AD8"/>
    <w:rsid w:val="00FF3124"/>
    <w:rsid w:val="00FF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72D40A-8AEC-4F36-B7E5-971AEB8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2A3340"/>
    <w:pPr>
      <w:ind w:left="720"/>
      <w:contextualSpacing/>
    </w:pPr>
  </w:style>
  <w:style w:type="character" w:customStyle="1" w:styleId="highlight">
    <w:name w:val="highlight"/>
    <w:basedOn w:val="a0"/>
    <w:rsid w:val="002D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liqiang@huawe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17/11-17-1831-00-00lc-lc-par-csd-comments.xls" TargetMode="External"/><Relationship Id="rId4" Type="http://schemas.openxmlformats.org/officeDocument/2006/relationships/webSettings" Target="webSettings.xml"/><Relationship Id="rId9" Type="http://schemas.openxmlformats.org/officeDocument/2006/relationships/hyperlink" Target="https://mentor.ieee.org/802.11/dcn/17/11-17-1832-00-00lc-30-nov-2017-conference-call-agenda.p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March_2017\Minu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383</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802.11-17/0273r0</dc:title>
  <dc:subject>Submission</dc:subject>
  <dc:creator>Dorothy Stanley</dc:creator>
  <cp:keywords>February 2017</cp:keywords>
  <dc:description>Dorothy Stanley, Hewlett Packard Enterprise</dc:description>
  <cp:lastModifiedBy>Liqiang (John)</cp:lastModifiedBy>
  <cp:revision>48</cp:revision>
  <cp:lastPrinted>2017-02-20T20:09:00Z</cp:lastPrinted>
  <dcterms:created xsi:type="dcterms:W3CDTF">2017-02-20T19:12:00Z</dcterms:created>
  <dcterms:modified xsi:type="dcterms:W3CDTF">2017-12-01T07:28:00Z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(2)P7sC49FJl+5mkgI2ZCTlIPcWjerHGdE4o9OxUlpO+RnIpDyt8wIkwjGuNLcIeABdaBTVXhXN
v2SHJnRAVmPdGINz/Xs92CnxGtuITJKJLu9jzrnDl9bRJw1yFEdXmjdJCPTRu/dtPwObr4o4
IyShjy7bvxgFCSM2as9Y9HphjD/2NyiQZaj9ULz9Ea/z7JhLdi3N580e/nYCV3bRX6i97sfk
BDLODP7gq6eyKUq3fq</vt:lpwstr>
  </property>
  <property fmtid="{D5CDD505-2E9C-101B-9397-08002B2CF9AE}" pid="3" name="_2015_ms_pID_7253431">
    <vt:lpwstr>y3P4g24r0P/HhqLyV3ltpCegVfeiTBCnOZymvI4dsRm1jS0pqj5vy6
UTM4I2mJiTTjVl1neUsgmYLWlz8N4nDC5qoZrOJJ3zS7LKy2MSI6RCmd4ssYokAIAxU0N1BI
383e9yhu/OV2ooZdNn9an5tiZmr7JUmTHH0KThxE2hzBTI7brNY4wJAvI1N6chEzL1VQAmSL
CCXdbbQV3g7z4RQT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1512112917</vt:lpwstr>
  </property>
</Properties>
</file>