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bookmarkStart w:id="0" w:name="_GoBack"/>
      <w:bookmarkEnd w:id="0"/>
      <w:r>
        <w:br/>
        <w:t>Wireless LANs</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9"/>
        <w:gridCol w:w="2062"/>
        <w:gridCol w:w="2788"/>
        <w:gridCol w:w="24"/>
        <w:gridCol w:w="1416"/>
        <w:gridCol w:w="1892"/>
        <w:gridCol w:w="56"/>
      </w:tblGrid>
      <w:tr w:rsidR="00CA09B2" w:rsidTr="005A0ED7">
        <w:trPr>
          <w:trHeight w:val="485"/>
          <w:jc w:val="center"/>
        </w:trPr>
        <w:tc>
          <w:tcPr>
            <w:tcW w:w="9681" w:type="dxa"/>
            <w:gridSpan w:val="8"/>
            <w:vAlign w:val="center"/>
          </w:tcPr>
          <w:p w:rsidR="00CA09B2" w:rsidRDefault="002D3A93">
            <w:pPr>
              <w:pStyle w:val="T2"/>
            </w:pPr>
            <w:r>
              <w:t xml:space="preserve">IMT-2020 (S)RIT Description Template – </w:t>
            </w:r>
            <w:r w:rsidR="008F605D">
              <w:t>Compliance</w:t>
            </w:r>
            <w:r>
              <w:t xml:space="preserve"> Template</w:t>
            </w:r>
          </w:p>
        </w:tc>
      </w:tr>
      <w:tr w:rsidR="00CA09B2" w:rsidTr="005A0ED7">
        <w:trPr>
          <w:trHeight w:val="359"/>
          <w:jc w:val="center"/>
        </w:trPr>
        <w:tc>
          <w:tcPr>
            <w:tcW w:w="9681" w:type="dxa"/>
            <w:gridSpan w:val="8"/>
            <w:vAlign w:val="center"/>
          </w:tcPr>
          <w:p w:rsidR="00CA09B2" w:rsidRDefault="00CA09B2" w:rsidP="00417271">
            <w:pPr>
              <w:pStyle w:val="T2"/>
              <w:ind w:left="0"/>
              <w:rPr>
                <w:sz w:val="20"/>
              </w:rPr>
            </w:pPr>
            <w:r>
              <w:rPr>
                <w:sz w:val="20"/>
              </w:rPr>
              <w:t>Date:</w:t>
            </w:r>
            <w:r>
              <w:rPr>
                <w:b w:val="0"/>
                <w:sz w:val="20"/>
              </w:rPr>
              <w:t xml:space="preserve">  </w:t>
            </w:r>
            <w:r w:rsidR="00A8394A">
              <w:rPr>
                <w:b w:val="0"/>
                <w:sz w:val="20"/>
              </w:rPr>
              <w:t>20</w:t>
            </w:r>
            <w:r w:rsidR="002D3A93">
              <w:rPr>
                <w:b w:val="0"/>
                <w:sz w:val="20"/>
              </w:rPr>
              <w:t>17</w:t>
            </w:r>
            <w:r>
              <w:rPr>
                <w:b w:val="0"/>
                <w:sz w:val="20"/>
              </w:rPr>
              <w:t>-</w:t>
            </w:r>
            <w:r w:rsidR="003F3E21">
              <w:rPr>
                <w:b w:val="0"/>
                <w:sz w:val="20"/>
              </w:rPr>
              <w:t>11</w:t>
            </w:r>
            <w:r>
              <w:rPr>
                <w:b w:val="0"/>
                <w:sz w:val="20"/>
              </w:rPr>
              <w:t>-</w:t>
            </w:r>
            <w:r w:rsidR="002D3A93">
              <w:rPr>
                <w:b w:val="0"/>
                <w:sz w:val="20"/>
              </w:rPr>
              <w:t>17</w:t>
            </w:r>
          </w:p>
        </w:tc>
      </w:tr>
      <w:tr w:rsidR="00CA09B2" w:rsidTr="005A0ED7">
        <w:trPr>
          <w:cantSplit/>
          <w:jc w:val="center"/>
        </w:trPr>
        <w:tc>
          <w:tcPr>
            <w:tcW w:w="9681" w:type="dxa"/>
            <w:gridSpan w:val="8"/>
            <w:vAlign w:val="center"/>
          </w:tcPr>
          <w:p w:rsidR="00CA09B2" w:rsidRDefault="00CA09B2">
            <w:pPr>
              <w:pStyle w:val="T2"/>
              <w:spacing w:after="0"/>
              <w:ind w:left="0" w:right="0"/>
              <w:jc w:val="left"/>
              <w:rPr>
                <w:sz w:val="20"/>
              </w:rPr>
            </w:pPr>
            <w:r>
              <w:rPr>
                <w:sz w:val="20"/>
              </w:rPr>
              <w:t>Author(s):</w:t>
            </w:r>
          </w:p>
        </w:tc>
      </w:tr>
      <w:tr w:rsidR="00CA09B2" w:rsidTr="005A0ED7">
        <w:trPr>
          <w:jc w:val="center"/>
        </w:trPr>
        <w:tc>
          <w:tcPr>
            <w:tcW w:w="1443" w:type="dxa"/>
            <w:gridSpan w:val="2"/>
            <w:vAlign w:val="center"/>
          </w:tcPr>
          <w:p w:rsidR="00CA09B2" w:rsidRDefault="00CA09B2">
            <w:pPr>
              <w:pStyle w:val="T2"/>
              <w:spacing w:after="0"/>
              <w:ind w:left="0" w:right="0"/>
              <w:jc w:val="left"/>
              <w:rPr>
                <w:sz w:val="20"/>
              </w:rPr>
            </w:pPr>
            <w:r>
              <w:rPr>
                <w:sz w:val="20"/>
              </w:rPr>
              <w:t>Name</w:t>
            </w:r>
          </w:p>
        </w:tc>
        <w:tc>
          <w:tcPr>
            <w:tcW w:w="2062" w:type="dxa"/>
            <w:vAlign w:val="center"/>
          </w:tcPr>
          <w:p w:rsidR="00CA09B2" w:rsidRDefault="0062440B">
            <w:pPr>
              <w:pStyle w:val="T2"/>
              <w:spacing w:after="0"/>
              <w:ind w:left="0" w:right="0"/>
              <w:jc w:val="left"/>
              <w:rPr>
                <w:sz w:val="20"/>
              </w:rPr>
            </w:pPr>
            <w:r>
              <w:rPr>
                <w:sz w:val="20"/>
              </w:rPr>
              <w:t>Affiliation</w:t>
            </w:r>
          </w:p>
        </w:tc>
        <w:tc>
          <w:tcPr>
            <w:tcW w:w="2812" w:type="dxa"/>
            <w:gridSpan w:val="2"/>
            <w:vAlign w:val="center"/>
          </w:tcPr>
          <w:p w:rsidR="00CA09B2" w:rsidRDefault="00CA09B2">
            <w:pPr>
              <w:pStyle w:val="T2"/>
              <w:spacing w:after="0"/>
              <w:ind w:left="0" w:right="0"/>
              <w:jc w:val="left"/>
              <w:rPr>
                <w:sz w:val="20"/>
              </w:rPr>
            </w:pPr>
            <w:r>
              <w:rPr>
                <w:sz w:val="20"/>
              </w:rPr>
              <w:t>Address</w:t>
            </w:r>
          </w:p>
        </w:tc>
        <w:tc>
          <w:tcPr>
            <w:tcW w:w="1416" w:type="dxa"/>
            <w:vAlign w:val="center"/>
          </w:tcPr>
          <w:p w:rsidR="00CA09B2" w:rsidRDefault="00CA09B2">
            <w:pPr>
              <w:pStyle w:val="T2"/>
              <w:spacing w:after="0"/>
              <w:ind w:left="0" w:right="0"/>
              <w:jc w:val="left"/>
              <w:rPr>
                <w:sz w:val="20"/>
              </w:rPr>
            </w:pPr>
            <w:r>
              <w:rPr>
                <w:sz w:val="20"/>
              </w:rPr>
              <w:t>Phone</w:t>
            </w:r>
          </w:p>
        </w:tc>
        <w:tc>
          <w:tcPr>
            <w:tcW w:w="1948" w:type="dxa"/>
            <w:gridSpan w:val="2"/>
            <w:vAlign w:val="center"/>
          </w:tcPr>
          <w:p w:rsidR="00CA09B2" w:rsidRDefault="00CA09B2">
            <w:pPr>
              <w:pStyle w:val="T2"/>
              <w:spacing w:after="0"/>
              <w:ind w:left="0" w:right="0"/>
              <w:jc w:val="left"/>
              <w:rPr>
                <w:sz w:val="20"/>
              </w:rPr>
            </w:pPr>
            <w:r>
              <w:rPr>
                <w:sz w:val="20"/>
              </w:rPr>
              <w:t>email</w:t>
            </w:r>
          </w:p>
        </w:tc>
      </w:tr>
      <w:tr w:rsidR="00CA09B2" w:rsidTr="005A0ED7">
        <w:trPr>
          <w:jc w:val="center"/>
        </w:trPr>
        <w:tc>
          <w:tcPr>
            <w:tcW w:w="1443" w:type="dxa"/>
            <w:gridSpan w:val="2"/>
            <w:vAlign w:val="center"/>
          </w:tcPr>
          <w:p w:rsidR="00CA09B2" w:rsidRDefault="00CA09B2">
            <w:pPr>
              <w:pStyle w:val="T2"/>
              <w:spacing w:after="0"/>
              <w:ind w:left="0" w:right="0"/>
              <w:rPr>
                <w:b w:val="0"/>
                <w:sz w:val="20"/>
              </w:rPr>
            </w:pPr>
          </w:p>
        </w:tc>
        <w:tc>
          <w:tcPr>
            <w:tcW w:w="2062" w:type="dxa"/>
            <w:vAlign w:val="center"/>
          </w:tcPr>
          <w:p w:rsidR="00CA09B2" w:rsidRDefault="00CA09B2">
            <w:pPr>
              <w:pStyle w:val="T2"/>
              <w:spacing w:after="0"/>
              <w:ind w:left="0" w:right="0"/>
              <w:rPr>
                <w:b w:val="0"/>
                <w:sz w:val="20"/>
              </w:rPr>
            </w:pPr>
          </w:p>
        </w:tc>
        <w:tc>
          <w:tcPr>
            <w:tcW w:w="2812" w:type="dxa"/>
            <w:gridSpan w:val="2"/>
            <w:vAlign w:val="center"/>
          </w:tcPr>
          <w:p w:rsidR="00CA09B2" w:rsidRDefault="00CA09B2">
            <w:pPr>
              <w:pStyle w:val="T2"/>
              <w:spacing w:after="0"/>
              <w:ind w:left="0" w:right="0"/>
              <w:rPr>
                <w:b w:val="0"/>
                <w:sz w:val="20"/>
              </w:rPr>
            </w:pPr>
          </w:p>
        </w:tc>
        <w:tc>
          <w:tcPr>
            <w:tcW w:w="1416" w:type="dxa"/>
            <w:vAlign w:val="center"/>
          </w:tcPr>
          <w:p w:rsidR="00CA09B2" w:rsidRDefault="00CA09B2">
            <w:pPr>
              <w:pStyle w:val="T2"/>
              <w:spacing w:after="0"/>
              <w:ind w:left="0" w:right="0"/>
              <w:rPr>
                <w:b w:val="0"/>
                <w:sz w:val="20"/>
              </w:rPr>
            </w:pPr>
          </w:p>
        </w:tc>
        <w:tc>
          <w:tcPr>
            <w:tcW w:w="1948" w:type="dxa"/>
            <w:gridSpan w:val="2"/>
            <w:vAlign w:val="center"/>
          </w:tcPr>
          <w:p w:rsidR="00CA09B2" w:rsidRDefault="00CA09B2">
            <w:pPr>
              <w:pStyle w:val="T2"/>
              <w:spacing w:after="0"/>
              <w:ind w:left="0" w:right="0"/>
              <w:rPr>
                <w:b w:val="0"/>
                <w:sz w:val="16"/>
              </w:rPr>
            </w:pPr>
          </w:p>
        </w:tc>
      </w:tr>
      <w:tr w:rsidR="005A0ED7" w:rsidRPr="005A0ED7" w:rsidTr="002D3A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6" w:type="dxa"/>
          <w:trHeight w:val="300"/>
        </w:trPr>
        <w:tc>
          <w:tcPr>
            <w:tcW w:w="1434" w:type="dxa"/>
            <w:tcBorders>
              <w:top w:val="nil"/>
              <w:left w:val="single" w:sz="4" w:space="0" w:color="auto"/>
              <w:bottom w:val="single" w:sz="4" w:space="0" w:color="auto"/>
              <w:right w:val="single" w:sz="4" w:space="0" w:color="auto"/>
            </w:tcBorders>
            <w:shd w:val="clear" w:color="auto" w:fill="auto"/>
            <w:vAlign w:val="bottom"/>
          </w:tcPr>
          <w:p w:rsidR="005A0ED7" w:rsidRPr="005A0ED7" w:rsidRDefault="002D3A93" w:rsidP="00054866">
            <w:pPr>
              <w:rPr>
                <w:rFonts w:ascii="Calibri" w:hAnsi="Calibri"/>
                <w:color w:val="000000"/>
                <w:szCs w:val="22"/>
                <w:lang w:val="en-US"/>
              </w:rPr>
            </w:pPr>
            <w:r>
              <w:rPr>
                <w:rFonts w:ascii="Calibri" w:hAnsi="Calibri"/>
                <w:color w:val="000000"/>
                <w:szCs w:val="22"/>
                <w:lang w:val="en-US"/>
              </w:rPr>
              <w:t>Author 1</w:t>
            </w:r>
          </w:p>
        </w:tc>
        <w:tc>
          <w:tcPr>
            <w:tcW w:w="2071" w:type="dxa"/>
            <w:gridSpan w:val="2"/>
            <w:tcBorders>
              <w:top w:val="nil"/>
              <w:left w:val="single" w:sz="4" w:space="0" w:color="auto"/>
              <w:bottom w:val="single" w:sz="4" w:space="0" w:color="auto"/>
              <w:right w:val="single" w:sz="4" w:space="0" w:color="auto"/>
            </w:tcBorders>
            <w:vAlign w:val="center"/>
          </w:tcPr>
          <w:p w:rsidR="005A0ED7" w:rsidRPr="005A0ED7" w:rsidRDefault="002D3A93" w:rsidP="00054866">
            <w:pPr>
              <w:rPr>
                <w:rFonts w:ascii="Calibri" w:hAnsi="Calibri"/>
                <w:color w:val="000000"/>
                <w:szCs w:val="22"/>
                <w:lang w:val="en-US"/>
              </w:rPr>
            </w:pPr>
            <w:r>
              <w:rPr>
                <w:rFonts w:ascii="Calibri" w:hAnsi="Calibri"/>
                <w:color w:val="000000"/>
                <w:szCs w:val="22"/>
                <w:lang w:val="en-US"/>
              </w:rPr>
              <w:t>Affiliation 1</w:t>
            </w:r>
          </w:p>
        </w:tc>
        <w:tc>
          <w:tcPr>
            <w:tcW w:w="2788" w:type="dxa"/>
            <w:tcBorders>
              <w:top w:val="nil"/>
              <w:left w:val="nil"/>
              <w:bottom w:val="single" w:sz="4" w:space="0" w:color="auto"/>
              <w:right w:val="single" w:sz="4" w:space="0" w:color="auto"/>
            </w:tcBorders>
            <w:shd w:val="clear" w:color="auto" w:fill="auto"/>
            <w:vAlign w:val="bottom"/>
          </w:tcPr>
          <w:p w:rsidR="005A0ED7" w:rsidRPr="005A0ED7" w:rsidRDefault="002D3A93" w:rsidP="00054866">
            <w:pPr>
              <w:rPr>
                <w:rFonts w:ascii="Calibri" w:hAnsi="Calibri"/>
                <w:color w:val="000000"/>
                <w:szCs w:val="22"/>
                <w:lang w:val="en-US"/>
              </w:rPr>
            </w:pPr>
            <w:r>
              <w:rPr>
                <w:rFonts w:ascii="Calibri" w:hAnsi="Calibri"/>
                <w:color w:val="000000"/>
                <w:szCs w:val="22"/>
                <w:lang w:val="en-US"/>
              </w:rPr>
              <w:t>Address 1</w:t>
            </w:r>
          </w:p>
        </w:tc>
        <w:tc>
          <w:tcPr>
            <w:tcW w:w="1440" w:type="dxa"/>
            <w:gridSpan w:val="2"/>
            <w:tcBorders>
              <w:top w:val="nil"/>
              <w:left w:val="nil"/>
              <w:bottom w:val="single" w:sz="4" w:space="0" w:color="auto"/>
              <w:right w:val="single" w:sz="4" w:space="0" w:color="auto"/>
            </w:tcBorders>
            <w:shd w:val="clear" w:color="auto" w:fill="auto"/>
            <w:vAlign w:val="bottom"/>
          </w:tcPr>
          <w:p w:rsidR="005A0ED7" w:rsidRPr="005A0ED7" w:rsidRDefault="002D3A93" w:rsidP="00054866">
            <w:pPr>
              <w:rPr>
                <w:rFonts w:ascii="Calibri" w:hAnsi="Calibri"/>
                <w:color w:val="000000"/>
                <w:szCs w:val="22"/>
                <w:lang w:val="en-US"/>
              </w:rPr>
            </w:pPr>
            <w:r>
              <w:rPr>
                <w:rFonts w:ascii="Calibri" w:hAnsi="Calibri"/>
                <w:color w:val="000000"/>
                <w:szCs w:val="22"/>
                <w:lang w:val="en-US"/>
              </w:rPr>
              <w:t>Phone 1</w:t>
            </w:r>
          </w:p>
        </w:tc>
        <w:tc>
          <w:tcPr>
            <w:tcW w:w="1892" w:type="dxa"/>
            <w:tcBorders>
              <w:top w:val="nil"/>
              <w:left w:val="nil"/>
              <w:bottom w:val="single" w:sz="4" w:space="0" w:color="auto"/>
              <w:right w:val="single" w:sz="4" w:space="0" w:color="auto"/>
            </w:tcBorders>
            <w:shd w:val="clear" w:color="auto" w:fill="auto"/>
            <w:vAlign w:val="bottom"/>
          </w:tcPr>
          <w:p w:rsidR="005A0ED7" w:rsidRPr="005A0ED7" w:rsidRDefault="002D3A93" w:rsidP="00054866">
            <w:pPr>
              <w:rPr>
                <w:rFonts w:ascii="Calibri" w:hAnsi="Calibri"/>
                <w:color w:val="000000"/>
                <w:szCs w:val="22"/>
                <w:lang w:val="en-US"/>
              </w:rPr>
            </w:pPr>
            <w:r>
              <w:rPr>
                <w:rFonts w:ascii="Calibri" w:hAnsi="Calibri"/>
                <w:color w:val="000000"/>
                <w:szCs w:val="22"/>
                <w:lang w:val="en-US"/>
              </w:rPr>
              <w:t>Email 1</w:t>
            </w:r>
          </w:p>
        </w:tc>
      </w:tr>
    </w:tbl>
    <w:p w:rsidR="007C67E6" w:rsidRDefault="007C67E6">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-64770</wp:posOffset>
                </wp:positionH>
                <wp:positionV relativeFrom="paragraph">
                  <wp:posOffset>203200</wp:posOffset>
                </wp:positionV>
                <wp:extent cx="5943600" cy="33070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0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70D" w:rsidRDefault="0028670D">
                            <w:pPr>
                              <w:pStyle w:val="T1"/>
                              <w:spacing w:after="120"/>
                            </w:pPr>
                            <w:r>
                              <w:t>Abstract</w:t>
                            </w:r>
                          </w:p>
                          <w:p w:rsidR="00A47FA0" w:rsidRDefault="00A47FA0" w:rsidP="00A47FA0">
                            <w:pPr>
                              <w:jc w:val="both"/>
                            </w:pPr>
                            <w:r>
                              <w:t xml:space="preserve">This document is the </w:t>
                            </w:r>
                            <w:r w:rsidR="008F605D">
                              <w:t xml:space="preserve">compliance </w:t>
                            </w:r>
                            <w:r>
                              <w:t>template</w:t>
                            </w:r>
                            <w:r w:rsidR="00CC26F8">
                              <w:t>, prepared</w:t>
                            </w:r>
                            <w:r>
                              <w:t xml:space="preserve"> in accordance with the submission guidelines for IMT-2020 submissions as described in the </w:t>
                            </w:r>
                            <w:r w:rsidR="00CC26F8" w:rsidRPr="00BB4599">
                              <w:rPr>
                                <w:lang w:eastAsia="zh-CN"/>
                              </w:rPr>
                              <w:t>ITU-R</w:t>
                            </w:r>
                            <w:r w:rsidR="00CC26F8">
                              <w:rPr>
                                <w:lang w:eastAsia="zh-CN"/>
                              </w:rPr>
                              <w:t>/WP-5D Document</w:t>
                            </w:r>
                            <w:r w:rsidR="00CC26F8" w:rsidRPr="00BB4599">
                              <w:rPr>
                                <w:lang w:eastAsia="zh-CN"/>
                              </w:rPr>
                              <w:t xml:space="preserve"> M.[IMT-2020.SUBMISSION]</w:t>
                            </w:r>
                            <w:r w:rsidR="00CC26F8">
                              <w:rPr>
                                <w:lang w:eastAsia="zh-CN"/>
                              </w:rPr>
                              <w:t xml:space="preserve"> titled</w:t>
                            </w:r>
                            <w:r>
                              <w:t xml:space="preserve"> “Requirements, evaluation criteria and submission templates</w:t>
                            </w:r>
                            <w:r w:rsidR="00CC26F8">
                              <w:t xml:space="preserve"> </w:t>
                            </w:r>
                            <w:r>
                              <w:t>for the development of IMT-2020”</w:t>
                            </w:r>
                            <w:r w:rsidR="00CC26F8">
                              <w:t>.</w:t>
                            </w:r>
                          </w:p>
                          <w:p w:rsidR="00CC26F8" w:rsidRDefault="00CC26F8" w:rsidP="00A47FA0">
                            <w:pPr>
                              <w:jc w:val="both"/>
                            </w:pPr>
                          </w:p>
                          <w:p w:rsidR="00742D14" w:rsidRDefault="00742D14" w:rsidP="00742D14">
                            <w:pPr>
                              <w:jc w:val="both"/>
                            </w:pPr>
                            <w:r>
                              <w:t xml:space="preserve">This document provides the responses that are needed to assess the compliance of a candidate RIT or SRIT with the minimum requirements of IMT-2020. </w:t>
                            </w:r>
                          </w:p>
                          <w:p w:rsidR="00742D14" w:rsidRDefault="00742D14" w:rsidP="00742D14">
                            <w:pPr>
                              <w:jc w:val="both"/>
                            </w:pPr>
                            <w:r>
                              <w:t>The compliance templates are:</w:t>
                            </w:r>
                          </w:p>
                          <w:p w:rsidR="00742D14" w:rsidRDefault="00742D14" w:rsidP="00742D14">
                            <w:pPr>
                              <w:jc w:val="both"/>
                            </w:pPr>
                            <w:r>
                              <w:t>–</w:t>
                            </w:r>
                            <w:r>
                              <w:tab/>
                              <w:t>Compliance template for services;</w:t>
                            </w:r>
                          </w:p>
                          <w:p w:rsidR="00742D14" w:rsidRDefault="00742D14" w:rsidP="00742D14">
                            <w:pPr>
                              <w:jc w:val="both"/>
                            </w:pPr>
                            <w:r>
                              <w:t>–</w:t>
                            </w:r>
                            <w:r>
                              <w:tab/>
                              <w:t>Compliance template for spectrum; and,</w:t>
                            </w:r>
                          </w:p>
                          <w:p w:rsidR="0028670D" w:rsidRDefault="00742D14" w:rsidP="00742D14">
                            <w:pPr>
                              <w:jc w:val="both"/>
                            </w:pPr>
                            <w:r>
                              <w:t>–</w:t>
                            </w:r>
                            <w:r>
                              <w:tab/>
                              <w:t xml:space="preserve">Compliance template for technical </w:t>
                            </w:r>
                            <w:proofErr w:type="gramStart"/>
                            <w:r>
                              <w:t>performance.</w:t>
                            </w:r>
                            <w:r w:rsidR="00A47FA0">
                              <w:t>.</w:t>
                            </w:r>
                            <w:proofErr w:type="gramEnd"/>
                            <w:r w:rsidR="00A47FA0">
                              <w:t xml:space="preserve"> </w:t>
                            </w:r>
                          </w:p>
                          <w:p w:rsidR="0028670D" w:rsidRDefault="0028670D" w:rsidP="00A8394A">
                            <w:pPr>
                              <w:jc w:val="both"/>
                            </w:pPr>
                          </w:p>
                          <w:p w:rsidR="0028670D" w:rsidRDefault="0028670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S+hQ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" o:allowincell="f" stroked="f">
                <v:textbox>
                  <w:txbxContent>
                    <w:p w:rsidR="0028670D" w:rsidRDefault="0028670D">
                      <w:pPr>
                        <w:pStyle w:val="T1"/>
                        <w:spacing w:after="120"/>
                      </w:pPr>
                      <w:r>
                        <w:t>Abstract</w:t>
                      </w:r>
                    </w:p>
                    <w:p w:rsidR="00A47FA0" w:rsidRDefault="00A47FA0" w:rsidP="00A47FA0">
                      <w:pPr>
                        <w:jc w:val="both"/>
                      </w:pPr>
                      <w:r>
                        <w:t xml:space="preserve">This document is the </w:t>
                      </w:r>
                      <w:r w:rsidR="008F605D">
                        <w:t xml:space="preserve">compliance </w:t>
                      </w:r>
                      <w:r>
                        <w:t>template</w:t>
                      </w:r>
                      <w:r w:rsidR="00CC26F8">
                        <w:t>, prepared</w:t>
                      </w:r>
                      <w:r>
                        <w:t xml:space="preserve"> </w:t>
                      </w:r>
                      <w:r>
                        <w:t xml:space="preserve">in accordance with the submission guidelines for IMT-2020 submissions as described in the </w:t>
                      </w:r>
                      <w:r w:rsidR="00CC26F8" w:rsidRPr="00BB4599">
                        <w:rPr>
                          <w:lang w:eastAsia="zh-CN"/>
                        </w:rPr>
                        <w:t>ITU-R</w:t>
                      </w:r>
                      <w:r w:rsidR="00CC26F8">
                        <w:rPr>
                          <w:lang w:eastAsia="zh-CN"/>
                        </w:rPr>
                        <w:t>/WP-5D Document</w:t>
                      </w:r>
                      <w:r w:rsidR="00CC26F8" w:rsidRPr="00BB4599">
                        <w:rPr>
                          <w:lang w:eastAsia="zh-CN"/>
                        </w:rPr>
                        <w:t xml:space="preserve"> M.[IMT-2020.SUBMISSION]</w:t>
                      </w:r>
                      <w:r w:rsidR="00CC26F8">
                        <w:rPr>
                          <w:lang w:eastAsia="zh-CN"/>
                        </w:rPr>
                        <w:t xml:space="preserve"> titled</w:t>
                      </w:r>
                      <w:r>
                        <w:t xml:space="preserve"> “</w:t>
                      </w:r>
                      <w:r>
                        <w:t>Requirements, evaluation criteria and submission templates</w:t>
                      </w:r>
                      <w:r w:rsidR="00CC26F8">
                        <w:t xml:space="preserve"> </w:t>
                      </w:r>
                      <w:r>
                        <w:t>for the development of IMT-2020</w:t>
                      </w:r>
                      <w:r>
                        <w:t>”</w:t>
                      </w:r>
                      <w:r w:rsidR="00CC26F8">
                        <w:t>.</w:t>
                      </w:r>
                    </w:p>
                    <w:p w:rsidR="00CC26F8" w:rsidRDefault="00CC26F8" w:rsidP="00A47FA0">
                      <w:pPr>
                        <w:jc w:val="both"/>
                      </w:pPr>
                    </w:p>
                    <w:p w:rsidR="00742D14" w:rsidRDefault="00742D14" w:rsidP="00742D14">
                      <w:pPr>
                        <w:jc w:val="both"/>
                      </w:pPr>
                      <w:r>
                        <w:t xml:space="preserve">This </w:t>
                      </w:r>
                      <w:r>
                        <w:t>document</w:t>
                      </w:r>
                      <w:r>
                        <w:t xml:space="preserve"> provides the responses that are needed to assess the compliance of a candidate RIT or SRIT with the minimum requirements of IMT-2020. </w:t>
                      </w:r>
                    </w:p>
                    <w:p w:rsidR="00742D14" w:rsidRDefault="00742D14" w:rsidP="00742D14">
                      <w:pPr>
                        <w:jc w:val="both"/>
                      </w:pPr>
                      <w:r>
                        <w:t>The compliance templates are:</w:t>
                      </w:r>
                    </w:p>
                    <w:p w:rsidR="00742D14" w:rsidRDefault="00742D14" w:rsidP="00742D14">
                      <w:pPr>
                        <w:jc w:val="both"/>
                      </w:pPr>
                      <w:r>
                        <w:t>–</w:t>
                      </w:r>
                      <w:r>
                        <w:tab/>
                        <w:t>Compliance template for services;</w:t>
                      </w:r>
                    </w:p>
                    <w:p w:rsidR="00742D14" w:rsidRDefault="00742D14" w:rsidP="00742D14">
                      <w:pPr>
                        <w:jc w:val="both"/>
                      </w:pPr>
                      <w:r>
                        <w:t>–</w:t>
                      </w:r>
                      <w:r>
                        <w:tab/>
                        <w:t>Compliance template for spectrum; and,</w:t>
                      </w:r>
                    </w:p>
                    <w:p w:rsidR="0028670D" w:rsidRDefault="00742D14" w:rsidP="00742D14">
                      <w:pPr>
                        <w:jc w:val="both"/>
                      </w:pPr>
                      <w:r>
                        <w:t>–</w:t>
                      </w:r>
                      <w:r>
                        <w:tab/>
                        <w:t xml:space="preserve">Compliance template for technical </w:t>
                      </w:r>
                      <w:proofErr w:type="gramStart"/>
                      <w:r>
                        <w:t>performance.</w:t>
                      </w:r>
                      <w:r w:rsidR="00A47FA0">
                        <w:t>.</w:t>
                      </w:r>
                      <w:proofErr w:type="gramEnd"/>
                      <w:r w:rsidR="00A47FA0">
                        <w:t xml:space="preserve"> </w:t>
                      </w:r>
                    </w:p>
                    <w:p w:rsidR="0028670D" w:rsidRDefault="0028670D" w:rsidP="00A8394A">
                      <w:pPr>
                        <w:jc w:val="both"/>
                      </w:pPr>
                    </w:p>
                    <w:p w:rsidR="0028670D" w:rsidRDefault="0028670D"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bookmarkStart w:id="1" w:name="_Toc498640820"/>
      <w:r w:rsidR="00F639BA">
        <w:t>Revision history</w:t>
      </w:r>
      <w:bookmarkEnd w:id="1"/>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3B5943" w:rsidP="00F639BA">
            <w:r>
              <w:t>November 17</w:t>
            </w:r>
            <w:r w:rsidR="00F639BA">
              <w:t>, 201</w:t>
            </w:r>
            <w:r>
              <w:t>7</w:t>
            </w:r>
          </w:p>
        </w:tc>
        <w:tc>
          <w:tcPr>
            <w:tcW w:w="6295" w:type="dxa"/>
          </w:tcPr>
          <w:p w:rsidR="00F639BA" w:rsidRDefault="00F639BA" w:rsidP="00F639BA">
            <w:r>
              <w:t>Initial draft</w:t>
            </w:r>
          </w:p>
        </w:tc>
      </w:tr>
      <w:tr w:rsidR="00F639BA" w:rsidTr="0039564A">
        <w:tc>
          <w:tcPr>
            <w:tcW w:w="1165" w:type="dxa"/>
          </w:tcPr>
          <w:p w:rsidR="0039564A" w:rsidRDefault="0039564A" w:rsidP="00F639BA"/>
        </w:tc>
        <w:tc>
          <w:tcPr>
            <w:tcW w:w="1890" w:type="dxa"/>
          </w:tcPr>
          <w:p w:rsidR="00F639BA" w:rsidRDefault="00F639BA" w:rsidP="00F639BA"/>
        </w:tc>
        <w:tc>
          <w:tcPr>
            <w:tcW w:w="6295" w:type="dxa"/>
          </w:tcPr>
          <w:p w:rsidR="00F639BA" w:rsidRDefault="00F639B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bl>
    <w:p w:rsidR="004F5383" w:rsidRDefault="004F5383" w:rsidP="00F639BA"/>
    <w:p w:rsidR="006E604A" w:rsidRDefault="006E604A">
      <w:r>
        <w:br w:type="page"/>
      </w:r>
    </w:p>
    <w:sdt>
      <w:sdtPr>
        <w:rPr>
          <w:rFonts w:ascii="Times New Roman" w:eastAsia="Times New Roman" w:hAnsi="Times New Roman" w:cs="Times New Roman"/>
          <w:color w:val="auto"/>
          <w:sz w:val="22"/>
          <w:szCs w:val="20"/>
          <w:lang w:val="en-GB"/>
        </w:rPr>
        <w:id w:val="1035388185"/>
        <w:docPartObj>
          <w:docPartGallery w:val="Table of Contents"/>
          <w:docPartUnique/>
        </w:docPartObj>
      </w:sdtPr>
      <w:sdtEndPr>
        <w:rPr>
          <w:b/>
          <w:bCs/>
          <w:noProof/>
        </w:rPr>
      </w:sdtEndPr>
      <w:sdtContent>
        <w:p w:rsidR="006E604A" w:rsidRDefault="006E604A">
          <w:pPr>
            <w:pStyle w:val="TOCHeading"/>
          </w:pPr>
          <w:r>
            <w:t>Contents</w:t>
          </w:r>
        </w:p>
        <w:p w:rsidR="006E604A" w:rsidRDefault="006E604A">
          <w:pPr>
            <w:pStyle w:val="TOC1"/>
            <w:tabs>
              <w:tab w:val="right" w:leader="dot" w:pos="9350"/>
            </w:tabs>
            <w:rPr>
              <w:noProof/>
            </w:rPr>
          </w:pPr>
          <w:r>
            <w:fldChar w:fldCharType="begin"/>
          </w:r>
          <w:r>
            <w:instrText xml:space="preserve"> TOC \o "1-3" \h \z \u </w:instrText>
          </w:r>
          <w:r>
            <w:fldChar w:fldCharType="separate"/>
          </w:r>
          <w:hyperlink w:anchor="_Toc498640820" w:history="1">
            <w:r w:rsidRPr="006F1522">
              <w:rPr>
                <w:rStyle w:val="Hyperlink"/>
                <w:noProof/>
              </w:rPr>
              <w:t>Revision history</w:t>
            </w:r>
            <w:r>
              <w:rPr>
                <w:noProof/>
                <w:webHidden/>
              </w:rPr>
              <w:tab/>
            </w:r>
            <w:r>
              <w:rPr>
                <w:noProof/>
                <w:webHidden/>
              </w:rPr>
              <w:fldChar w:fldCharType="begin"/>
            </w:r>
            <w:r>
              <w:rPr>
                <w:noProof/>
                <w:webHidden/>
              </w:rPr>
              <w:instrText xml:space="preserve"> PAGEREF _Toc498640820 \h </w:instrText>
            </w:r>
            <w:r>
              <w:rPr>
                <w:noProof/>
                <w:webHidden/>
              </w:rPr>
            </w:r>
            <w:r>
              <w:rPr>
                <w:noProof/>
                <w:webHidden/>
              </w:rPr>
              <w:fldChar w:fldCharType="separate"/>
            </w:r>
            <w:r>
              <w:rPr>
                <w:noProof/>
                <w:webHidden/>
              </w:rPr>
              <w:t>2</w:t>
            </w:r>
            <w:r>
              <w:rPr>
                <w:noProof/>
                <w:webHidden/>
              </w:rPr>
              <w:fldChar w:fldCharType="end"/>
            </w:r>
          </w:hyperlink>
        </w:p>
        <w:p w:rsidR="006E604A" w:rsidRDefault="009B545B">
          <w:pPr>
            <w:pStyle w:val="TOC1"/>
            <w:tabs>
              <w:tab w:val="right" w:leader="dot" w:pos="9350"/>
            </w:tabs>
            <w:rPr>
              <w:noProof/>
            </w:rPr>
          </w:pPr>
          <w:hyperlink w:anchor="_Toc498640821" w:history="1">
            <w:r w:rsidR="006E604A" w:rsidRPr="006F1522">
              <w:rPr>
                <w:rStyle w:val="Hyperlink"/>
                <w:rFonts w:ascii="Calibri Light" w:hAnsi="Calibri Light"/>
                <w:noProof/>
                <w:lang w:val="en-US"/>
              </w:rPr>
              <w:t>5.2.4.1 Compliance Template for Services</w:t>
            </w:r>
            <w:r w:rsidR="006E604A">
              <w:rPr>
                <w:noProof/>
                <w:webHidden/>
              </w:rPr>
              <w:tab/>
            </w:r>
            <w:r w:rsidR="006E604A">
              <w:rPr>
                <w:noProof/>
                <w:webHidden/>
              </w:rPr>
              <w:fldChar w:fldCharType="begin"/>
            </w:r>
            <w:r w:rsidR="006E604A">
              <w:rPr>
                <w:noProof/>
                <w:webHidden/>
              </w:rPr>
              <w:instrText xml:space="preserve"> PAGEREF _Toc498640821 \h </w:instrText>
            </w:r>
            <w:r w:rsidR="006E604A">
              <w:rPr>
                <w:noProof/>
                <w:webHidden/>
              </w:rPr>
            </w:r>
            <w:r w:rsidR="006E604A">
              <w:rPr>
                <w:noProof/>
                <w:webHidden/>
              </w:rPr>
              <w:fldChar w:fldCharType="separate"/>
            </w:r>
            <w:r w:rsidR="006E604A">
              <w:rPr>
                <w:noProof/>
                <w:webHidden/>
              </w:rPr>
              <w:t>5</w:t>
            </w:r>
            <w:r w:rsidR="006E604A">
              <w:rPr>
                <w:noProof/>
                <w:webHidden/>
              </w:rPr>
              <w:fldChar w:fldCharType="end"/>
            </w:r>
          </w:hyperlink>
        </w:p>
        <w:p w:rsidR="006E604A" w:rsidRDefault="009B545B">
          <w:pPr>
            <w:pStyle w:val="TOC1"/>
            <w:tabs>
              <w:tab w:val="right" w:leader="dot" w:pos="9350"/>
            </w:tabs>
            <w:rPr>
              <w:noProof/>
            </w:rPr>
          </w:pPr>
          <w:hyperlink w:anchor="_Toc498640822" w:history="1">
            <w:r w:rsidR="006E604A" w:rsidRPr="006F1522">
              <w:rPr>
                <w:rStyle w:val="Hyperlink"/>
                <w:rFonts w:ascii="Calibri Light" w:hAnsi="Calibri Light"/>
                <w:noProof/>
              </w:rPr>
              <w:t>5.2.4.2 Compliance template for spectrum</w:t>
            </w:r>
            <w:r w:rsidR="006E604A" w:rsidRPr="006F1522">
              <w:rPr>
                <w:rStyle w:val="Hyperlink"/>
                <w:rFonts w:ascii="Calibri Light" w:hAnsi="Calibri Light"/>
                <w:noProof/>
                <w:vertAlign w:val="superscript"/>
              </w:rPr>
              <w:t>3</w:t>
            </w:r>
            <w:r w:rsidR="006E604A">
              <w:rPr>
                <w:noProof/>
                <w:webHidden/>
              </w:rPr>
              <w:tab/>
            </w:r>
            <w:r w:rsidR="006E604A">
              <w:rPr>
                <w:noProof/>
                <w:webHidden/>
              </w:rPr>
              <w:fldChar w:fldCharType="begin"/>
            </w:r>
            <w:r w:rsidR="006E604A">
              <w:rPr>
                <w:noProof/>
                <w:webHidden/>
              </w:rPr>
              <w:instrText xml:space="preserve"> PAGEREF _Toc498640822 \h </w:instrText>
            </w:r>
            <w:r w:rsidR="006E604A">
              <w:rPr>
                <w:noProof/>
                <w:webHidden/>
              </w:rPr>
            </w:r>
            <w:r w:rsidR="006E604A">
              <w:rPr>
                <w:noProof/>
                <w:webHidden/>
              </w:rPr>
              <w:fldChar w:fldCharType="separate"/>
            </w:r>
            <w:r w:rsidR="006E604A">
              <w:rPr>
                <w:noProof/>
                <w:webHidden/>
              </w:rPr>
              <w:t>6</w:t>
            </w:r>
            <w:r w:rsidR="006E604A">
              <w:rPr>
                <w:noProof/>
                <w:webHidden/>
              </w:rPr>
              <w:fldChar w:fldCharType="end"/>
            </w:r>
          </w:hyperlink>
        </w:p>
        <w:p w:rsidR="006E604A" w:rsidRDefault="009B545B">
          <w:pPr>
            <w:pStyle w:val="TOC1"/>
            <w:tabs>
              <w:tab w:val="right" w:leader="dot" w:pos="9350"/>
            </w:tabs>
            <w:rPr>
              <w:noProof/>
            </w:rPr>
          </w:pPr>
          <w:hyperlink w:anchor="_Toc498640823" w:history="1">
            <w:r w:rsidR="006E604A" w:rsidRPr="006F1522">
              <w:rPr>
                <w:rStyle w:val="Hyperlink"/>
                <w:rFonts w:ascii="Calibri Light" w:hAnsi="Calibri Light"/>
                <w:noProof/>
              </w:rPr>
              <w:t>5.2.4.3 Compliance template for technical performance</w:t>
            </w:r>
            <w:r w:rsidR="006E604A" w:rsidRPr="006F1522">
              <w:rPr>
                <w:rStyle w:val="Hyperlink"/>
                <w:rFonts w:ascii="Calibri Light" w:hAnsi="Calibri Light"/>
                <w:noProof/>
                <w:vertAlign w:val="superscript"/>
              </w:rPr>
              <w:t>3</w:t>
            </w:r>
            <w:r w:rsidR="006E604A">
              <w:rPr>
                <w:noProof/>
                <w:webHidden/>
              </w:rPr>
              <w:tab/>
            </w:r>
            <w:r w:rsidR="006E604A">
              <w:rPr>
                <w:noProof/>
                <w:webHidden/>
              </w:rPr>
              <w:fldChar w:fldCharType="begin"/>
            </w:r>
            <w:r w:rsidR="006E604A">
              <w:rPr>
                <w:noProof/>
                <w:webHidden/>
              </w:rPr>
              <w:instrText xml:space="preserve"> PAGEREF _Toc498640823 \h </w:instrText>
            </w:r>
            <w:r w:rsidR="006E604A">
              <w:rPr>
                <w:noProof/>
                <w:webHidden/>
              </w:rPr>
            </w:r>
            <w:r w:rsidR="006E604A">
              <w:rPr>
                <w:noProof/>
                <w:webHidden/>
              </w:rPr>
              <w:fldChar w:fldCharType="separate"/>
            </w:r>
            <w:r w:rsidR="006E604A">
              <w:rPr>
                <w:noProof/>
                <w:webHidden/>
              </w:rPr>
              <w:t>7</w:t>
            </w:r>
            <w:r w:rsidR="006E604A">
              <w:rPr>
                <w:noProof/>
                <w:webHidden/>
              </w:rPr>
              <w:fldChar w:fldCharType="end"/>
            </w:r>
          </w:hyperlink>
        </w:p>
        <w:p w:rsidR="006E604A" w:rsidRDefault="006E604A">
          <w:r>
            <w:rPr>
              <w:b/>
              <w:bCs/>
              <w:noProof/>
            </w:rPr>
            <w:fldChar w:fldCharType="end"/>
          </w:r>
        </w:p>
      </w:sdtContent>
    </w:sdt>
    <w:p w:rsidR="006E604A" w:rsidRDefault="006E604A">
      <w:r>
        <w:br w:type="page"/>
      </w:r>
    </w:p>
    <w:p w:rsidR="004F5383" w:rsidRDefault="004F5383">
      <w:r>
        <w:lastRenderedPageBreak/>
        <w:br w:type="page"/>
      </w:r>
    </w:p>
    <w:p w:rsidR="006E604A" w:rsidRPr="006E604A" w:rsidRDefault="006E604A" w:rsidP="006E604A">
      <w:pPr>
        <w:keepNext/>
        <w:keepLines/>
        <w:spacing w:before="240" w:line="256" w:lineRule="auto"/>
        <w:outlineLvl w:val="0"/>
        <w:rPr>
          <w:rFonts w:ascii="Calibri Light" w:hAnsi="Calibri Light"/>
          <w:b/>
          <w:color w:val="2F5496"/>
          <w:sz w:val="32"/>
          <w:szCs w:val="32"/>
          <w:lang w:val="en-US"/>
        </w:rPr>
      </w:pPr>
      <w:bookmarkStart w:id="2" w:name="_Toc498634393"/>
      <w:bookmarkStart w:id="3" w:name="_Toc498640821"/>
      <w:r w:rsidRPr="006E604A">
        <w:rPr>
          <w:rFonts w:ascii="Calibri Light" w:hAnsi="Calibri Light"/>
          <w:b/>
          <w:color w:val="2F5496"/>
          <w:sz w:val="32"/>
          <w:szCs w:val="32"/>
          <w:lang w:val="en-US"/>
        </w:rPr>
        <w:lastRenderedPageBreak/>
        <w:t>5.2.4.1 Compliance Template for Services</w:t>
      </w:r>
      <w:bookmarkEnd w:id="2"/>
      <w:bookmarkEnd w:id="3"/>
    </w:p>
    <w:p w:rsidR="006E604A" w:rsidRPr="006E604A" w:rsidRDefault="006E604A" w:rsidP="006E604A">
      <w:pPr>
        <w:spacing w:after="160" w:line="256" w:lineRule="auto"/>
        <w:rPr>
          <w:rFonts w:ascii="Calibri" w:eastAsia="Calibri" w:hAnsi="Calibri"/>
          <w:szCs w:val="22"/>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5430"/>
        <w:gridCol w:w="3827"/>
      </w:tblGrid>
      <w:tr w:rsidR="006E604A" w:rsidRPr="006E604A" w:rsidTr="006E604A">
        <w:tc>
          <w:tcPr>
            <w:tcW w:w="1199" w:type="dxa"/>
            <w:tcBorders>
              <w:top w:val="single" w:sz="4" w:space="0" w:color="auto"/>
              <w:left w:val="single" w:sz="4" w:space="0" w:color="auto"/>
              <w:bottom w:val="single" w:sz="4" w:space="0" w:color="auto"/>
              <w:right w:val="single" w:sz="4" w:space="0" w:color="auto"/>
            </w:tcBorders>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b/>
                <w:sz w:val="20"/>
              </w:rPr>
            </w:pPr>
          </w:p>
        </w:tc>
        <w:tc>
          <w:tcPr>
            <w:tcW w:w="5430"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b/>
                <w:sz w:val="20"/>
              </w:rPr>
            </w:pPr>
            <w:r w:rsidRPr="006E604A">
              <w:rPr>
                <w:rFonts w:ascii="Times New Roman Bold" w:eastAsia="SimSun" w:hAnsi="Times New Roman Bold" w:cs="Times New Roman Bold"/>
                <w:b/>
                <w:sz w:val="20"/>
              </w:rPr>
              <w:t>S</w:t>
            </w:r>
            <w:r w:rsidRPr="006E604A">
              <w:rPr>
                <w:rFonts w:ascii="Times New Roman Bold" w:eastAsia="MS Mincho" w:hAnsi="Times New Roman Bold" w:cs="Times New Roman Bold"/>
                <w:b/>
                <w:sz w:val="20"/>
              </w:rPr>
              <w:t>ervice</w:t>
            </w:r>
            <w:r w:rsidRPr="006E604A">
              <w:rPr>
                <w:rFonts w:ascii="Times New Roman Bold" w:eastAsia="SimSun" w:hAnsi="Times New Roman Bold" w:cs="Times New Roman Bold"/>
                <w:b/>
                <w:sz w:val="20"/>
              </w:rPr>
              <w:t xml:space="preserve"> capability requirements</w:t>
            </w:r>
          </w:p>
        </w:tc>
        <w:tc>
          <w:tcPr>
            <w:tcW w:w="3827"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b/>
                <w:sz w:val="20"/>
              </w:rPr>
            </w:pPr>
            <w:r w:rsidRPr="006E604A">
              <w:rPr>
                <w:rFonts w:ascii="Times New Roman Bold" w:eastAsia="SimSun" w:hAnsi="Times New Roman Bold" w:cs="Times New Roman Bold"/>
                <w:b/>
                <w:sz w:val="20"/>
              </w:rPr>
              <w:t>Evaluator’s comments</w:t>
            </w:r>
          </w:p>
        </w:tc>
      </w:tr>
      <w:tr w:rsidR="006E604A" w:rsidRPr="006E604A" w:rsidTr="006E604A">
        <w:tc>
          <w:tcPr>
            <w:tcW w:w="1199"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b/>
                <w:bCs/>
                <w:sz w:val="20"/>
              </w:rPr>
            </w:pPr>
            <w:r w:rsidRPr="006E604A">
              <w:rPr>
                <w:rFonts w:eastAsia="MS Mincho"/>
                <w:b/>
                <w:bCs/>
                <w:sz w:val="20"/>
              </w:rPr>
              <w:t>5</w:t>
            </w:r>
            <w:r w:rsidRPr="006E604A">
              <w:rPr>
                <w:rFonts w:eastAsia="SimSun"/>
                <w:b/>
                <w:bCs/>
                <w:sz w:val="20"/>
              </w:rPr>
              <w:t>.2.4.1</w:t>
            </w:r>
            <w:r w:rsidRPr="006E604A">
              <w:rPr>
                <w:rFonts w:eastAsia="MS Mincho"/>
                <w:b/>
                <w:bCs/>
                <w:sz w:val="20"/>
              </w:rPr>
              <w:t>.1</w:t>
            </w:r>
          </w:p>
        </w:tc>
        <w:tc>
          <w:tcPr>
            <w:tcW w:w="5430"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b/>
                <w:bCs/>
                <w:sz w:val="20"/>
              </w:rPr>
            </w:pPr>
            <w:r w:rsidRPr="006E604A">
              <w:rPr>
                <w:rFonts w:eastAsia="MS Mincho"/>
                <w:b/>
                <w:bCs/>
                <w:sz w:val="20"/>
              </w:rPr>
              <w:t>Support for wide range of services</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rPr>
            </w:pPr>
            <w:r w:rsidRPr="006E604A">
              <w:rPr>
                <w:rFonts w:eastAsia="MS Mincho"/>
                <w:sz w:val="20"/>
              </w:rPr>
              <w:t xml:space="preserve">Is the proposal able to support a range of services across </w:t>
            </w:r>
            <w:r w:rsidRPr="006E604A">
              <w:rPr>
                <w:rFonts w:eastAsia="Malgun Gothic"/>
                <w:sz w:val="20"/>
              </w:rPr>
              <w:t>different</w:t>
            </w:r>
            <w:r w:rsidRPr="006E604A">
              <w:rPr>
                <w:rFonts w:eastAsia="MS Mincho"/>
                <w:sz w:val="20"/>
              </w:rPr>
              <w:t xml:space="preserve"> usage scenarios (</w:t>
            </w:r>
            <w:proofErr w:type="spellStart"/>
            <w:r w:rsidRPr="006E604A">
              <w:rPr>
                <w:rFonts w:eastAsia="MS Mincho"/>
                <w:sz w:val="20"/>
              </w:rPr>
              <w:t>eMBB</w:t>
            </w:r>
            <w:proofErr w:type="spellEnd"/>
            <w:r w:rsidRPr="006E604A">
              <w:rPr>
                <w:rFonts w:eastAsia="MS Mincho"/>
                <w:sz w:val="20"/>
              </w:rPr>
              <w:t xml:space="preserve">, URLLC, and </w:t>
            </w:r>
            <w:proofErr w:type="spellStart"/>
            <w:r w:rsidRPr="006E604A">
              <w:rPr>
                <w:rFonts w:eastAsia="MS Mincho"/>
                <w:sz w:val="20"/>
              </w:rPr>
              <w:t>mMTC</w:t>
            </w:r>
            <w:proofErr w:type="spellEnd"/>
            <w:proofErr w:type="gramStart"/>
            <w:r w:rsidRPr="006E604A">
              <w:rPr>
                <w:rFonts w:eastAsia="MS Mincho"/>
                <w:sz w:val="20"/>
              </w:rPr>
              <w:t>)</w:t>
            </w:r>
            <w:r w:rsidRPr="006E604A">
              <w:rPr>
                <w:rFonts w:eastAsia="SimSun"/>
                <w:sz w:val="20"/>
              </w:rPr>
              <w:t>?:</w:t>
            </w:r>
            <w:proofErr w:type="gramEnd"/>
            <w:r w:rsidRPr="006E604A">
              <w:rPr>
                <w:rFonts w:eastAsia="SimSun"/>
                <w:sz w:val="20"/>
              </w:rPr>
              <w:t xml:space="preserve"> </w:t>
            </w:r>
            <w:r w:rsidRPr="006E604A">
              <w:rPr>
                <w:rFonts w:eastAsia="SimSun"/>
                <w:sz w:val="20"/>
              </w:rPr>
              <w:tab/>
            </w:r>
            <w:r w:rsidRPr="006E604A">
              <w:rPr>
                <w:rFonts w:eastAsia="SimSun"/>
                <w:sz w:val="20"/>
              </w:rPr>
              <w:sym w:font="Times New Roman" w:char="F072"/>
            </w:r>
            <w:r w:rsidRPr="006E604A">
              <w:rPr>
                <w:rFonts w:eastAsia="SimSun"/>
                <w:sz w:val="20"/>
              </w:rPr>
              <w:t xml:space="preserve">YES / </w:t>
            </w:r>
            <w:r w:rsidRPr="006E604A">
              <w:rPr>
                <w:rFonts w:eastAsia="SimSun"/>
                <w:sz w:val="20"/>
              </w:rPr>
              <w:sym w:font="Times New Roman" w:char="F072"/>
            </w:r>
            <w:r w:rsidRPr="006E604A">
              <w:rPr>
                <w:rFonts w:eastAsia="SimSun"/>
                <w:sz w:val="20"/>
              </w:rPr>
              <w:t>NO</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algun Gothic"/>
                <w:sz w:val="20"/>
              </w:rPr>
            </w:pPr>
            <w:r w:rsidRPr="006E604A">
              <w:rPr>
                <w:rFonts w:eastAsia="MS Mincho"/>
                <w:sz w:val="20"/>
              </w:rPr>
              <w:t>Specify which usage scenarios (</w:t>
            </w:r>
            <w:proofErr w:type="spellStart"/>
            <w:r w:rsidRPr="006E604A">
              <w:rPr>
                <w:rFonts w:eastAsia="MS Mincho"/>
                <w:sz w:val="20"/>
              </w:rPr>
              <w:t>eMBB</w:t>
            </w:r>
            <w:proofErr w:type="spellEnd"/>
            <w:r w:rsidRPr="006E604A">
              <w:rPr>
                <w:rFonts w:eastAsia="MS Mincho"/>
                <w:sz w:val="20"/>
              </w:rPr>
              <w:t xml:space="preserve">, URLLC, and </w:t>
            </w:r>
            <w:proofErr w:type="spellStart"/>
            <w:r w:rsidRPr="006E604A">
              <w:rPr>
                <w:rFonts w:eastAsia="MS Mincho"/>
                <w:sz w:val="20"/>
              </w:rPr>
              <w:t>mMTC</w:t>
            </w:r>
            <w:proofErr w:type="spellEnd"/>
            <w:r w:rsidRPr="006E604A">
              <w:rPr>
                <w:rFonts w:eastAsia="MS Mincho"/>
                <w:sz w:val="20"/>
              </w:rPr>
              <w:t xml:space="preserve">) the </w:t>
            </w:r>
            <w:r w:rsidRPr="006E604A">
              <w:rPr>
                <w:rFonts w:eastAsia="SimSun"/>
                <w:sz w:val="20"/>
              </w:rPr>
              <w:t xml:space="preserve">candidate RIT or candidate SRIT can </w:t>
            </w:r>
            <w:r w:rsidRPr="006E604A">
              <w:rPr>
                <w:rFonts w:eastAsia="MS Mincho"/>
                <w:sz w:val="20"/>
              </w:rPr>
              <w:t>support.</w:t>
            </w:r>
            <w:r w:rsidRPr="006E604A">
              <w:rPr>
                <w:rFonts w:eastAsia="MS Mincho"/>
                <w:sz w:val="20"/>
                <w:vertAlign w:val="superscript"/>
                <w:lang w:eastAsia="ko-KR"/>
              </w:rPr>
              <w:t xml:space="preserve"> (1)</w:t>
            </w:r>
          </w:p>
        </w:tc>
        <w:tc>
          <w:tcPr>
            <w:tcW w:w="3827" w:type="dxa"/>
            <w:tcBorders>
              <w:top w:val="single" w:sz="4" w:space="0" w:color="auto"/>
              <w:left w:val="single" w:sz="4" w:space="0" w:color="auto"/>
              <w:bottom w:val="single" w:sz="4" w:space="0" w:color="auto"/>
              <w:right w:val="single" w:sz="4" w:space="0" w:color="auto"/>
            </w:tcBorders>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rPr>
            </w:pPr>
          </w:p>
        </w:tc>
      </w:tr>
      <w:tr w:rsidR="006E604A" w:rsidRPr="006E604A" w:rsidTr="006E604A">
        <w:tc>
          <w:tcPr>
            <w:tcW w:w="10456" w:type="dxa"/>
            <w:gridSpan w:val="3"/>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tabs>
                <w:tab w:val="left" w:pos="284"/>
                <w:tab w:val="left" w:pos="1134"/>
                <w:tab w:val="left" w:pos="1871"/>
                <w:tab w:val="left" w:pos="2268"/>
              </w:tabs>
              <w:overflowPunct w:val="0"/>
              <w:autoSpaceDE w:val="0"/>
              <w:autoSpaceDN w:val="0"/>
              <w:adjustRightInd w:val="0"/>
              <w:spacing w:before="40" w:after="40"/>
              <w:textAlignment w:val="baseline"/>
              <w:rPr>
                <w:rFonts w:eastAsia="MS Mincho"/>
                <w:iCs/>
                <w:sz w:val="18"/>
              </w:rPr>
            </w:pPr>
            <w:r w:rsidRPr="006E604A">
              <w:rPr>
                <w:rFonts w:eastAsia="MS Mincho"/>
                <w:sz w:val="18"/>
                <w:vertAlign w:val="superscript"/>
                <w:lang w:eastAsia="ko-KR"/>
              </w:rPr>
              <w:t>(1)</w:t>
            </w:r>
            <w:r w:rsidRPr="006E604A">
              <w:rPr>
                <w:rFonts w:eastAsia="MS Mincho"/>
                <w:sz w:val="18"/>
                <w:vertAlign w:val="superscript"/>
                <w:lang w:eastAsia="ko-KR"/>
              </w:rPr>
              <w:tab/>
            </w:r>
            <w:r w:rsidRPr="006E604A">
              <w:rPr>
                <w:rFonts w:eastAsia="MS Mincho"/>
                <w:sz w:val="18"/>
              </w:rPr>
              <w:t>Refer to the process requirements in IMT-2020/2.</w:t>
            </w:r>
          </w:p>
        </w:tc>
      </w:tr>
    </w:tbl>
    <w:p w:rsidR="006E604A" w:rsidRPr="006E604A" w:rsidRDefault="006E604A" w:rsidP="006E604A">
      <w:pPr>
        <w:spacing w:after="160" w:line="256" w:lineRule="auto"/>
        <w:rPr>
          <w:rFonts w:ascii="Calibri" w:eastAsia="Calibri" w:hAnsi="Calibri"/>
          <w:szCs w:val="22"/>
          <w:lang w:val="en-US"/>
        </w:rPr>
      </w:pPr>
    </w:p>
    <w:p w:rsidR="006E604A" w:rsidRPr="006E604A" w:rsidRDefault="006E604A" w:rsidP="006E604A">
      <w:pPr>
        <w:spacing w:after="160" w:line="256" w:lineRule="auto"/>
        <w:rPr>
          <w:rFonts w:ascii="Calibri" w:eastAsia="Calibri" w:hAnsi="Calibri"/>
          <w:szCs w:val="22"/>
          <w:lang w:val="en-US"/>
        </w:rPr>
      </w:pPr>
      <w:r w:rsidRPr="006E604A">
        <w:rPr>
          <w:rFonts w:ascii="Calibri" w:eastAsia="Calibri" w:hAnsi="Calibri"/>
          <w:szCs w:val="22"/>
          <w:lang w:val="en-US"/>
        </w:rPr>
        <w:br w:type="page"/>
      </w:r>
    </w:p>
    <w:p w:rsidR="006E604A" w:rsidRPr="006E604A" w:rsidRDefault="006E604A" w:rsidP="006E604A">
      <w:pPr>
        <w:keepNext/>
        <w:keepLines/>
        <w:spacing w:before="240" w:line="256" w:lineRule="auto"/>
        <w:outlineLvl w:val="0"/>
        <w:rPr>
          <w:rFonts w:ascii="Calibri Light" w:hAnsi="Calibri Light"/>
          <w:b/>
          <w:color w:val="2F5496"/>
          <w:sz w:val="32"/>
          <w:szCs w:val="32"/>
        </w:rPr>
      </w:pPr>
      <w:bookmarkStart w:id="4" w:name="_Toc498634394"/>
      <w:bookmarkStart w:id="5" w:name="_Toc498640822"/>
      <w:r w:rsidRPr="006E604A">
        <w:rPr>
          <w:rFonts w:ascii="Calibri Light" w:hAnsi="Calibri Light"/>
          <w:b/>
          <w:color w:val="2F5496"/>
          <w:sz w:val="32"/>
          <w:szCs w:val="32"/>
        </w:rPr>
        <w:lastRenderedPageBreak/>
        <w:t>5.2.4.2 Compliance template for spectrum</w:t>
      </w:r>
      <w:r w:rsidRPr="006E604A">
        <w:rPr>
          <w:rFonts w:ascii="Calibri Light" w:hAnsi="Calibri Light"/>
          <w:b/>
          <w:color w:val="2F5496"/>
          <w:sz w:val="32"/>
          <w:szCs w:val="32"/>
          <w:vertAlign w:val="superscript"/>
        </w:rPr>
        <w:t>3</w:t>
      </w:r>
      <w:bookmarkEnd w:id="4"/>
      <w:bookmarkEnd w:id="5"/>
    </w:p>
    <w:p w:rsidR="006E604A" w:rsidRPr="006E604A" w:rsidRDefault="006E604A" w:rsidP="006E604A">
      <w:pPr>
        <w:spacing w:after="160" w:line="256" w:lineRule="auto"/>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7862"/>
      </w:tblGrid>
      <w:tr w:rsidR="006E604A" w:rsidRPr="006E604A" w:rsidTr="006E604A">
        <w:tc>
          <w:tcPr>
            <w:tcW w:w="1511" w:type="dxa"/>
            <w:tcBorders>
              <w:top w:val="single" w:sz="4" w:space="0" w:color="auto"/>
              <w:left w:val="single" w:sz="4" w:space="0" w:color="auto"/>
              <w:bottom w:val="single" w:sz="4" w:space="0" w:color="auto"/>
              <w:right w:val="single" w:sz="4" w:space="0" w:color="auto"/>
            </w:tcBorders>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b/>
                <w:sz w:val="20"/>
              </w:rPr>
            </w:pPr>
          </w:p>
        </w:tc>
        <w:tc>
          <w:tcPr>
            <w:tcW w:w="8118"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SimSun" w:hAnsi="Times New Roman Bold" w:cs="Times New Roman Bold"/>
                <w:b/>
                <w:sz w:val="20"/>
              </w:rPr>
            </w:pPr>
            <w:r w:rsidRPr="006E604A">
              <w:rPr>
                <w:rFonts w:ascii="Times New Roman Bold" w:eastAsia="SimSun" w:hAnsi="Times New Roman Bold" w:cs="Times New Roman Bold"/>
                <w:b/>
                <w:sz w:val="20"/>
              </w:rPr>
              <w:t>Spectrum capability requirements</w:t>
            </w:r>
          </w:p>
        </w:tc>
      </w:tr>
      <w:tr w:rsidR="006E604A" w:rsidRPr="006E604A" w:rsidTr="006E604A">
        <w:tc>
          <w:tcPr>
            <w:tcW w:w="1511"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b/>
                <w:sz w:val="20"/>
              </w:rPr>
            </w:pPr>
            <w:r w:rsidRPr="006E604A">
              <w:rPr>
                <w:rFonts w:eastAsia="MS Mincho"/>
                <w:b/>
                <w:sz w:val="20"/>
              </w:rPr>
              <w:t>5</w:t>
            </w:r>
            <w:r w:rsidRPr="006E604A">
              <w:rPr>
                <w:rFonts w:eastAsia="SimSun"/>
                <w:b/>
                <w:sz w:val="20"/>
              </w:rPr>
              <w:t>.2.4.2.1</w:t>
            </w:r>
          </w:p>
        </w:tc>
        <w:tc>
          <w:tcPr>
            <w:tcW w:w="8118"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b/>
                <w:sz w:val="20"/>
              </w:rPr>
            </w:pPr>
            <w:r w:rsidRPr="006E604A">
              <w:rPr>
                <w:rFonts w:eastAsia="SimSun"/>
                <w:b/>
                <w:sz w:val="20"/>
              </w:rPr>
              <w:t>Frequency bands</w:t>
            </w:r>
            <w:r w:rsidRPr="006E604A">
              <w:rPr>
                <w:rFonts w:eastAsia="MS Mincho"/>
                <w:b/>
                <w:sz w:val="20"/>
              </w:rPr>
              <w:t xml:space="preserve"> identified for IMT</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rPr>
            </w:pPr>
            <w:r w:rsidRPr="006E604A">
              <w:rPr>
                <w:rFonts w:eastAsia="SimSun"/>
                <w:sz w:val="20"/>
              </w:rPr>
              <w:t>Is the proposal able to utilize at least one</w:t>
            </w:r>
            <w:r w:rsidRPr="006E604A">
              <w:rPr>
                <w:rFonts w:eastAsia="MS Mincho"/>
                <w:sz w:val="20"/>
              </w:rPr>
              <w:t xml:space="preserve"> frequency</w:t>
            </w:r>
            <w:r w:rsidRPr="006E604A">
              <w:rPr>
                <w:rFonts w:eastAsia="SimSun"/>
                <w:sz w:val="20"/>
              </w:rPr>
              <w:t xml:space="preserve"> band identified for IMT</w:t>
            </w:r>
            <w:r w:rsidRPr="006E604A">
              <w:rPr>
                <w:rFonts w:eastAsia="MS Mincho"/>
                <w:sz w:val="20"/>
              </w:rPr>
              <w:t xml:space="preserve"> in the ITU Radio </w:t>
            </w:r>
            <w:proofErr w:type="gramStart"/>
            <w:r w:rsidRPr="006E604A">
              <w:rPr>
                <w:rFonts w:eastAsia="MS Mincho"/>
                <w:sz w:val="20"/>
              </w:rPr>
              <w:t>Regulations</w:t>
            </w:r>
            <w:r w:rsidRPr="006E604A">
              <w:rPr>
                <w:rFonts w:eastAsia="SimSun"/>
                <w:sz w:val="20"/>
              </w:rPr>
              <w:t>?:</w:t>
            </w:r>
            <w:proofErr w:type="gramEnd"/>
            <w:r w:rsidRPr="006E604A">
              <w:rPr>
                <w:rFonts w:eastAsia="SimSun"/>
                <w:sz w:val="20"/>
              </w:rPr>
              <w:t xml:space="preserve"> </w:t>
            </w:r>
            <w:r w:rsidRPr="006E604A">
              <w:rPr>
                <w:rFonts w:eastAsia="SimSun"/>
                <w:sz w:val="20"/>
              </w:rPr>
              <w:tab/>
            </w:r>
            <w:r w:rsidRPr="006E604A">
              <w:rPr>
                <w:rFonts w:eastAsia="SimSun"/>
                <w:sz w:val="20"/>
              </w:rPr>
              <w:sym w:font="Times New Roman" w:char="F072"/>
            </w:r>
            <w:r w:rsidRPr="006E604A">
              <w:rPr>
                <w:rFonts w:eastAsia="SimSun"/>
                <w:sz w:val="20"/>
              </w:rPr>
              <w:t xml:space="preserve"> YES / </w:t>
            </w:r>
            <w:r w:rsidRPr="006E604A">
              <w:rPr>
                <w:rFonts w:eastAsia="SimSun"/>
                <w:sz w:val="20"/>
              </w:rPr>
              <w:sym w:font="Times New Roman" w:char="F072"/>
            </w:r>
            <w:r w:rsidRPr="006E604A">
              <w:rPr>
                <w:rFonts w:eastAsia="SimSun"/>
                <w:sz w:val="20"/>
              </w:rPr>
              <w:t xml:space="preserve"> NO</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rPr>
            </w:pPr>
            <w:r w:rsidRPr="006E604A">
              <w:rPr>
                <w:rFonts w:eastAsia="SimSun"/>
                <w:sz w:val="20"/>
              </w:rPr>
              <w:t>Specify in which band(s) the candidate RIT or candidate SRIT can be deployed.</w:t>
            </w:r>
          </w:p>
        </w:tc>
      </w:tr>
      <w:tr w:rsidR="006E604A" w:rsidRPr="006E604A" w:rsidTr="006E604A">
        <w:tc>
          <w:tcPr>
            <w:tcW w:w="1511"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b/>
                <w:sz w:val="20"/>
                <w:highlight w:val="yellow"/>
              </w:rPr>
            </w:pPr>
            <w:r w:rsidRPr="006E604A">
              <w:rPr>
                <w:rFonts w:eastAsia="Malgun Gothic"/>
                <w:b/>
                <w:sz w:val="20"/>
              </w:rPr>
              <w:t>5</w:t>
            </w:r>
            <w:r w:rsidRPr="006E604A">
              <w:rPr>
                <w:rFonts w:eastAsia="SimSun"/>
                <w:b/>
                <w:sz w:val="20"/>
              </w:rPr>
              <w:t>.2.4.2.2</w:t>
            </w:r>
          </w:p>
        </w:tc>
        <w:tc>
          <w:tcPr>
            <w:tcW w:w="8118" w:type="dxa"/>
            <w:tcBorders>
              <w:top w:val="single" w:sz="4" w:space="0" w:color="auto"/>
              <w:left w:val="single" w:sz="4" w:space="0" w:color="auto"/>
              <w:bottom w:val="single" w:sz="4" w:space="0" w:color="auto"/>
              <w:right w:val="single" w:sz="4" w:space="0" w:color="auto"/>
            </w:tcBorders>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algun Gothic"/>
                <w:b/>
                <w:sz w:val="20"/>
              </w:rPr>
            </w:pPr>
            <w:r w:rsidRPr="006E604A">
              <w:rPr>
                <w:rFonts w:eastAsia="SimSun"/>
                <w:b/>
                <w:sz w:val="20"/>
              </w:rPr>
              <w:t>Higher Frequency range/band(s)</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rPr>
            </w:pPr>
            <w:r w:rsidRPr="006E604A">
              <w:rPr>
                <w:rFonts w:eastAsia="SimSun"/>
                <w:sz w:val="20"/>
              </w:rPr>
              <w:t>Is the proposal able to utilize</w:t>
            </w:r>
            <w:r w:rsidRPr="006E604A">
              <w:rPr>
                <w:rFonts w:eastAsia="Malgun Gothic"/>
                <w:sz w:val="20"/>
              </w:rPr>
              <w:t xml:space="preserve"> the higher frequency range/band(s) </w:t>
            </w:r>
            <w:r w:rsidRPr="006E604A">
              <w:rPr>
                <w:rFonts w:eastAsia="MS Mincho"/>
                <w:sz w:val="20"/>
              </w:rPr>
              <w:t xml:space="preserve">above </w:t>
            </w:r>
            <w:r w:rsidRPr="006E604A">
              <w:rPr>
                <w:rFonts w:eastAsia="Malgun Gothic"/>
                <w:sz w:val="20"/>
              </w:rPr>
              <w:t xml:space="preserve">24.25 </w:t>
            </w:r>
            <w:proofErr w:type="gramStart"/>
            <w:r w:rsidRPr="006E604A">
              <w:rPr>
                <w:rFonts w:eastAsia="Malgun Gothic"/>
                <w:sz w:val="20"/>
              </w:rPr>
              <w:t>GHz</w:t>
            </w:r>
            <w:r w:rsidRPr="006E604A">
              <w:rPr>
                <w:rFonts w:eastAsia="SimSun"/>
                <w:sz w:val="20"/>
              </w:rPr>
              <w:t>?:</w:t>
            </w:r>
            <w:proofErr w:type="gramEnd"/>
            <w:r w:rsidRPr="006E604A">
              <w:rPr>
                <w:rFonts w:eastAsia="SimSun"/>
                <w:sz w:val="20"/>
              </w:rPr>
              <w:t xml:space="preserve"> </w:t>
            </w:r>
            <w:r w:rsidRPr="006E604A">
              <w:rPr>
                <w:rFonts w:eastAsia="SimSun"/>
                <w:sz w:val="20"/>
              </w:rPr>
              <w:tab/>
            </w:r>
            <w:r w:rsidRPr="006E604A">
              <w:rPr>
                <w:rFonts w:eastAsia="SimSun"/>
                <w:sz w:val="20"/>
              </w:rPr>
              <w:br/>
            </w:r>
            <w:r w:rsidRPr="006E604A">
              <w:rPr>
                <w:rFonts w:eastAsia="SimSun"/>
                <w:sz w:val="20"/>
              </w:rPr>
              <w:tab/>
            </w:r>
            <w:r w:rsidRPr="006E604A">
              <w:rPr>
                <w:rFonts w:eastAsia="SimSun"/>
                <w:sz w:val="20"/>
              </w:rPr>
              <w:sym w:font="Times New Roman" w:char="F072"/>
            </w:r>
            <w:r w:rsidRPr="006E604A">
              <w:rPr>
                <w:rFonts w:eastAsia="SimSun"/>
                <w:sz w:val="20"/>
              </w:rPr>
              <w:t xml:space="preserve">YES / </w:t>
            </w:r>
            <w:r w:rsidRPr="006E604A">
              <w:rPr>
                <w:rFonts w:eastAsia="SimSun"/>
                <w:sz w:val="20"/>
              </w:rPr>
              <w:tab/>
            </w:r>
            <w:r w:rsidRPr="006E604A">
              <w:rPr>
                <w:rFonts w:eastAsia="SimSun"/>
                <w:sz w:val="20"/>
              </w:rPr>
              <w:sym w:font="Times New Roman" w:char="F072"/>
            </w:r>
            <w:r w:rsidRPr="006E604A">
              <w:rPr>
                <w:rFonts w:eastAsia="SimSun"/>
                <w:sz w:val="20"/>
              </w:rPr>
              <w:t xml:space="preserve"> NO</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SimSun"/>
                <w:sz w:val="20"/>
              </w:rPr>
            </w:pPr>
            <w:r w:rsidRPr="006E604A">
              <w:rPr>
                <w:rFonts w:eastAsia="SimSun"/>
                <w:sz w:val="20"/>
              </w:rPr>
              <w:t>Specify in which band(s) the candidate RIT or candidate SRIT can be deployed.</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0"/>
              </w:rPr>
            </w:pPr>
            <w:r w:rsidRPr="006E604A">
              <w:rPr>
                <w:rFonts w:eastAsia="Malgun Gothic"/>
                <w:sz w:val="20"/>
                <w:lang w:eastAsia="ko-KR"/>
              </w:rPr>
              <w:t>NOTE 1: In the case of the candidate SRIT, at least one of the component RITs need to fulfil this requirement.</w:t>
            </w:r>
          </w:p>
        </w:tc>
      </w:tr>
    </w:tbl>
    <w:p w:rsidR="006E604A" w:rsidRPr="006E604A" w:rsidRDefault="006E604A" w:rsidP="006E604A">
      <w:pPr>
        <w:spacing w:after="160" w:line="256" w:lineRule="auto"/>
        <w:rPr>
          <w:rFonts w:ascii="Calibri" w:eastAsia="Calibri" w:hAnsi="Calibri"/>
          <w:szCs w:val="22"/>
          <w:lang w:val="en-US"/>
        </w:rPr>
      </w:pPr>
    </w:p>
    <w:p w:rsidR="006E604A" w:rsidRPr="006E604A" w:rsidRDefault="006E604A" w:rsidP="006E604A">
      <w:pPr>
        <w:spacing w:after="160" w:line="256" w:lineRule="auto"/>
        <w:rPr>
          <w:rFonts w:ascii="Calibri" w:eastAsia="Calibri" w:hAnsi="Calibri"/>
          <w:szCs w:val="22"/>
          <w:lang w:val="en-US"/>
        </w:rPr>
      </w:pPr>
      <w:r w:rsidRPr="006E604A">
        <w:rPr>
          <w:rFonts w:ascii="Calibri" w:eastAsia="Calibri" w:hAnsi="Calibri"/>
          <w:szCs w:val="22"/>
          <w:lang w:val="en-US"/>
        </w:rPr>
        <w:br w:type="page"/>
      </w:r>
    </w:p>
    <w:p w:rsidR="006E604A" w:rsidRPr="006E604A" w:rsidRDefault="006E604A" w:rsidP="006E604A">
      <w:pPr>
        <w:keepNext/>
        <w:keepLines/>
        <w:spacing w:before="240" w:line="256" w:lineRule="auto"/>
        <w:outlineLvl w:val="0"/>
        <w:rPr>
          <w:rFonts w:ascii="Calibri Light" w:hAnsi="Calibri Light"/>
          <w:b/>
          <w:color w:val="2F5496"/>
          <w:sz w:val="32"/>
          <w:szCs w:val="32"/>
        </w:rPr>
      </w:pPr>
      <w:bookmarkStart w:id="6" w:name="_Toc498634395"/>
      <w:bookmarkStart w:id="7" w:name="_Toc498640823"/>
      <w:r w:rsidRPr="006E604A">
        <w:rPr>
          <w:rFonts w:ascii="Calibri Light" w:hAnsi="Calibri Light"/>
          <w:b/>
          <w:color w:val="2F5496"/>
          <w:sz w:val="32"/>
          <w:szCs w:val="32"/>
        </w:rPr>
        <w:lastRenderedPageBreak/>
        <w:t>5.2.4.3 Compliance template for technical performance</w:t>
      </w:r>
      <w:r w:rsidRPr="006E604A">
        <w:rPr>
          <w:rFonts w:ascii="Calibri Light" w:hAnsi="Calibri Light"/>
          <w:b/>
          <w:color w:val="2F5496"/>
          <w:sz w:val="32"/>
          <w:szCs w:val="32"/>
          <w:vertAlign w:val="superscript"/>
        </w:rPr>
        <w:t>3</w:t>
      </w:r>
      <w:bookmarkEnd w:id="6"/>
      <w:bookmarkEnd w:id="7"/>
    </w:p>
    <w:p w:rsidR="006E604A" w:rsidRPr="006E604A" w:rsidRDefault="006E604A" w:rsidP="006E604A">
      <w:pPr>
        <w:spacing w:after="160" w:line="256" w:lineRule="auto"/>
        <w:rPr>
          <w:rFonts w:ascii="Calibri" w:eastAsia="Calibri" w:hAnsi="Calibri"/>
          <w:szCs w:val="22"/>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2"/>
        <w:gridCol w:w="1134"/>
        <w:gridCol w:w="1561"/>
        <w:gridCol w:w="1420"/>
        <w:gridCol w:w="1413"/>
        <w:gridCol w:w="1139"/>
        <w:gridCol w:w="1276"/>
        <w:gridCol w:w="850"/>
      </w:tblGrid>
      <w:tr w:rsidR="006E604A" w:rsidRPr="006E604A" w:rsidTr="006E604A">
        <w:trPr>
          <w:cantSplit/>
          <w:tblHeader/>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bookmarkStart w:id="8" w:name="_Hlk498633260"/>
            <w:r w:rsidRPr="006E604A">
              <w:rPr>
                <w:rFonts w:ascii="Times New Roman Bold" w:eastAsia="MS Mincho" w:hAnsi="Times New Roman Bold" w:cs="Times New Roman Bold"/>
                <w:b/>
                <w:sz w:val="20"/>
              </w:rPr>
              <w:t>Minimum technical performance requirements item (5.2.4.3.x), units, and Report</w:t>
            </w:r>
            <w:r w:rsidRPr="006E604A">
              <w:rPr>
                <w:rFonts w:ascii="Times New Roman Bold" w:eastAsia="MS Mincho" w:hAnsi="Times New Roman Bold" w:cs="Times New Roman Bold"/>
                <w:b/>
                <w:sz w:val="20"/>
              </w:rPr>
              <w:br/>
              <w:t xml:space="preserve">ITU-R </w:t>
            </w:r>
            <w:proofErr w:type="gramStart"/>
            <w:r w:rsidRPr="006E604A">
              <w:rPr>
                <w:rFonts w:ascii="Times New Roman Bold" w:eastAsia="MS Mincho" w:hAnsi="Times New Roman Bold" w:cs="Times New Roman Bold"/>
                <w:b/>
                <w:sz w:val="20"/>
              </w:rPr>
              <w:t>M.[</w:t>
            </w:r>
            <w:proofErr w:type="gramEnd"/>
            <w:r w:rsidRPr="006E604A">
              <w:rPr>
                <w:rFonts w:ascii="Times New Roman Bold" w:eastAsia="MS Mincho" w:hAnsi="Times New Roman Bold" w:cs="Times New Roman Bold"/>
                <w:b/>
                <w:sz w:val="20"/>
              </w:rPr>
              <w:t>IMT-2020.TECH PERF REQ] section reference</w:t>
            </w:r>
            <w:r w:rsidRPr="006E604A">
              <w:rPr>
                <w:rFonts w:ascii="Times New Roman Bold" w:eastAsia="MS Mincho" w:hAnsi="Times New Roman Bold" w:cs="Times New Roman Bold"/>
                <w:b/>
                <w:sz w:val="20"/>
                <w:vertAlign w:val="superscript"/>
              </w:rPr>
              <w:t>(1)</w:t>
            </w:r>
          </w:p>
        </w:tc>
        <w:tc>
          <w:tcPr>
            <w:tcW w:w="41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6E604A">
              <w:rPr>
                <w:rFonts w:ascii="Times New Roman Bold" w:eastAsia="MS Mincho" w:hAnsi="Times New Roman Bold" w:cs="Times New Roman Bold"/>
                <w:b/>
                <w:sz w:val="20"/>
              </w:rPr>
              <w:t>Category</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6E604A">
              <w:rPr>
                <w:rFonts w:ascii="Times New Roman Bold" w:eastAsia="MS Mincho" w:hAnsi="Times New Roman Bold" w:cs="Times New Roman Bold"/>
                <w:b/>
                <w:sz w:val="20"/>
              </w:rPr>
              <w:t>Required value</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proofErr w:type="gramStart"/>
            <w:r w:rsidRPr="006E604A">
              <w:rPr>
                <w:rFonts w:ascii="Times New Roman Bold" w:eastAsia="MS Mincho" w:hAnsi="Times New Roman Bold" w:cs="Times New Roman Bold"/>
                <w:b/>
                <w:sz w:val="20"/>
              </w:rPr>
              <w:t>Value</w:t>
            </w:r>
            <w:r w:rsidRPr="006E604A">
              <w:rPr>
                <w:rFonts w:ascii="Times New Roman Bold" w:eastAsia="MS Mincho" w:hAnsi="Times New Roman Bold" w:cs="Times New Roman Bold"/>
                <w:b/>
                <w:sz w:val="20"/>
                <w:vertAlign w:val="superscript"/>
              </w:rPr>
              <w:t>(</w:t>
            </w:r>
            <w:proofErr w:type="gramEnd"/>
            <w:r w:rsidRPr="006E604A">
              <w:rPr>
                <w:rFonts w:ascii="Times New Roman Bold" w:eastAsia="MS Mincho" w:hAnsi="Times New Roman Bold" w:cs="Times New Roman Bold"/>
                <w:b/>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6E604A">
              <w:rPr>
                <w:rFonts w:ascii="Times New Roman Bold" w:eastAsia="MS Mincho" w:hAnsi="Times New Roman Bold" w:cs="Times New Roman Bold"/>
                <w:b/>
                <w:sz w:val="20"/>
              </w:rPr>
              <w:t>Requirement met?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proofErr w:type="gramStart"/>
            <w:r w:rsidRPr="006E604A">
              <w:rPr>
                <w:rFonts w:ascii="Times New Roman Bold" w:eastAsia="MS Mincho" w:hAnsi="Times New Roman Bold" w:cs="Times New Roman Bold"/>
                <w:b/>
                <w:sz w:val="20"/>
              </w:rPr>
              <w:t>Comments</w:t>
            </w:r>
            <w:r w:rsidRPr="006E604A">
              <w:rPr>
                <w:rFonts w:ascii="Times New Roman Bold" w:eastAsia="MS Mincho" w:hAnsi="Times New Roman Bold" w:cs="Times New Roman Bold"/>
                <w:b/>
                <w:sz w:val="20"/>
                <w:vertAlign w:val="superscript"/>
              </w:rPr>
              <w:t>(</w:t>
            </w:r>
            <w:proofErr w:type="gramEnd"/>
            <w:r w:rsidRPr="006E604A">
              <w:rPr>
                <w:rFonts w:ascii="Times New Roman Bold" w:eastAsia="MS Mincho" w:hAnsi="Times New Roman Bold" w:cs="Times New Roman Bold"/>
                <w:b/>
                <w:sz w:val="20"/>
                <w:vertAlign w:val="superscript"/>
              </w:rPr>
              <w:t>3)</w:t>
            </w:r>
          </w:p>
        </w:tc>
      </w:tr>
      <w:tr w:rsidR="006E604A" w:rsidRPr="006E604A" w:rsidTr="006E604A">
        <w:trPr>
          <w:cantSplit/>
          <w:tblHeader/>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ascii="Times New Roman Bold" w:eastAsia="MS Mincho" w:hAnsi="Times New Roman Bold" w:cs="Times New Roman Bold"/>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6E604A">
              <w:rPr>
                <w:rFonts w:ascii="Times New Roman Bold" w:eastAsia="MS Mincho" w:hAnsi="Times New Roman Bold" w:cs="Times New Roman Bold"/>
                <w:b/>
                <w:sz w:val="20"/>
              </w:rPr>
              <w:t>Usage scenario</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6E604A">
              <w:rPr>
                <w:rFonts w:ascii="Times New Roman Bold" w:eastAsia="MS Mincho" w:hAnsi="Times New Roman Bold" w:cs="Times New Roman Bold"/>
                <w:b/>
                <w:sz w:val="20"/>
              </w:rPr>
              <w:t>Test environment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6E604A">
              <w:rPr>
                <w:rFonts w:ascii="Times New Roman Bold" w:eastAsia="MS Mincho" w:hAnsi="Times New Roman Bold" w:cs="Times New Roman Bold"/>
                <w:b/>
                <w:sz w:val="20"/>
              </w:rPr>
              <w:t>Downlink or uplink</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E604A" w:rsidRPr="006E604A" w:rsidRDefault="006E604A" w:rsidP="006E604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5.2.4.3.1</w:t>
            </w:r>
            <w:r w:rsidRPr="006E604A">
              <w:rPr>
                <w:rFonts w:eastAsia="MS Mincho"/>
                <w:sz w:val="20"/>
              </w:rPr>
              <w:br/>
              <w:t>Peak data rate (</w:t>
            </w:r>
            <w:proofErr w:type="spellStart"/>
            <w:r w:rsidRPr="006E604A">
              <w:rPr>
                <w:rFonts w:eastAsia="MS Mincho"/>
                <w:sz w:val="20"/>
              </w:rPr>
              <w:t>Gbit</w:t>
            </w:r>
            <w:proofErr w:type="spellEnd"/>
            <w:r w:rsidRPr="006E604A">
              <w:rPr>
                <w:rFonts w:eastAsia="MS Mincho"/>
                <w:sz w:val="20"/>
              </w:rPr>
              <w:t>/s)</w:t>
            </w:r>
            <w:r w:rsidRPr="006E604A">
              <w:rPr>
                <w:rFonts w:eastAsia="MS Mincho"/>
                <w:sz w:val="20"/>
              </w:rPr>
              <w:br/>
            </w:r>
            <w:r w:rsidRPr="006E604A">
              <w:rPr>
                <w:rFonts w:eastAsia="MS Mincho"/>
                <w:i/>
                <w:iCs/>
                <w:sz w:val="20"/>
              </w:rPr>
              <w:t>(4.1)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algun Gothic"/>
                <w:sz w:val="20"/>
              </w:rPr>
            </w:pPr>
            <w:proofErr w:type="spellStart"/>
            <w:r w:rsidRPr="006E604A">
              <w:rPr>
                <w:rFonts w:eastAsia="Malgun Gothic"/>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20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algun Gothic"/>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algun Gothic"/>
                <w:sz w:val="20"/>
              </w:rPr>
              <w:t>1</w:t>
            </w:r>
            <w:r w:rsidRPr="006E604A">
              <w:rPr>
                <w:rFonts w:eastAsia="MS Mincho"/>
                <w:sz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5.2.4.3.2</w:t>
            </w:r>
            <w:r w:rsidRPr="006E604A">
              <w:rPr>
                <w:rFonts w:eastAsia="MS Mincho"/>
                <w:sz w:val="20"/>
              </w:rPr>
              <w:br/>
              <w:t>Peak spectral efficiency (bit/s/Hz)</w:t>
            </w:r>
            <w:r w:rsidRPr="006E604A">
              <w:rPr>
                <w:rFonts w:eastAsia="MS Mincho"/>
                <w:sz w:val="20"/>
              </w:rPr>
              <w:br/>
            </w:r>
            <w:r w:rsidRPr="006E604A">
              <w:rPr>
                <w:rFonts w:eastAsia="MS Mincho"/>
                <w:i/>
                <w:iCs/>
                <w:sz w:val="20"/>
              </w:rPr>
              <w:t>(4.2)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algun Gothic"/>
                <w:sz w:val="20"/>
              </w:rPr>
            </w:pPr>
            <w:proofErr w:type="spellStart"/>
            <w:r w:rsidRPr="006E604A">
              <w:rPr>
                <w:rFonts w:eastAsia="Malgun Gothic"/>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30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algun Gothic"/>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algun Gothic"/>
                <w:sz w:val="20"/>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5.2.4.3.3</w:t>
            </w:r>
            <w:r w:rsidRPr="006E604A">
              <w:rPr>
                <w:rFonts w:eastAsia="MS Mincho"/>
                <w:sz w:val="20"/>
              </w:rPr>
              <w:br/>
              <w:t>User experienced data rate (Mbit/s)</w:t>
            </w:r>
            <w:r w:rsidRPr="006E604A">
              <w:rPr>
                <w:rFonts w:eastAsia="MS Mincho"/>
                <w:sz w:val="20"/>
              </w:rPr>
              <w:br/>
            </w:r>
            <w:r w:rsidRPr="006E604A">
              <w:rPr>
                <w:rFonts w:eastAsia="MS Mincho"/>
                <w:i/>
                <w:iCs/>
                <w:sz w:val="20"/>
              </w:rPr>
              <w:t>(4.3)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algun Gothic"/>
                <w:sz w:val="20"/>
              </w:rPr>
            </w:pPr>
            <w:proofErr w:type="spellStart"/>
            <w:r w:rsidRPr="006E604A">
              <w:rPr>
                <w:rFonts w:eastAsia="Malgun Gothic"/>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Dense Urban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100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algun Gothic"/>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50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5.2.4.3.4</w:t>
            </w:r>
            <w:r w:rsidRPr="006E604A">
              <w:rPr>
                <w:rFonts w:eastAsia="MS Mincho"/>
                <w:sz w:val="20"/>
              </w:rPr>
              <w:br/>
              <w:t>5</w:t>
            </w:r>
            <w:r w:rsidRPr="006E604A">
              <w:rPr>
                <w:rFonts w:eastAsia="MS Mincho"/>
                <w:sz w:val="20"/>
                <w:vertAlign w:val="superscript"/>
              </w:rPr>
              <w:t>th</w:t>
            </w:r>
            <w:r w:rsidRPr="006E604A">
              <w:rPr>
                <w:rFonts w:eastAsia="MS Mincho"/>
                <w:sz w:val="20"/>
              </w:rPr>
              <w:t xml:space="preserve"> percentile user spectral efficiency (bit/s/Hz)</w:t>
            </w:r>
            <w:r w:rsidRPr="006E604A">
              <w:rPr>
                <w:rFonts w:eastAsia="MS Mincho"/>
                <w:sz w:val="20"/>
              </w:rPr>
              <w:br/>
            </w:r>
            <w:r w:rsidRPr="006E604A">
              <w:rPr>
                <w:rFonts w:eastAsia="MS Mincho"/>
                <w:i/>
                <w:iCs/>
                <w:sz w:val="20"/>
              </w:rPr>
              <w:t>(4.4)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Indoor Hotspot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0.3</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0.21</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Dense Urban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0.225</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0.15</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Rural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0.12</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0.045</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5.2.4.3.5</w:t>
            </w:r>
            <w:r w:rsidRPr="006E604A">
              <w:rPr>
                <w:rFonts w:eastAsia="MS Mincho"/>
                <w:sz w:val="20"/>
              </w:rPr>
              <w:br/>
              <w:t xml:space="preserve">Average spectral efficiency (bit/s/Hz/ </w:t>
            </w:r>
            <w:proofErr w:type="spellStart"/>
            <w:r w:rsidRPr="006E604A">
              <w:rPr>
                <w:rFonts w:eastAsia="MS Mincho"/>
                <w:sz w:val="20"/>
              </w:rPr>
              <w:t>TRxP</w:t>
            </w:r>
            <w:proofErr w:type="spellEnd"/>
            <w:r w:rsidRPr="006E604A">
              <w:rPr>
                <w:rFonts w:eastAsia="MS Mincho"/>
                <w:sz w:val="20"/>
              </w:rPr>
              <w:t>)</w:t>
            </w:r>
            <w:r w:rsidRPr="006E604A">
              <w:rPr>
                <w:rFonts w:eastAsia="MS Mincho"/>
                <w:sz w:val="20"/>
              </w:rPr>
              <w:br/>
            </w:r>
            <w:r w:rsidRPr="006E604A">
              <w:rPr>
                <w:rFonts w:eastAsia="MS Mincho"/>
                <w:i/>
                <w:iCs/>
                <w:sz w:val="20"/>
              </w:rPr>
              <w:t>(4.5)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Indoor Hotspot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9 </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6.75 </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Dense Urban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7.8 </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5.4 </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Rural – </w:t>
            </w:r>
            <w:proofErr w:type="spellStart"/>
            <w:r w:rsidRPr="006E604A">
              <w:rPr>
                <w:rFonts w:eastAsia="MS Mincho"/>
                <w:sz w:val="20"/>
              </w:rPr>
              <w:t>eMBB</w:t>
            </w:r>
            <w:proofErr w:type="spellEnd"/>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3.3 </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1.6 </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5.2.4.3.6</w:t>
            </w:r>
            <w:r w:rsidRPr="006E604A">
              <w:rPr>
                <w:rFonts w:eastAsia="MS Mincho"/>
                <w:sz w:val="20"/>
              </w:rPr>
              <w:br/>
              <w:t>Area traffic capacity (Mbit/s/m</w:t>
            </w:r>
            <w:r w:rsidRPr="006E604A">
              <w:rPr>
                <w:rFonts w:eastAsia="MS Mincho"/>
                <w:sz w:val="20"/>
                <w:vertAlign w:val="superscript"/>
              </w:rPr>
              <w:t>2</w:t>
            </w:r>
            <w:r w:rsidRPr="006E604A">
              <w:rPr>
                <w:rFonts w:eastAsia="MS Mincho"/>
                <w:sz w:val="20"/>
              </w:rPr>
              <w:t>)</w:t>
            </w:r>
            <w:r w:rsidRPr="006E604A">
              <w:rPr>
                <w:rFonts w:eastAsia="MS Mincho"/>
                <w:sz w:val="20"/>
              </w:rPr>
              <w:br/>
            </w:r>
            <w:r w:rsidRPr="006E604A">
              <w:rPr>
                <w:rFonts w:eastAsia="MS Mincho"/>
                <w:i/>
                <w:iCs/>
                <w:sz w:val="20"/>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Indoor-Hotspot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10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5.2.4.3.7</w:t>
            </w:r>
            <w:r w:rsidRPr="006E604A">
              <w:rPr>
                <w:rFonts w:eastAsia="MS Mincho"/>
                <w:sz w:val="20"/>
              </w:rPr>
              <w:br/>
              <w:t>User plane latency</w:t>
            </w:r>
            <w:r w:rsidRPr="006E604A">
              <w:rPr>
                <w:rFonts w:eastAsia="MS Mincho"/>
                <w:sz w:val="20"/>
              </w:rPr>
              <w:br/>
              <w:t>(</w:t>
            </w:r>
            <w:proofErr w:type="spellStart"/>
            <w:r w:rsidRPr="006E604A">
              <w:rPr>
                <w:rFonts w:eastAsia="MS Mincho"/>
                <w:sz w:val="20"/>
              </w:rPr>
              <w:t>ms</w:t>
            </w:r>
            <w:proofErr w:type="spellEnd"/>
            <w:r w:rsidRPr="006E604A">
              <w:rPr>
                <w:rFonts w:eastAsia="MS Mincho"/>
                <w:sz w:val="20"/>
              </w:rPr>
              <w:t>)</w:t>
            </w:r>
            <w:r w:rsidRPr="006E604A">
              <w:rPr>
                <w:rFonts w:eastAsia="MS Mincho"/>
                <w:sz w:val="20"/>
              </w:rPr>
              <w:br/>
            </w:r>
            <w:r w:rsidRPr="006E604A">
              <w:rPr>
                <w:rFonts w:eastAsia="MS Mincho"/>
                <w:i/>
                <w:iCs/>
                <w:sz w:val="2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lang w:eastAsia="ko-KR"/>
              </w:rPr>
              <w:t>Uplink and 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URLLC</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lang w:eastAsia="ko-KR"/>
              </w:rPr>
              <w:t>Uplink and Downlink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5.2.4.3.8</w:t>
            </w:r>
            <w:r w:rsidRPr="006E604A">
              <w:rPr>
                <w:rFonts w:eastAsia="MS Mincho"/>
                <w:sz w:val="20"/>
              </w:rPr>
              <w:br/>
              <w:t>Control plane latency (</w:t>
            </w:r>
            <w:proofErr w:type="spellStart"/>
            <w:r w:rsidRPr="006E604A">
              <w:rPr>
                <w:rFonts w:eastAsia="MS Mincho"/>
                <w:sz w:val="20"/>
              </w:rPr>
              <w:t>ms</w:t>
            </w:r>
            <w:proofErr w:type="spellEnd"/>
            <w:r w:rsidRPr="006E604A">
              <w:rPr>
                <w:rFonts w:eastAsia="MS Mincho"/>
                <w:sz w:val="20"/>
              </w:rPr>
              <w:t>)</w:t>
            </w:r>
            <w:r w:rsidRPr="006E604A">
              <w:rPr>
                <w:rFonts w:eastAsia="MS Mincho"/>
                <w:sz w:val="20"/>
              </w:rPr>
              <w:br/>
            </w:r>
            <w:r w:rsidRPr="006E604A">
              <w:rPr>
                <w:rFonts w:eastAsia="MS Mincho"/>
                <w:i/>
                <w:iCs/>
                <w:sz w:val="20"/>
              </w:rPr>
              <w:t>(4.7.2)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r w:rsidRPr="006E604A">
              <w:rPr>
                <w:rFonts w:eastAsia="MS Mincho"/>
                <w:sz w:val="20"/>
                <w:lang w:eastAsia="ko-KR"/>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20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URLLC</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20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5.2.4.3.9</w:t>
            </w:r>
            <w:r w:rsidRPr="006E604A">
              <w:rPr>
                <w:rFonts w:eastAsia="MS Mincho"/>
                <w:sz w:val="20"/>
              </w:rPr>
              <w:br/>
              <w:t>Connection density (devices/km</w:t>
            </w:r>
            <w:r w:rsidRPr="006E604A">
              <w:rPr>
                <w:rFonts w:eastAsia="MS Mincho"/>
                <w:sz w:val="20"/>
                <w:vertAlign w:val="superscript"/>
              </w:rPr>
              <w:t>2</w:t>
            </w:r>
            <w:r w:rsidRPr="006E604A">
              <w:rPr>
                <w:rFonts w:eastAsia="MS Mincho"/>
                <w:sz w:val="20"/>
              </w:rPr>
              <w:t>)</w:t>
            </w:r>
            <w:r w:rsidRPr="006E604A">
              <w:rPr>
                <w:rFonts w:eastAsia="MS Mincho"/>
                <w:sz w:val="20"/>
              </w:rPr>
              <w:br/>
            </w:r>
            <w:r w:rsidRPr="006E604A">
              <w:rPr>
                <w:rFonts w:eastAsia="MS Mincho"/>
                <w:i/>
                <w:iCs/>
                <w:sz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mMTC</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Urban Macro – </w:t>
            </w:r>
            <w:proofErr w:type="spellStart"/>
            <w:r w:rsidRPr="006E604A">
              <w:rPr>
                <w:rFonts w:eastAsia="MS Mincho"/>
                <w:sz w:val="20"/>
              </w:rPr>
              <w:t>mMTC</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1 000 000 </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5.2.4.3.10</w:t>
            </w:r>
            <w:r w:rsidRPr="006E604A">
              <w:rPr>
                <w:rFonts w:eastAsia="MS Mincho"/>
                <w:sz w:val="20"/>
              </w:rPr>
              <w:br/>
              <w:t>Energy efficiency</w:t>
            </w:r>
            <w:r w:rsidRPr="006E604A">
              <w:rPr>
                <w:rFonts w:eastAsia="MS Mincho"/>
                <w:sz w:val="20"/>
              </w:rPr>
              <w:br/>
            </w:r>
            <w:r w:rsidRPr="006E604A">
              <w:rPr>
                <w:rFonts w:eastAsia="MS Mincho"/>
                <w:i/>
                <w:iCs/>
                <w:sz w:val="20"/>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lang w:eastAsia="ja-JP"/>
              </w:rPr>
            </w:pPr>
            <w:r w:rsidRPr="006E604A">
              <w:rPr>
                <w:rFonts w:eastAsia="MS Mincho"/>
                <w:sz w:val="20"/>
                <w:lang w:eastAsia="ko-KR"/>
              </w:rPr>
              <w:t>Capability to support a high sleep ratio and long sleep duration</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bookmarkEnd w:id="8"/>
      </w:tr>
      <w:tr w:rsidR="006E604A" w:rsidRPr="006E604A" w:rsidTr="006E604A">
        <w:trPr>
          <w:cantSplit/>
          <w:jc w:val="center"/>
        </w:trPr>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5.2.4.3.11</w:t>
            </w:r>
            <w:r w:rsidRPr="006E604A">
              <w:rPr>
                <w:rFonts w:eastAsia="MS Mincho"/>
                <w:sz w:val="20"/>
              </w:rPr>
              <w:br/>
              <w:t>Reliability</w:t>
            </w:r>
            <w:r w:rsidRPr="006E604A">
              <w:rPr>
                <w:rFonts w:eastAsia="MS Mincho"/>
                <w:sz w:val="20"/>
              </w:rPr>
              <w:br/>
            </w:r>
            <w:r w:rsidRPr="006E604A">
              <w:rPr>
                <w:rFonts w:eastAsia="MS Mincho"/>
                <w:i/>
                <w:iCs/>
                <w:sz w:val="20"/>
              </w:rPr>
              <w:t>(4.10)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URLLC</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Urban Macro –URLLC</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 or Downlink</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1-10</w:t>
            </w:r>
            <w:r w:rsidRPr="006E604A">
              <w:rPr>
                <w:rFonts w:eastAsia="MS Mincho"/>
                <w:sz w:val="20"/>
                <w:vertAlign w:val="superscript"/>
              </w:rPr>
              <w:t>-5</w:t>
            </w:r>
            <w:r w:rsidRPr="006E604A">
              <w:rPr>
                <w:rFonts w:eastAsia="MS Mincho"/>
                <w:sz w:val="20"/>
              </w:rPr>
              <w:t xml:space="preserve"> success probability of transmitting a layer</w:t>
            </w:r>
            <w:r w:rsidRPr="006E604A">
              <w:rPr>
                <w:rFonts w:eastAsia="MS Mincho"/>
                <w:sz w:val="20"/>
                <w:lang w:eastAsia="ko-KR"/>
              </w:rPr>
              <w:t xml:space="preserve"> 2 PDU </w:t>
            </w:r>
            <w:r w:rsidRPr="006E604A">
              <w:rPr>
                <w:rFonts w:eastAsia="Malgun Gothic"/>
                <w:sz w:val="20"/>
                <w:lang w:eastAsia="ko-KR"/>
              </w:rPr>
              <w:t>(protocol data unit)</w:t>
            </w:r>
            <w:r w:rsidRPr="006E604A">
              <w:rPr>
                <w:rFonts w:eastAsia="MS Mincho"/>
                <w:sz w:val="20"/>
              </w:rPr>
              <w:t xml:space="preserve"> of size 32 bytes within 1 </w:t>
            </w:r>
            <w:proofErr w:type="spellStart"/>
            <w:r w:rsidRPr="006E604A">
              <w:rPr>
                <w:rFonts w:eastAsia="MS Mincho"/>
                <w:sz w:val="20"/>
              </w:rPr>
              <w:t>ms</w:t>
            </w:r>
            <w:proofErr w:type="spellEnd"/>
            <w:r w:rsidRPr="006E604A">
              <w:rPr>
                <w:rFonts w:eastAsia="MS Mincho"/>
                <w:sz w:val="20"/>
              </w:rPr>
              <w:t xml:space="preserve"> in channel quality of coverage edge</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bCs/>
                <w:sz w:val="20"/>
              </w:rPr>
            </w:pPr>
            <w:r w:rsidRPr="006E604A">
              <w:rPr>
                <w:rFonts w:eastAsia="MS Mincho"/>
                <w:b/>
                <w:sz w:val="20"/>
              </w:rPr>
              <w:lastRenderedPageBreak/>
              <w:t>5.2.4.3.12</w:t>
            </w:r>
            <w:r w:rsidRPr="006E604A">
              <w:rPr>
                <w:rFonts w:eastAsia="MS Mincho"/>
                <w:sz w:val="20"/>
              </w:rPr>
              <w:br/>
              <w:t>Mobility classes</w:t>
            </w:r>
            <w:r w:rsidRPr="006E604A">
              <w:rPr>
                <w:rFonts w:eastAsia="MS Mincho"/>
                <w:sz w:val="20"/>
              </w:rPr>
              <w:br/>
            </w:r>
            <w:r w:rsidRPr="006E604A">
              <w:rPr>
                <w:rFonts w:eastAsia="MS Mincho"/>
                <w:i/>
                <w:iCs/>
                <w:sz w:val="20"/>
              </w:rPr>
              <w:t>(4.11)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Indoor Hotspot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Stationary, Pedestrian</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b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Dense Urban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Stationary, Pedestrian,</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Vehicular (up to 30 km/h)</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b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Rural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Pedestrian,</w:t>
            </w:r>
            <w:r w:rsidRPr="006E604A">
              <w:rPr>
                <w:rFonts w:eastAsia="MS Mincho"/>
                <w:sz w:val="20"/>
                <w:lang w:eastAsia="zh-CN"/>
              </w:rPr>
              <w:t xml:space="preserve"> </w:t>
            </w:r>
            <w:r w:rsidRPr="006E604A">
              <w:rPr>
                <w:rFonts w:eastAsia="MS Mincho"/>
                <w:sz w:val="20"/>
              </w:rPr>
              <w:t>Vehicular, High speed vehicular</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b/>
                <w:sz w:val="20"/>
                <w:lang w:eastAsia="zh-CN"/>
              </w:rPr>
            </w:pPr>
            <w:r w:rsidRPr="006E604A">
              <w:rPr>
                <w:rFonts w:eastAsia="MS Mincho"/>
                <w:b/>
                <w:sz w:val="20"/>
              </w:rPr>
              <w:t>5.2.4.3.1</w:t>
            </w:r>
            <w:r w:rsidRPr="006E604A">
              <w:rPr>
                <w:rFonts w:eastAsia="MS Mincho"/>
                <w:b/>
                <w:sz w:val="20"/>
                <w:lang w:eastAsia="zh-CN"/>
              </w:rPr>
              <w:t>3</w:t>
            </w:r>
          </w:p>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lang w:eastAsia="zh-CN"/>
              </w:rPr>
              <w:t>Mobility</w:t>
            </w:r>
            <w:r w:rsidRPr="006E604A">
              <w:rPr>
                <w:rFonts w:eastAsia="MS Mincho"/>
                <w:sz w:val="20"/>
                <w:lang w:eastAsia="zh-CN"/>
              </w:rPr>
              <w:br/>
              <w:t>Traffic channel link data rates (bit/s/Hz)</w:t>
            </w:r>
            <w:r w:rsidRPr="006E604A">
              <w:rPr>
                <w:rFonts w:eastAsia="MS Mincho"/>
                <w:sz w:val="20"/>
                <w:lang w:eastAsia="zh-CN"/>
              </w:rPr>
              <w:br/>
            </w:r>
            <w:r w:rsidRPr="006E604A">
              <w:rPr>
                <w:rFonts w:eastAsia="MS Mincho"/>
                <w:i/>
                <w:iCs/>
                <w:sz w:val="20"/>
                <w:lang w:eastAsia="zh-CN"/>
              </w:rPr>
              <w:t>(4.11)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Indoor Hotspot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1.5 (10 km/h)</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Dense Urban – </w:t>
            </w:r>
            <w:proofErr w:type="spellStart"/>
            <w:r w:rsidRPr="006E604A">
              <w:rPr>
                <w:rFonts w:eastAsia="MS Mincho"/>
                <w:sz w:val="20"/>
              </w:rPr>
              <w:t>eMBB</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1.12 (30 km/h)</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 xml:space="preserve">Rural – </w:t>
            </w:r>
            <w:proofErr w:type="spellStart"/>
            <w:r w:rsidRPr="006E604A">
              <w:rPr>
                <w:rFonts w:eastAsia="MS Mincho"/>
                <w:sz w:val="20"/>
              </w:rPr>
              <w:t>eMBB</w:t>
            </w:r>
            <w:proofErr w:type="spellEnd"/>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Uplink</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0.8 (120 km/h)</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0.45 (500 km/h)</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b/>
                <w:sz w:val="20"/>
              </w:rPr>
              <w:t>5.2.4.3.14</w:t>
            </w:r>
            <w:r w:rsidRPr="006E604A">
              <w:rPr>
                <w:rFonts w:eastAsia="MS Mincho"/>
                <w:bCs/>
                <w:sz w:val="20"/>
              </w:rPr>
              <w:br/>
            </w:r>
            <w:r w:rsidRPr="006E604A">
              <w:rPr>
                <w:rFonts w:eastAsia="MS Mincho"/>
                <w:sz w:val="20"/>
              </w:rPr>
              <w:t>Mobility interruption time (</w:t>
            </w:r>
            <w:proofErr w:type="spellStart"/>
            <w:r w:rsidRPr="006E604A">
              <w:rPr>
                <w:rFonts w:eastAsia="MS Mincho"/>
                <w:sz w:val="20"/>
              </w:rPr>
              <w:t>ms</w:t>
            </w:r>
            <w:proofErr w:type="spellEnd"/>
            <w:r w:rsidRPr="006E604A">
              <w:rPr>
                <w:rFonts w:eastAsia="MS Mincho"/>
                <w:sz w:val="20"/>
              </w:rPr>
              <w:t xml:space="preserve">) </w:t>
            </w:r>
            <w:r w:rsidRPr="006E604A">
              <w:rPr>
                <w:rFonts w:eastAsia="MS Mincho"/>
                <w:sz w:val="20"/>
              </w:rPr>
              <w:br/>
            </w:r>
            <w:r w:rsidRPr="006E604A">
              <w:rPr>
                <w:rFonts w:eastAsia="MS Mincho"/>
                <w:i/>
                <w:iCs/>
                <w:sz w:val="20"/>
              </w:rPr>
              <w:t>(4.12)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roofErr w:type="spellStart"/>
            <w:r w:rsidRPr="006E604A">
              <w:rPr>
                <w:rFonts w:eastAsia="MS Mincho"/>
                <w:sz w:val="20"/>
              </w:rPr>
              <w:t>eMBB</w:t>
            </w:r>
            <w:proofErr w:type="spellEnd"/>
            <w:r w:rsidRPr="006E604A">
              <w:rPr>
                <w:rFonts w:eastAsia="MS Mincho"/>
                <w:sz w:val="20"/>
              </w:rPr>
              <w:t xml:space="preserve"> and URLLC</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8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i/>
                <w:iCs/>
                <w:sz w:val="20"/>
              </w:rPr>
            </w:pPr>
            <w:r w:rsidRPr="006E604A">
              <w:rPr>
                <w:rFonts w:eastAsia="MS Mincho"/>
                <w:b/>
                <w:sz w:val="20"/>
              </w:rPr>
              <w:t>5.2.4.3.15</w:t>
            </w:r>
            <w:r w:rsidRPr="006E604A">
              <w:rPr>
                <w:rFonts w:eastAsia="MS Mincho"/>
                <w:sz w:val="20"/>
              </w:rPr>
              <w:br/>
              <w:t xml:space="preserve">Bandwidth </w:t>
            </w:r>
            <w:r w:rsidRPr="006E604A">
              <w:rPr>
                <w:rFonts w:eastAsia="MS Mincho"/>
                <w:sz w:val="20"/>
                <w:lang w:eastAsia="ja-JP"/>
              </w:rPr>
              <w:t>and Scalability</w:t>
            </w:r>
            <w:r w:rsidRPr="006E604A">
              <w:rPr>
                <w:rFonts w:eastAsia="MS Mincho"/>
                <w:sz w:val="20"/>
              </w:rPr>
              <w:br/>
            </w:r>
            <w:r w:rsidRPr="006E604A">
              <w:rPr>
                <w:rFonts w:eastAsia="MS Mincho"/>
                <w:i/>
                <w:iCs/>
                <w:sz w:val="20"/>
              </w:rPr>
              <w:t>(4.13)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Not applicable</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t>At least 100 MHz</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i/>
                <w:iCs/>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lang w:eastAsia="ja-JP"/>
              </w:rPr>
            </w:pPr>
            <w:r w:rsidRPr="006E604A">
              <w:rPr>
                <w:rFonts w:eastAsia="MS Mincho"/>
                <w:sz w:val="20"/>
                <w:lang w:eastAsia="ja-JP"/>
              </w:rPr>
              <w:t>Up to 1 GHz</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i/>
                <w:iCs/>
                <w:sz w:val="20"/>
              </w:rPr>
            </w:pPr>
          </w:p>
        </w:tc>
        <w:tc>
          <w:tcPr>
            <w:tcW w:w="411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E604A" w:rsidRPr="006E604A" w:rsidRDefault="006E604A" w:rsidP="006E604A">
            <w:pPr>
              <w:spacing w:line="256" w:lineRule="auto"/>
              <w:rPr>
                <w:rFonts w:eastAsia="MS Mincho"/>
                <w:sz w:val="20"/>
              </w:rPr>
            </w:pP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ascii="TimesNewRoman" w:eastAsia="MS Mincho" w:hAnsi="TimesNewRoman" w:cs="TimesNewRoman"/>
                <w:sz w:val="20"/>
                <w:lang w:eastAsia="zh-CN"/>
              </w:rPr>
              <w:t xml:space="preserve">Support of multiple different bandwidth </w:t>
            </w:r>
            <w:proofErr w:type="gramStart"/>
            <w:r w:rsidRPr="006E604A">
              <w:rPr>
                <w:rFonts w:ascii="TimesNewRoman" w:eastAsia="MS Mincho" w:hAnsi="TimesNewRoman" w:cs="TimesNewRoman"/>
                <w:sz w:val="20"/>
                <w:lang w:eastAsia="zh-CN"/>
              </w:rPr>
              <w:t>values</w:t>
            </w:r>
            <w:r w:rsidRPr="006E604A">
              <w:rPr>
                <w:rFonts w:ascii="TimesNewRoman" w:eastAsia="MS Mincho" w:hAnsi="TimesNewRoman" w:cs="TimesNewRoman"/>
                <w:sz w:val="13"/>
                <w:szCs w:val="13"/>
                <w:vertAlign w:val="superscript"/>
                <w:lang w:eastAsia="zh-CN"/>
              </w:rPr>
              <w:t>(</w:t>
            </w:r>
            <w:proofErr w:type="gramEnd"/>
            <w:r w:rsidRPr="006E604A">
              <w:rPr>
                <w:rFonts w:ascii="TimesNewRoman" w:eastAsia="MS Mincho" w:hAnsi="TimesNewRoman" w:cs="TimesNewRoman"/>
                <w:sz w:val="13"/>
                <w:szCs w:val="13"/>
                <w:vertAlign w:val="superscript"/>
                <w:lang w:eastAsia="zh-CN"/>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6E604A">
              <w:rPr>
                <w:rFonts w:eastAsia="MS Mincho"/>
                <w:sz w:val="20"/>
              </w:rPr>
              <w:sym w:font="Times New Roman" w:char="F072"/>
            </w:r>
            <w:r w:rsidRPr="006E604A">
              <w:rPr>
                <w:rFonts w:eastAsia="MS Mincho"/>
                <w:sz w:val="20"/>
              </w:rPr>
              <w:tab/>
              <w:t>Yes</w:t>
            </w:r>
            <w:r w:rsidRPr="006E604A">
              <w:rPr>
                <w:rFonts w:eastAsia="MS Mincho"/>
                <w:sz w:val="20"/>
              </w:rPr>
              <w:br/>
            </w:r>
            <w:r w:rsidRPr="006E604A">
              <w:rPr>
                <w:rFonts w:eastAsia="MS Mincho"/>
                <w:sz w:val="20"/>
              </w:rPr>
              <w:sym w:font="Times New Roman" w:char="F072"/>
            </w:r>
            <w:r w:rsidRPr="006E604A">
              <w:rPr>
                <w:rFonts w:eastAsia="MS Mincho"/>
                <w:sz w:val="20"/>
              </w:rPr>
              <w:tab/>
              <w:t>No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E604A" w:rsidRPr="006E604A" w:rsidRDefault="006E604A" w:rsidP="006E60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6E604A" w:rsidRPr="006E604A" w:rsidTr="006E604A">
        <w:trPr>
          <w:cantSplit/>
          <w:jc w:val="center"/>
        </w:trPr>
        <w:tc>
          <w:tcPr>
            <w:tcW w:w="10631" w:type="dxa"/>
            <w:gridSpan w:val="8"/>
            <w:tcBorders>
              <w:top w:val="single" w:sz="4" w:space="0" w:color="auto"/>
              <w:left w:val="nil"/>
              <w:bottom w:val="nil"/>
              <w:right w:val="nil"/>
            </w:tcBorders>
            <w:shd w:val="clear" w:color="auto" w:fill="FFFFFF"/>
            <w:hideMark/>
          </w:tcPr>
          <w:p w:rsidR="006E604A" w:rsidRPr="006E604A" w:rsidRDefault="006E604A" w:rsidP="006E604A">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6E604A">
              <w:rPr>
                <w:rFonts w:eastAsia="MS Mincho"/>
                <w:sz w:val="18"/>
                <w:vertAlign w:val="superscript"/>
              </w:rPr>
              <w:t>(1)</w:t>
            </w:r>
            <w:r w:rsidRPr="006E604A">
              <w:rPr>
                <w:rFonts w:eastAsia="MS Mincho"/>
                <w:sz w:val="18"/>
              </w:rPr>
              <w:t xml:space="preserve"> </w:t>
            </w:r>
            <w:r w:rsidRPr="006E604A">
              <w:rPr>
                <w:rFonts w:eastAsia="MS Mincho"/>
                <w:sz w:val="18"/>
              </w:rPr>
              <w:tab/>
              <w:t xml:space="preserve">As defined in Report ITU-R </w:t>
            </w:r>
            <w:proofErr w:type="gramStart"/>
            <w:r w:rsidRPr="006E604A">
              <w:rPr>
                <w:rFonts w:eastAsia="MS Mincho"/>
                <w:sz w:val="18"/>
              </w:rPr>
              <w:t>M.[</w:t>
            </w:r>
            <w:proofErr w:type="gramEnd"/>
            <w:r w:rsidRPr="006E604A">
              <w:rPr>
                <w:rFonts w:eastAsia="MS Mincho"/>
                <w:sz w:val="18"/>
              </w:rPr>
              <w:t>IMT-2020.TECH PERF REQ].</w:t>
            </w:r>
          </w:p>
          <w:p w:rsidR="006E604A" w:rsidRPr="006E604A" w:rsidRDefault="006E604A" w:rsidP="006E604A">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6E604A">
              <w:rPr>
                <w:rFonts w:eastAsia="MS Mincho"/>
                <w:sz w:val="18"/>
                <w:vertAlign w:val="superscript"/>
              </w:rPr>
              <w:t>(2)</w:t>
            </w:r>
            <w:r w:rsidRPr="006E604A">
              <w:rPr>
                <w:rFonts w:eastAsia="MS Mincho"/>
                <w:sz w:val="18"/>
              </w:rPr>
              <w:t xml:space="preserve"> </w:t>
            </w:r>
            <w:r w:rsidRPr="006E604A">
              <w:rPr>
                <w:rFonts w:eastAsia="MS Mincho"/>
                <w:sz w:val="18"/>
              </w:rPr>
              <w:tab/>
              <w:t>According to the evaluation methodology specified in Report ITU-R M.[IMT-2020.EVAL].</w:t>
            </w:r>
          </w:p>
          <w:p w:rsidR="006E604A" w:rsidRPr="006E604A" w:rsidRDefault="006E604A" w:rsidP="006E604A">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6E604A">
              <w:rPr>
                <w:rFonts w:eastAsia="MS Mincho"/>
                <w:sz w:val="18"/>
                <w:vertAlign w:val="superscript"/>
              </w:rPr>
              <w:t>(3)</w:t>
            </w:r>
            <w:r w:rsidRPr="006E604A">
              <w:rPr>
                <w:rFonts w:eastAsia="MS Mincho"/>
                <w:sz w:val="18"/>
              </w:rPr>
              <w:tab/>
            </w:r>
            <w:r w:rsidRPr="006E604A">
              <w:rPr>
                <w:rFonts w:eastAsia="Malgun Gothic"/>
                <w:sz w:val="18"/>
              </w:rPr>
              <w:t>Proponents should report their selected evaluation methodology of the Connection density, the channel model variant used, and evaluation configuration(s) with their exact values (e.g. antenna element number, bandwidth, etc.) per test environment</w:t>
            </w:r>
            <w:r w:rsidRPr="006E604A">
              <w:rPr>
                <w:rFonts w:eastAsia="MS Mincho"/>
                <w:sz w:val="18"/>
                <w:lang w:eastAsia="ja-JP"/>
              </w:rPr>
              <w:t>, and could provide other relevant information as well</w:t>
            </w:r>
            <w:r w:rsidRPr="006E604A">
              <w:rPr>
                <w:rFonts w:eastAsia="Malgun Gothic"/>
                <w:sz w:val="18"/>
              </w:rPr>
              <w:t>. For details, refer to Report ITU-R M.[IMT-2020.EVAL]</w:t>
            </w:r>
            <w:proofErr w:type="gramStart"/>
            <w:r w:rsidRPr="006E604A">
              <w:rPr>
                <w:rFonts w:eastAsia="Malgun Gothic"/>
                <w:sz w:val="18"/>
              </w:rPr>
              <w:t>, in particular, §</w:t>
            </w:r>
            <w:proofErr w:type="gramEnd"/>
            <w:r w:rsidRPr="006E604A">
              <w:rPr>
                <w:rFonts w:eastAsia="Malgun Gothic"/>
                <w:sz w:val="18"/>
              </w:rPr>
              <w:t xml:space="preserve"> 7.1.3 for the evaluation methodologies, § 8.4 for the evaluation configurations per each test environment, and Annex 1 on the channel model variants.</w:t>
            </w:r>
          </w:p>
          <w:p w:rsidR="006E604A" w:rsidRPr="006E604A" w:rsidRDefault="006E604A" w:rsidP="006E604A">
            <w:pPr>
              <w:tabs>
                <w:tab w:val="left" w:pos="284"/>
                <w:tab w:val="left" w:pos="1134"/>
                <w:tab w:val="left" w:pos="1871"/>
                <w:tab w:val="left" w:pos="2268"/>
              </w:tabs>
              <w:overflowPunct w:val="0"/>
              <w:autoSpaceDE w:val="0"/>
              <w:autoSpaceDN w:val="0"/>
              <w:adjustRightInd w:val="0"/>
              <w:spacing w:before="40" w:after="40" w:line="256" w:lineRule="auto"/>
              <w:rPr>
                <w:rFonts w:eastAsia="Malgun Gothic"/>
                <w:sz w:val="18"/>
              </w:rPr>
            </w:pPr>
            <w:r w:rsidRPr="006E604A">
              <w:rPr>
                <w:rFonts w:eastAsia="Malgun Gothic"/>
                <w:sz w:val="18"/>
                <w:vertAlign w:val="superscript"/>
              </w:rPr>
              <w:t>(4)</w:t>
            </w:r>
            <w:r w:rsidRPr="006E604A">
              <w:rPr>
                <w:rFonts w:eastAsia="Malgun Gothic"/>
                <w:sz w:val="18"/>
              </w:rPr>
              <w:tab/>
              <w:t>Refer to § 7.3.1 of Report ITU-R M.[IMT-2020.EVAL].</w:t>
            </w:r>
          </w:p>
        </w:tc>
      </w:tr>
    </w:tbl>
    <w:p w:rsidR="006E604A" w:rsidRPr="006E604A" w:rsidRDefault="006E604A" w:rsidP="006E604A">
      <w:pPr>
        <w:spacing w:after="160" w:line="256" w:lineRule="auto"/>
        <w:rPr>
          <w:rFonts w:ascii="Calibri" w:eastAsia="Calibri" w:hAnsi="Calibri"/>
          <w:szCs w:val="22"/>
          <w:lang w:val="en-US"/>
        </w:rPr>
      </w:pPr>
    </w:p>
    <w:p w:rsidR="00F639BA" w:rsidRPr="00F639BA" w:rsidRDefault="00F639BA" w:rsidP="00F639BA"/>
    <w:sectPr w:rsidR="00F639BA" w:rsidRPr="00F639BA" w:rsidSect="00FE0085">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45B" w:rsidRDefault="009B545B">
      <w:r>
        <w:separator/>
      </w:r>
    </w:p>
  </w:endnote>
  <w:endnote w:type="continuationSeparator" w:id="0">
    <w:p w:rsidR="009B545B" w:rsidRDefault="009B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0D" w:rsidRDefault="002D3A93">
    <w:pPr>
      <w:pStyle w:val="Footer"/>
      <w:tabs>
        <w:tab w:val="clear" w:pos="6480"/>
        <w:tab w:val="center" w:pos="4680"/>
        <w:tab w:val="right" w:pos="9360"/>
      </w:tabs>
    </w:pPr>
    <w:r>
      <w:t xml:space="preserve">RIT Description – </w:t>
    </w:r>
    <w:r w:rsidR="006E604A">
      <w:t>Compliance</w:t>
    </w:r>
    <w:r>
      <w:t xml:space="preserve"> Template</w:t>
    </w:r>
    <w:r w:rsidR="0028670D">
      <w:tab/>
      <w:t xml:space="preserve">page </w:t>
    </w:r>
    <w:r w:rsidR="0028670D">
      <w:fldChar w:fldCharType="begin"/>
    </w:r>
    <w:r w:rsidR="0028670D">
      <w:instrText xml:space="preserve">page </w:instrText>
    </w:r>
    <w:r w:rsidR="0028670D">
      <w:fldChar w:fldCharType="separate"/>
    </w:r>
    <w:r w:rsidR="00CA5F87">
      <w:rPr>
        <w:noProof/>
      </w:rPr>
      <w:t>2</w:t>
    </w:r>
    <w:r w:rsidR="0028670D">
      <w:fldChar w:fldCharType="end"/>
    </w:r>
    <w:r w:rsidR="0028670D">
      <w:tab/>
    </w:r>
    <w:r>
      <w:t>Author Names here</w:t>
    </w:r>
  </w:p>
  <w:p w:rsidR="0028670D" w:rsidRDefault="00286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45B" w:rsidRDefault="009B545B">
      <w:r>
        <w:separator/>
      </w:r>
    </w:p>
  </w:footnote>
  <w:footnote w:type="continuationSeparator" w:id="0">
    <w:p w:rsidR="009B545B" w:rsidRDefault="009B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0D" w:rsidRDefault="00020194" w:rsidP="00732A32">
    <w:pPr>
      <w:pStyle w:val="Header"/>
      <w:tabs>
        <w:tab w:val="clear" w:pos="6480"/>
        <w:tab w:val="center" w:pos="4680"/>
        <w:tab w:val="right" w:pos="9360"/>
      </w:tabs>
    </w:pPr>
    <w:fldSimple w:instr=" KEYWORDS  \* MERGEFORMAT ">
      <w:r w:rsidR="0039564A">
        <w:t>November</w:t>
      </w:r>
      <w:r w:rsidR="0028670D">
        <w:t xml:space="preserve"> 20</w:t>
      </w:r>
    </w:fldSimple>
    <w:r w:rsidR="002D3A93">
      <w:t>17</w:t>
    </w:r>
    <w:r w:rsidR="0028670D">
      <w:tab/>
    </w:r>
    <w:r w:rsidR="0028670D">
      <w:tab/>
    </w:r>
    <w:fldSimple w:instr=" TITLE  \* MERGEFORMAT ">
      <w:r w:rsidR="0028670D">
        <w:t>doc.: IEEE 802.11-</w:t>
      </w:r>
      <w:r w:rsidR="002D3A93">
        <w:t>17/</w:t>
      </w:r>
      <w:r w:rsidR="00CA5F87">
        <w:t>1813</w:t>
      </w:r>
      <w:r w:rsidR="00732A32">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20194"/>
    <w:rsid w:val="00044F0F"/>
    <w:rsid w:val="000840D0"/>
    <w:rsid w:val="00086463"/>
    <w:rsid w:val="000A365F"/>
    <w:rsid w:val="000D43F8"/>
    <w:rsid w:val="0013004F"/>
    <w:rsid w:val="00130286"/>
    <w:rsid w:val="00135192"/>
    <w:rsid w:val="00160619"/>
    <w:rsid w:val="001738A3"/>
    <w:rsid w:val="00193996"/>
    <w:rsid w:val="001A2B00"/>
    <w:rsid w:val="001B217E"/>
    <w:rsid w:val="001D3204"/>
    <w:rsid w:val="001D723B"/>
    <w:rsid w:val="001E3BE4"/>
    <w:rsid w:val="0020389D"/>
    <w:rsid w:val="00212EC4"/>
    <w:rsid w:val="002248B1"/>
    <w:rsid w:val="002360E0"/>
    <w:rsid w:val="002600EB"/>
    <w:rsid w:val="00260F6A"/>
    <w:rsid w:val="00264D47"/>
    <w:rsid w:val="0028670D"/>
    <w:rsid w:val="0029020B"/>
    <w:rsid w:val="002B1ACA"/>
    <w:rsid w:val="002B58CB"/>
    <w:rsid w:val="002D3A93"/>
    <w:rsid w:val="002D44BE"/>
    <w:rsid w:val="002D4CBF"/>
    <w:rsid w:val="002F272A"/>
    <w:rsid w:val="003467AC"/>
    <w:rsid w:val="00360C64"/>
    <w:rsid w:val="0036165C"/>
    <w:rsid w:val="0039564A"/>
    <w:rsid w:val="003B5943"/>
    <w:rsid w:val="003C292F"/>
    <w:rsid w:val="003D6E7F"/>
    <w:rsid w:val="003F3E21"/>
    <w:rsid w:val="00417271"/>
    <w:rsid w:val="00426089"/>
    <w:rsid w:val="00442037"/>
    <w:rsid w:val="004427B8"/>
    <w:rsid w:val="00455675"/>
    <w:rsid w:val="00456C11"/>
    <w:rsid w:val="004675B6"/>
    <w:rsid w:val="0047111F"/>
    <w:rsid w:val="00477B34"/>
    <w:rsid w:val="004A35AB"/>
    <w:rsid w:val="004C133A"/>
    <w:rsid w:val="004F5383"/>
    <w:rsid w:val="004F6AFF"/>
    <w:rsid w:val="00506864"/>
    <w:rsid w:val="00510FF3"/>
    <w:rsid w:val="0051324F"/>
    <w:rsid w:val="005267E4"/>
    <w:rsid w:val="00527100"/>
    <w:rsid w:val="00533027"/>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B1B2A"/>
    <w:rsid w:val="006C0727"/>
    <w:rsid w:val="006E145F"/>
    <w:rsid w:val="006E604A"/>
    <w:rsid w:val="006F2890"/>
    <w:rsid w:val="00721E00"/>
    <w:rsid w:val="00730060"/>
    <w:rsid w:val="00732A32"/>
    <w:rsid w:val="00742D14"/>
    <w:rsid w:val="00745712"/>
    <w:rsid w:val="00750BD5"/>
    <w:rsid w:val="00760889"/>
    <w:rsid w:val="00762A7D"/>
    <w:rsid w:val="00770572"/>
    <w:rsid w:val="00793A62"/>
    <w:rsid w:val="007A64F1"/>
    <w:rsid w:val="007C3F9C"/>
    <w:rsid w:val="007C67E6"/>
    <w:rsid w:val="008050EC"/>
    <w:rsid w:val="00807234"/>
    <w:rsid w:val="00814D7A"/>
    <w:rsid w:val="008243BD"/>
    <w:rsid w:val="0084679F"/>
    <w:rsid w:val="00856898"/>
    <w:rsid w:val="0089289E"/>
    <w:rsid w:val="00893069"/>
    <w:rsid w:val="008A5FF8"/>
    <w:rsid w:val="008B1DA0"/>
    <w:rsid w:val="008B22D7"/>
    <w:rsid w:val="008C557D"/>
    <w:rsid w:val="008C6206"/>
    <w:rsid w:val="008C63DE"/>
    <w:rsid w:val="008F1369"/>
    <w:rsid w:val="008F605D"/>
    <w:rsid w:val="009236FF"/>
    <w:rsid w:val="009315C2"/>
    <w:rsid w:val="00935DBA"/>
    <w:rsid w:val="0094395A"/>
    <w:rsid w:val="00944135"/>
    <w:rsid w:val="00947217"/>
    <w:rsid w:val="009473AA"/>
    <w:rsid w:val="00954111"/>
    <w:rsid w:val="009600B7"/>
    <w:rsid w:val="009813F0"/>
    <w:rsid w:val="00981B9D"/>
    <w:rsid w:val="00995250"/>
    <w:rsid w:val="009B545B"/>
    <w:rsid w:val="009D5A16"/>
    <w:rsid w:val="009E4398"/>
    <w:rsid w:val="00A32ED6"/>
    <w:rsid w:val="00A40F72"/>
    <w:rsid w:val="00A47FA0"/>
    <w:rsid w:val="00A640BF"/>
    <w:rsid w:val="00A8394A"/>
    <w:rsid w:val="00A974F3"/>
    <w:rsid w:val="00AA1354"/>
    <w:rsid w:val="00AA427C"/>
    <w:rsid w:val="00AB15FE"/>
    <w:rsid w:val="00AB7D1B"/>
    <w:rsid w:val="00B13640"/>
    <w:rsid w:val="00B332CF"/>
    <w:rsid w:val="00B63C2F"/>
    <w:rsid w:val="00B65C57"/>
    <w:rsid w:val="00B82C30"/>
    <w:rsid w:val="00B960E8"/>
    <w:rsid w:val="00BA4274"/>
    <w:rsid w:val="00BE68C2"/>
    <w:rsid w:val="00BF3731"/>
    <w:rsid w:val="00BF6992"/>
    <w:rsid w:val="00C154C3"/>
    <w:rsid w:val="00C27B1D"/>
    <w:rsid w:val="00C82D24"/>
    <w:rsid w:val="00CA09B2"/>
    <w:rsid w:val="00CA5F87"/>
    <w:rsid w:val="00CB2E9D"/>
    <w:rsid w:val="00CB6723"/>
    <w:rsid w:val="00CC26F8"/>
    <w:rsid w:val="00CE046E"/>
    <w:rsid w:val="00CE713E"/>
    <w:rsid w:val="00D029E5"/>
    <w:rsid w:val="00D629B9"/>
    <w:rsid w:val="00D9374D"/>
    <w:rsid w:val="00DA7075"/>
    <w:rsid w:val="00DB53E0"/>
    <w:rsid w:val="00DB6057"/>
    <w:rsid w:val="00DC5A7B"/>
    <w:rsid w:val="00DE5A0B"/>
    <w:rsid w:val="00E173BB"/>
    <w:rsid w:val="00E55C95"/>
    <w:rsid w:val="00E5726C"/>
    <w:rsid w:val="00E60532"/>
    <w:rsid w:val="00E845EF"/>
    <w:rsid w:val="00EA6B47"/>
    <w:rsid w:val="00EB2CD0"/>
    <w:rsid w:val="00EB30F6"/>
    <w:rsid w:val="00EF1E58"/>
    <w:rsid w:val="00EF4E78"/>
    <w:rsid w:val="00F04210"/>
    <w:rsid w:val="00F155EB"/>
    <w:rsid w:val="00F47391"/>
    <w:rsid w:val="00F57301"/>
    <w:rsid w:val="00F639BA"/>
    <w:rsid w:val="00F82A01"/>
    <w:rsid w:val="00FD58C4"/>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DEC68"/>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TOCHeading">
    <w:name w:val="TOC Heading"/>
    <w:basedOn w:val="Heading1"/>
    <w:next w:val="Normal"/>
    <w:uiPriority w:val="39"/>
    <w:unhideWhenUsed/>
    <w:qFormat/>
    <w:rsid w:val="006E604A"/>
    <w:p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6E604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0348">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1010375511">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65683317">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8852746">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10</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Intel</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TGac Spec Framework</dc:subject>
  <dc:creator>Robert Stacey</dc:creator>
  <cp:keywords>November 2014</cp:keywords>
  <dc:description>Robert Stacey, Intel</dc:description>
  <cp:lastModifiedBy>Rakesh</cp:lastModifiedBy>
  <cp:revision>6</cp:revision>
  <cp:lastPrinted>2014-06-04T16:31:00Z</cp:lastPrinted>
  <dcterms:created xsi:type="dcterms:W3CDTF">2017-11-17T05:40:00Z</dcterms:created>
  <dcterms:modified xsi:type="dcterms:W3CDTF">2017-11-19T22:40:00Z</dcterms:modified>
</cp:coreProperties>
</file>