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675569" w:rsidP="00D9319E">
            <w:pPr>
              <w:pStyle w:val="T2"/>
            </w:pPr>
            <w:r>
              <w:t xml:space="preserve">Resolution for </w:t>
            </w:r>
            <w:r w:rsidR="00D9319E">
              <w:t>the TBD in Annex C.3</w:t>
            </w:r>
          </w:p>
        </w:tc>
      </w:tr>
      <w:tr w:rsidR="00CA09B2" w:rsidTr="00A525F0">
        <w:trPr>
          <w:trHeight w:val="359"/>
          <w:jc w:val="center"/>
        </w:trPr>
        <w:tc>
          <w:tcPr>
            <w:tcW w:w="9576" w:type="dxa"/>
            <w:gridSpan w:val="5"/>
            <w:vAlign w:val="center"/>
          </w:tcPr>
          <w:p w:rsidR="00CA09B2" w:rsidRPr="00977061" w:rsidRDefault="00CA09B2" w:rsidP="00675569">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866D52">
              <w:rPr>
                <w:b w:val="0"/>
                <w:sz w:val="24"/>
                <w:szCs w:val="24"/>
              </w:rPr>
              <w:t>7</w:t>
            </w:r>
            <w:r w:rsidR="00965FF9" w:rsidRPr="00977061">
              <w:rPr>
                <w:b w:val="0"/>
                <w:sz w:val="24"/>
                <w:szCs w:val="24"/>
              </w:rPr>
              <w:t>-</w:t>
            </w:r>
            <w:r w:rsidR="00675569">
              <w:rPr>
                <w:b w:val="0"/>
                <w:sz w:val="24"/>
                <w:szCs w:val="24"/>
              </w:rPr>
              <w:t>11</w:t>
            </w:r>
            <w:r w:rsidR="00965FF9" w:rsidRPr="00977061">
              <w:rPr>
                <w:b w:val="0"/>
                <w:sz w:val="24"/>
                <w:szCs w:val="24"/>
              </w:rPr>
              <w:t>-</w:t>
            </w:r>
            <w:r w:rsidR="00675569">
              <w:rPr>
                <w:b w:val="0"/>
                <w:sz w:val="24"/>
                <w:szCs w:val="24"/>
              </w:rPr>
              <w:t>08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601F43"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B24A28" w:rsidRDefault="00B24A28" w:rsidP="000E010A">
      <w:pPr>
        <w:pStyle w:val="ListParagraph"/>
        <w:ind w:left="0"/>
      </w:pPr>
    </w:p>
    <w:p w:rsidR="00B24A28" w:rsidRDefault="00B24A28" w:rsidP="000E010A">
      <w:pPr>
        <w:pStyle w:val="ListParagraph"/>
        <w:ind w:left="0"/>
      </w:pPr>
    </w:p>
    <w:p w:rsidR="000E010A" w:rsidRPr="00194CDA" w:rsidRDefault="008E79F9" w:rsidP="000E010A">
      <w:pPr>
        <w:pStyle w:val="ListParagraph"/>
        <w:ind w:left="0"/>
      </w:pPr>
      <w:r>
        <w:t>This submission</w:t>
      </w:r>
      <w:r w:rsidR="00866D52">
        <w:t xml:space="preserve"> present a resolution for CID</w:t>
      </w:r>
      <w:r w:rsidR="00675569">
        <w:rPr>
          <w:b/>
          <w:i/>
        </w:rPr>
        <w:t>s</w:t>
      </w:r>
      <w:r w:rsidR="0036738C">
        <w:rPr>
          <w:b/>
          <w:i/>
        </w:rPr>
        <w:t xml:space="preserve"> 12107, 12118,</w:t>
      </w:r>
      <w:r w:rsidR="0078761E">
        <w:rPr>
          <w:b/>
          <w:i/>
        </w:rPr>
        <w:t xml:space="preserve"> 13021,</w:t>
      </w:r>
      <w:r w:rsidR="0083169D">
        <w:rPr>
          <w:b/>
          <w:i/>
        </w:rPr>
        <w:t xml:space="preserve"> 13054</w:t>
      </w:r>
      <w:r w:rsidR="003D6500">
        <w:t>.</w:t>
      </w:r>
      <w:r w:rsidR="000E010A">
        <w:rPr>
          <w:b/>
          <w:i/>
        </w:rPr>
        <w:t xml:space="preserve">  </w:t>
      </w:r>
      <w:r w:rsidR="000E010A" w:rsidRPr="00194CDA">
        <w:t xml:space="preserve">The proposed changes are based on </w:t>
      </w:r>
      <w:r w:rsidR="000E010A" w:rsidRPr="00194CDA">
        <w:rPr>
          <w:b/>
        </w:rPr>
        <w:t>P802.11ax D</w:t>
      </w:r>
      <w:r w:rsidR="000E010A">
        <w:rPr>
          <w:b/>
        </w:rPr>
        <w:t>2.0</w:t>
      </w:r>
      <w:r w:rsidR="000E010A" w:rsidRPr="00194CDA">
        <w:rPr>
          <w:b/>
        </w:rPr>
        <w:t xml:space="preserve"> on</w:t>
      </w:r>
      <w:r w:rsidR="000E010A">
        <w:rPr>
          <w:b/>
        </w:rPr>
        <w:t xml:space="preserve"> Annex C.3</w:t>
      </w:r>
    </w:p>
    <w:p w:rsidR="008218AB" w:rsidRPr="000E010A" w:rsidRDefault="008218AB" w:rsidP="00222194">
      <w:pPr>
        <w:pStyle w:val="Heading5"/>
        <w:spacing w:before="60"/>
        <w:jc w:val="both"/>
        <w:rPr>
          <w:rFonts w:ascii="Times New Roman" w:hAnsi="Times New Roman"/>
          <w:b w:val="0"/>
          <w:i w:val="0"/>
          <w:sz w:val="24"/>
          <w:szCs w:val="24"/>
          <w:lang w:val="en-US"/>
        </w:rPr>
      </w:pP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02"/>
        <w:gridCol w:w="812"/>
        <w:gridCol w:w="719"/>
        <w:gridCol w:w="2431"/>
        <w:gridCol w:w="2161"/>
        <w:gridCol w:w="2161"/>
      </w:tblGrid>
      <w:tr w:rsidR="00E271EE" w:rsidRPr="001E491B" w:rsidTr="00E271EE">
        <w:trPr>
          <w:trHeight w:val="340"/>
          <w:jc w:val="center"/>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CID</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Clause</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Page</w:t>
            </w:r>
          </w:p>
        </w:tc>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color w:val="000000"/>
                <w:sz w:val="24"/>
                <w:szCs w:val="24"/>
              </w:rPr>
            </w:pPr>
            <w:r w:rsidRPr="001E491B">
              <w:rPr>
                <w:color w:val="000000"/>
                <w:sz w:val="24"/>
                <w:szCs w:val="24"/>
              </w:rPr>
              <w:t>Line</w:t>
            </w:r>
          </w:p>
        </w:tc>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rPr>
                <w:color w:val="000000"/>
                <w:sz w:val="24"/>
                <w:szCs w:val="24"/>
              </w:rPr>
            </w:pPr>
            <w:r w:rsidRPr="001E491B">
              <w:rPr>
                <w:color w:val="000000"/>
                <w:sz w:val="24"/>
                <w:szCs w:val="24"/>
              </w:rPr>
              <w:t>Comment</w:t>
            </w:r>
          </w:p>
        </w:tc>
        <w:tc>
          <w:tcPr>
            <w:tcW w:w="1073" w:type="pct"/>
            <w:tcBorders>
              <w:top w:val="single" w:sz="4" w:space="0" w:color="auto"/>
              <w:left w:val="single" w:sz="4" w:space="0" w:color="auto"/>
              <w:bottom w:val="single" w:sz="4" w:space="0" w:color="auto"/>
              <w:right w:val="single" w:sz="4" w:space="0" w:color="auto"/>
            </w:tcBorders>
          </w:tcPr>
          <w:p w:rsidR="00E271EE" w:rsidRPr="001E491B" w:rsidRDefault="00E271EE" w:rsidP="00E271EE">
            <w:pPr>
              <w:rPr>
                <w:sz w:val="24"/>
                <w:szCs w:val="24"/>
                <w:lang w:val="en-US"/>
              </w:rPr>
            </w:pPr>
            <w:r w:rsidRPr="001E491B">
              <w:rPr>
                <w:sz w:val="24"/>
                <w:szCs w:val="24"/>
                <w:lang w:val="en-US"/>
              </w:rPr>
              <w:t>Proposed Change</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rPr>
                <w:sz w:val="24"/>
                <w:szCs w:val="24"/>
                <w:lang w:val="en-US"/>
              </w:rPr>
            </w:pPr>
            <w:r>
              <w:rPr>
                <w:sz w:val="24"/>
                <w:szCs w:val="24"/>
                <w:lang w:val="en-US"/>
              </w:rPr>
              <w:t>Resolution</w:t>
            </w:r>
          </w:p>
        </w:tc>
      </w:tr>
      <w:tr w:rsidR="00E271EE" w:rsidRPr="001E491B"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12107</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C.3</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19</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Unresolved "TBD".</w:t>
            </w:r>
          </w:p>
        </w:tc>
        <w:tc>
          <w:tcPr>
            <w:tcW w:w="1073" w:type="pct"/>
          </w:tcPr>
          <w:p w:rsidR="00E271EE" w:rsidRPr="001E491B" w:rsidRDefault="00E271EE" w:rsidP="00E271EE">
            <w:pPr>
              <w:rPr>
                <w:sz w:val="24"/>
                <w:szCs w:val="24"/>
                <w:lang w:val="en-US"/>
              </w:rPr>
            </w:pPr>
            <w:r w:rsidRPr="0083169D">
              <w:rPr>
                <w:sz w:val="24"/>
                <w:szCs w:val="24"/>
                <w:lang w:val="en-US"/>
              </w:rPr>
              <w:t>Resolve it.</w:t>
            </w:r>
          </w:p>
        </w:tc>
        <w:tc>
          <w:tcPr>
            <w:tcW w:w="1073" w:type="pct"/>
            <w:shd w:val="clear" w:color="auto" w:fill="auto"/>
          </w:tcPr>
          <w:p w:rsidR="00E271EE" w:rsidRDefault="00E271EE" w:rsidP="00E271EE">
            <w:pPr>
              <w:rPr>
                <w:sz w:val="24"/>
                <w:szCs w:val="24"/>
                <w:lang w:val="en-US"/>
              </w:rPr>
            </w:pPr>
            <w:r>
              <w:rPr>
                <w:sz w:val="24"/>
                <w:szCs w:val="24"/>
                <w:lang w:val="en-US"/>
              </w:rPr>
              <w:t>Revised</w:t>
            </w:r>
          </w:p>
          <w:p w:rsidR="00E6041D" w:rsidRDefault="00E6041D" w:rsidP="00E271EE">
            <w:pPr>
              <w:rPr>
                <w:sz w:val="24"/>
                <w:szCs w:val="24"/>
                <w:lang w:val="en-US"/>
              </w:rPr>
            </w:pPr>
          </w:p>
          <w:p w:rsidR="00B73195" w:rsidRDefault="00B73195" w:rsidP="00E271EE">
            <w:pPr>
              <w:rPr>
                <w:sz w:val="24"/>
                <w:szCs w:val="24"/>
                <w:lang w:val="en-US"/>
              </w:rPr>
            </w:pPr>
            <w:r>
              <w:rPr>
                <w:sz w:val="24"/>
                <w:szCs w:val="24"/>
                <w:lang w:val="en-US"/>
              </w:rPr>
              <w:t>Agree that the TBD needs to be resolved.</w:t>
            </w:r>
          </w:p>
          <w:p w:rsidR="00B73195" w:rsidRDefault="00B73195" w:rsidP="00E271EE">
            <w:pPr>
              <w:rPr>
                <w:sz w:val="24"/>
                <w:szCs w:val="24"/>
                <w:lang w:val="en-US"/>
              </w:rPr>
            </w:pPr>
          </w:p>
          <w:p w:rsidR="00E6041D" w:rsidRPr="001E491B" w:rsidRDefault="00E6041D" w:rsidP="007F32E0">
            <w:pPr>
              <w:rPr>
                <w:sz w:val="24"/>
                <w:szCs w:val="24"/>
                <w:lang w:val="en-US"/>
              </w:rPr>
            </w:pPr>
            <w:r w:rsidRPr="00E6041D">
              <w:rPr>
                <w:sz w:val="24"/>
                <w:szCs w:val="24"/>
                <w:lang w:val="en-US"/>
              </w:rPr>
              <w:t xml:space="preserve">TGax </w:t>
            </w:r>
            <w:r>
              <w:rPr>
                <w:sz w:val="24"/>
                <w:szCs w:val="24"/>
                <w:lang w:val="en-US"/>
              </w:rPr>
              <w:t>Editor:  Please change the text</w:t>
            </w:r>
            <w:r w:rsidRPr="00E6041D">
              <w:rPr>
                <w:sz w:val="24"/>
                <w:szCs w:val="24"/>
                <w:lang w:val="en-US"/>
              </w:rPr>
              <w:t xml:space="preserve"> as indicated in doc.: IEEE 802.11-17/</w:t>
            </w:r>
            <w:r w:rsidR="007F32E0">
              <w:rPr>
                <w:sz w:val="24"/>
                <w:szCs w:val="24"/>
                <w:lang w:val="en-US"/>
              </w:rPr>
              <w:t>1774</w:t>
            </w:r>
            <w:r w:rsidR="007F32E0" w:rsidRPr="00E6041D">
              <w:rPr>
                <w:sz w:val="24"/>
                <w:szCs w:val="24"/>
                <w:lang w:val="en-US"/>
              </w:rPr>
              <w:t>r0</w:t>
            </w:r>
            <w:r w:rsidR="007F32E0">
              <w:rPr>
                <w:sz w:val="24"/>
                <w:szCs w:val="24"/>
                <w:lang w:val="en-US"/>
              </w:rPr>
              <w:t>.</w:t>
            </w:r>
          </w:p>
        </w:tc>
      </w:tr>
      <w:tr w:rsidR="00E271EE" w:rsidRPr="001E491B"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12118</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C.3</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19</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There should be no "TBD"s in the draft - remove the "TBD" from the description of "dot11HEPunctuedPreambleRXActivated" and replace it with a meaningful description.</w:t>
            </w:r>
          </w:p>
        </w:tc>
        <w:tc>
          <w:tcPr>
            <w:tcW w:w="1073" w:type="pct"/>
          </w:tcPr>
          <w:p w:rsidR="00E271EE" w:rsidRPr="001E491B" w:rsidRDefault="00E271EE" w:rsidP="00E271EE">
            <w:pPr>
              <w:rPr>
                <w:sz w:val="24"/>
                <w:szCs w:val="24"/>
                <w:lang w:val="en-US"/>
              </w:rPr>
            </w:pPr>
            <w:r w:rsidRPr="0083169D">
              <w:rPr>
                <w:sz w:val="24"/>
                <w:szCs w:val="24"/>
                <w:lang w:val="en-US"/>
              </w:rPr>
              <w:t>Proved a meaningful description of "dot11HEPunctuedPreambleRXActivated" MIB variable</w:t>
            </w:r>
          </w:p>
        </w:tc>
        <w:tc>
          <w:tcPr>
            <w:tcW w:w="1073" w:type="pct"/>
            <w:shd w:val="clear" w:color="auto" w:fill="auto"/>
          </w:tcPr>
          <w:p w:rsidR="00E271EE" w:rsidRDefault="00E271EE" w:rsidP="00E271EE">
            <w:pPr>
              <w:rPr>
                <w:sz w:val="24"/>
                <w:szCs w:val="24"/>
                <w:lang w:val="en-US"/>
              </w:rPr>
            </w:pPr>
            <w:r>
              <w:rPr>
                <w:sz w:val="24"/>
                <w:szCs w:val="24"/>
                <w:lang w:val="en-US"/>
              </w:rPr>
              <w:t>Re</w:t>
            </w:r>
            <w:r w:rsidR="001B7EA2">
              <w:rPr>
                <w:sz w:val="24"/>
                <w:szCs w:val="24"/>
                <w:lang w:val="en-US"/>
              </w:rPr>
              <w:t>vised</w:t>
            </w:r>
          </w:p>
          <w:p w:rsidR="001B7EA2" w:rsidRDefault="001B7EA2" w:rsidP="00E271EE">
            <w:pPr>
              <w:rPr>
                <w:sz w:val="24"/>
                <w:szCs w:val="24"/>
                <w:lang w:val="en-US"/>
              </w:rPr>
            </w:pPr>
          </w:p>
          <w:p w:rsidR="001B7EA2" w:rsidRDefault="001B7EA2" w:rsidP="001B7EA2">
            <w:pPr>
              <w:rPr>
                <w:sz w:val="24"/>
                <w:szCs w:val="24"/>
                <w:lang w:val="en-US"/>
              </w:rPr>
            </w:pPr>
            <w:r>
              <w:rPr>
                <w:sz w:val="24"/>
                <w:szCs w:val="24"/>
                <w:lang w:val="en-US"/>
              </w:rPr>
              <w:t>Agree that the TBD needs to be resolved.</w:t>
            </w:r>
          </w:p>
          <w:p w:rsidR="001B7EA2" w:rsidRDefault="001B7EA2" w:rsidP="00E271EE">
            <w:pPr>
              <w:rPr>
                <w:sz w:val="24"/>
                <w:szCs w:val="24"/>
                <w:lang w:val="en-US"/>
              </w:rPr>
            </w:pPr>
          </w:p>
          <w:p w:rsidR="00250DB6" w:rsidRDefault="00250DB6" w:rsidP="00E271EE">
            <w:pPr>
              <w:rPr>
                <w:sz w:val="24"/>
                <w:szCs w:val="24"/>
                <w:lang w:val="en-US"/>
              </w:rPr>
            </w:pPr>
          </w:p>
          <w:p w:rsidR="00250DB6" w:rsidRPr="001E491B" w:rsidRDefault="001B7EA2" w:rsidP="00E271EE">
            <w:pPr>
              <w:rPr>
                <w:sz w:val="24"/>
                <w:szCs w:val="24"/>
                <w:lang w:val="en-US"/>
              </w:rPr>
            </w:pPr>
            <w:r w:rsidRPr="00E6041D">
              <w:rPr>
                <w:sz w:val="24"/>
                <w:szCs w:val="24"/>
                <w:lang w:val="en-US"/>
              </w:rPr>
              <w:t xml:space="preserve">TGax </w:t>
            </w:r>
            <w:r>
              <w:rPr>
                <w:sz w:val="24"/>
                <w:szCs w:val="24"/>
                <w:lang w:val="en-US"/>
              </w:rPr>
              <w:t>Editor:  Please change the text</w:t>
            </w:r>
            <w:r w:rsidRPr="00E6041D">
              <w:rPr>
                <w:sz w:val="24"/>
                <w:szCs w:val="24"/>
                <w:lang w:val="en-US"/>
              </w:rPr>
              <w:t xml:space="preserve"> as indicated in doc.: IEEE 802.11-17/</w:t>
            </w:r>
            <w:r>
              <w:rPr>
                <w:sz w:val="24"/>
                <w:szCs w:val="24"/>
                <w:lang w:val="en-US"/>
              </w:rPr>
              <w:t>1774</w:t>
            </w:r>
            <w:r w:rsidRPr="00E6041D">
              <w:rPr>
                <w:sz w:val="24"/>
                <w:szCs w:val="24"/>
                <w:lang w:val="en-US"/>
              </w:rPr>
              <w:t>r0</w:t>
            </w:r>
            <w:r>
              <w:rPr>
                <w:sz w:val="24"/>
                <w:szCs w:val="24"/>
                <w:lang w:val="en-US"/>
              </w:rPr>
              <w:t>.</w:t>
            </w:r>
          </w:p>
        </w:tc>
      </w:tr>
      <w:tr w:rsidR="00E271EE" w:rsidRPr="00327EE5"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13021</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C.3</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11</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The dot11HEDeviceClass object description is imcomplete. No clear mention is made to this object in the document (I'm assuming it maps to the "Device Class" subfield of the "HE Capabilities"). It is defined as an integer, but the description reads: "This attribute, when true, indicates that the STA implementation is capable of TBD.", meaning it is a boolean. In addition, what is TBD?</w:t>
            </w:r>
          </w:p>
        </w:tc>
        <w:tc>
          <w:tcPr>
            <w:tcW w:w="1073" w:type="pct"/>
          </w:tcPr>
          <w:p w:rsidR="00E271EE" w:rsidRPr="001E491B" w:rsidRDefault="00E271EE" w:rsidP="00E271EE">
            <w:pPr>
              <w:rPr>
                <w:sz w:val="24"/>
                <w:szCs w:val="24"/>
                <w:lang w:val="en-US"/>
              </w:rPr>
            </w:pPr>
            <w:r w:rsidRPr="0083169D">
              <w:rPr>
                <w:sz w:val="24"/>
                <w:szCs w:val="24"/>
                <w:lang w:val="en-US"/>
              </w:rPr>
              <w:t>Correct and complete the description of the dot11HEDeviceClass object.</w:t>
            </w:r>
          </w:p>
        </w:tc>
        <w:tc>
          <w:tcPr>
            <w:tcW w:w="1073" w:type="pct"/>
            <w:shd w:val="clear" w:color="auto" w:fill="auto"/>
          </w:tcPr>
          <w:p w:rsidR="00E271EE" w:rsidRDefault="00E271EE" w:rsidP="00E271EE">
            <w:pPr>
              <w:rPr>
                <w:sz w:val="24"/>
                <w:szCs w:val="24"/>
                <w:lang w:val="en-US"/>
              </w:rPr>
            </w:pPr>
            <w:r>
              <w:rPr>
                <w:sz w:val="24"/>
                <w:szCs w:val="24"/>
                <w:lang w:val="en-US"/>
              </w:rPr>
              <w:t>Revised</w:t>
            </w:r>
          </w:p>
          <w:p w:rsidR="00617ACD" w:rsidRDefault="00617ACD" w:rsidP="00E271EE">
            <w:pPr>
              <w:rPr>
                <w:sz w:val="24"/>
                <w:szCs w:val="24"/>
                <w:lang w:val="en-US"/>
              </w:rPr>
            </w:pPr>
          </w:p>
          <w:p w:rsidR="00B73195" w:rsidRDefault="00B73195" w:rsidP="00B73195">
            <w:pPr>
              <w:rPr>
                <w:sz w:val="24"/>
                <w:szCs w:val="24"/>
                <w:lang w:val="en-US"/>
              </w:rPr>
            </w:pPr>
            <w:r>
              <w:rPr>
                <w:sz w:val="24"/>
                <w:szCs w:val="24"/>
                <w:lang w:val="en-US"/>
              </w:rPr>
              <w:t>Agree that the syntax type is “TruthValue” rather than “Integer”.</w:t>
            </w:r>
            <w:r w:rsidR="003C1E4F">
              <w:rPr>
                <w:sz w:val="24"/>
                <w:szCs w:val="24"/>
                <w:lang w:val="en-US"/>
              </w:rPr>
              <w:t xml:space="preserve">  The TBD is about whether the non-AP STA is operating as a Class A device or a Class B device.</w:t>
            </w:r>
          </w:p>
          <w:p w:rsidR="00B73195" w:rsidRDefault="00B73195" w:rsidP="00E271EE">
            <w:pPr>
              <w:rPr>
                <w:sz w:val="24"/>
                <w:szCs w:val="24"/>
                <w:lang w:val="en-US"/>
              </w:rPr>
            </w:pPr>
          </w:p>
          <w:p w:rsidR="00617ACD" w:rsidRPr="001E491B" w:rsidRDefault="00617ACD" w:rsidP="007F32E0">
            <w:pPr>
              <w:rPr>
                <w:sz w:val="24"/>
                <w:szCs w:val="24"/>
                <w:lang w:val="en-US"/>
              </w:rPr>
            </w:pPr>
            <w:r w:rsidRPr="00E6041D">
              <w:rPr>
                <w:sz w:val="24"/>
                <w:szCs w:val="24"/>
                <w:lang w:val="en-US"/>
              </w:rPr>
              <w:t xml:space="preserve">TGax </w:t>
            </w:r>
            <w:r>
              <w:rPr>
                <w:sz w:val="24"/>
                <w:szCs w:val="24"/>
                <w:lang w:val="en-US"/>
              </w:rPr>
              <w:t>Editor:  Please change the text</w:t>
            </w:r>
            <w:r w:rsidRPr="00E6041D">
              <w:rPr>
                <w:sz w:val="24"/>
                <w:szCs w:val="24"/>
                <w:lang w:val="en-US"/>
              </w:rPr>
              <w:t xml:space="preserve"> as indicated in doc.: IEEE 802.11-17/</w:t>
            </w:r>
            <w:r w:rsidR="007F32E0">
              <w:rPr>
                <w:sz w:val="24"/>
                <w:szCs w:val="24"/>
                <w:lang w:val="en-US"/>
              </w:rPr>
              <w:t>1774</w:t>
            </w:r>
            <w:r w:rsidR="007F32E0" w:rsidRPr="00E6041D">
              <w:rPr>
                <w:sz w:val="24"/>
                <w:szCs w:val="24"/>
                <w:lang w:val="en-US"/>
              </w:rPr>
              <w:t>r0</w:t>
            </w:r>
            <w:r w:rsidR="00327EE5">
              <w:rPr>
                <w:sz w:val="24"/>
                <w:szCs w:val="24"/>
                <w:lang w:val="en-US"/>
              </w:rPr>
              <w:t>.</w:t>
            </w:r>
          </w:p>
        </w:tc>
      </w:tr>
      <w:tr w:rsidR="00E271EE" w:rsidRPr="001E491B"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lastRenderedPageBreak/>
              <w:t>13054</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Annex C</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19</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"TBD".</w:t>
            </w:r>
          </w:p>
        </w:tc>
        <w:tc>
          <w:tcPr>
            <w:tcW w:w="1073" w:type="pct"/>
          </w:tcPr>
          <w:p w:rsidR="00E271EE" w:rsidRPr="001E491B" w:rsidRDefault="00E271EE" w:rsidP="00E271EE">
            <w:pPr>
              <w:rPr>
                <w:sz w:val="24"/>
                <w:szCs w:val="24"/>
                <w:lang w:val="en-US"/>
              </w:rPr>
            </w:pPr>
            <w:r w:rsidRPr="0083169D">
              <w:rPr>
                <w:sz w:val="24"/>
                <w:szCs w:val="24"/>
                <w:lang w:val="en-US"/>
              </w:rPr>
              <w:t>replace the TBD with the intended text.</w:t>
            </w:r>
          </w:p>
        </w:tc>
        <w:tc>
          <w:tcPr>
            <w:tcW w:w="1073" w:type="pct"/>
            <w:shd w:val="clear" w:color="auto" w:fill="auto"/>
          </w:tcPr>
          <w:p w:rsidR="00E271EE" w:rsidRDefault="00E271EE" w:rsidP="00E271EE">
            <w:pPr>
              <w:rPr>
                <w:sz w:val="24"/>
                <w:szCs w:val="24"/>
                <w:lang w:val="en-US"/>
              </w:rPr>
            </w:pPr>
            <w:r>
              <w:rPr>
                <w:sz w:val="24"/>
                <w:szCs w:val="24"/>
                <w:lang w:val="en-US"/>
              </w:rPr>
              <w:t>Revised</w:t>
            </w:r>
          </w:p>
          <w:p w:rsidR="00B73195" w:rsidRDefault="00B73195" w:rsidP="00E271EE">
            <w:pPr>
              <w:rPr>
                <w:sz w:val="24"/>
                <w:szCs w:val="24"/>
                <w:lang w:val="en-US"/>
              </w:rPr>
            </w:pPr>
          </w:p>
          <w:p w:rsidR="00B73195" w:rsidRDefault="00B73195" w:rsidP="00E271EE">
            <w:pPr>
              <w:rPr>
                <w:sz w:val="24"/>
                <w:szCs w:val="24"/>
                <w:lang w:val="en-US"/>
              </w:rPr>
            </w:pPr>
            <w:r>
              <w:rPr>
                <w:sz w:val="24"/>
                <w:szCs w:val="24"/>
                <w:lang w:val="en-US"/>
              </w:rPr>
              <w:t>Agree that the TBD needs to be resolved.</w:t>
            </w:r>
          </w:p>
          <w:p w:rsidR="00617ACD" w:rsidRDefault="00617ACD" w:rsidP="00E271EE">
            <w:pPr>
              <w:rPr>
                <w:sz w:val="24"/>
                <w:szCs w:val="24"/>
                <w:lang w:val="en-US"/>
              </w:rPr>
            </w:pPr>
          </w:p>
          <w:p w:rsidR="00617ACD" w:rsidRPr="001E491B" w:rsidRDefault="00617ACD" w:rsidP="007F32E0">
            <w:pPr>
              <w:rPr>
                <w:sz w:val="24"/>
                <w:szCs w:val="24"/>
                <w:lang w:val="en-US"/>
              </w:rPr>
            </w:pPr>
            <w:r w:rsidRPr="00E6041D">
              <w:rPr>
                <w:sz w:val="24"/>
                <w:szCs w:val="24"/>
                <w:lang w:val="en-US"/>
              </w:rPr>
              <w:t xml:space="preserve">TGax </w:t>
            </w:r>
            <w:r>
              <w:rPr>
                <w:sz w:val="24"/>
                <w:szCs w:val="24"/>
                <w:lang w:val="en-US"/>
              </w:rPr>
              <w:t>Editor:  Please change the text</w:t>
            </w:r>
            <w:r w:rsidRPr="00E6041D">
              <w:rPr>
                <w:sz w:val="24"/>
                <w:szCs w:val="24"/>
                <w:lang w:val="en-US"/>
              </w:rPr>
              <w:t xml:space="preserve"> as indicated in doc.: IEEE 802.11-17/</w:t>
            </w:r>
            <w:r w:rsidR="007F32E0">
              <w:rPr>
                <w:sz w:val="24"/>
                <w:szCs w:val="24"/>
                <w:lang w:val="en-US"/>
              </w:rPr>
              <w:t>1774</w:t>
            </w:r>
            <w:r w:rsidR="007F32E0" w:rsidRPr="00E6041D">
              <w:rPr>
                <w:sz w:val="24"/>
                <w:szCs w:val="24"/>
                <w:lang w:val="en-US"/>
              </w:rPr>
              <w:t>r0</w:t>
            </w:r>
            <w:r w:rsidR="00327EE5">
              <w:rPr>
                <w:sz w:val="24"/>
                <w:szCs w:val="24"/>
                <w:lang w:val="en-US"/>
              </w:rPr>
              <w:t>.</w:t>
            </w:r>
          </w:p>
        </w:tc>
      </w:tr>
    </w:tbl>
    <w:p w:rsidR="007F2FDA" w:rsidRPr="001E491B" w:rsidRDefault="007F2FDA" w:rsidP="007F2FDA">
      <w:pPr>
        <w:rPr>
          <w:b/>
          <w:i/>
          <w:sz w:val="24"/>
          <w:szCs w:val="24"/>
        </w:rPr>
      </w:pPr>
    </w:p>
    <w:p w:rsidR="00534998" w:rsidRDefault="00534998" w:rsidP="001E491B">
      <w:pPr>
        <w:spacing w:after="240"/>
        <w:jc w:val="both"/>
        <w:rPr>
          <w:b/>
          <w:i/>
          <w:sz w:val="24"/>
          <w:szCs w:val="24"/>
        </w:rPr>
      </w:pPr>
      <w:r w:rsidRPr="001E491B">
        <w:rPr>
          <w:b/>
          <w:i/>
          <w:sz w:val="24"/>
          <w:szCs w:val="24"/>
        </w:rPr>
        <w:t>Discussion:</w:t>
      </w:r>
      <w:r w:rsidR="0083169D" w:rsidRPr="0083169D">
        <w:rPr>
          <w:b/>
          <w:i/>
          <w:sz w:val="24"/>
          <w:szCs w:val="24"/>
        </w:rPr>
        <w:t xml:space="preserve"> </w:t>
      </w:r>
    </w:p>
    <w:p w:rsidR="00DC435A" w:rsidRPr="00DC435A" w:rsidRDefault="00DC435A" w:rsidP="001E491B">
      <w:pPr>
        <w:spacing w:after="240"/>
        <w:jc w:val="both"/>
        <w:rPr>
          <w:sz w:val="24"/>
          <w:szCs w:val="24"/>
        </w:rPr>
      </w:pPr>
      <w:r w:rsidRPr="00DC435A">
        <w:rPr>
          <w:sz w:val="24"/>
          <w:szCs w:val="24"/>
        </w:rPr>
        <w:t>There is a TBD for the description of dot11HEDeviceClass as shown below:</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tblGrid>
      <w:tr w:rsidR="000F0EF3" w:rsidTr="00DC435A">
        <w:trPr>
          <w:trHeight w:val="3059"/>
        </w:trPr>
        <w:tc>
          <w:tcPr>
            <w:tcW w:w="10080" w:type="dxa"/>
          </w:tcPr>
          <w:p w:rsidR="000F0EF3" w:rsidRDefault="000F0EF3" w:rsidP="000F0EF3">
            <w:pPr>
              <w:autoSpaceDE w:val="0"/>
              <w:autoSpaceDN w:val="0"/>
              <w:adjustRightInd w:val="0"/>
              <w:ind w:left="162" w:right="162"/>
              <w:rPr>
                <w:rFonts w:ascii="TimesNewRomanPSMT" w:hAnsi="TimesNewRomanPSMT" w:cs="TimesNewRomanPSMT"/>
                <w:sz w:val="20"/>
              </w:rPr>
            </w:pPr>
          </w:p>
          <w:p w:rsidR="008753C9" w:rsidRDefault="00DC435A" w:rsidP="008753C9">
            <w:pPr>
              <w:autoSpaceDE w:val="0"/>
              <w:autoSpaceDN w:val="0"/>
              <w:adjustRightInd w:val="0"/>
              <w:ind w:left="162" w:right="162"/>
              <w:rPr>
                <w:rFonts w:ascii="TimesNewRomanPSMT" w:hAnsi="TimesNewRomanPSMT" w:cs="TimesNewRomanPSMT"/>
                <w:sz w:val="20"/>
              </w:rPr>
            </w:pPr>
            <w:r w:rsidRPr="00DC435A">
              <w:rPr>
                <w:rFonts w:ascii="Courier New" w:hAnsi="Courier New" w:cs="Courier New"/>
                <w:noProof/>
                <w:sz w:val="20"/>
                <w:lang w:val="en-US" w:eastAsia="zh-CN"/>
              </w:rPr>
              <w:drawing>
                <wp:inline distT="0" distB="0" distL="0" distR="0" wp14:anchorId="4B8977C7" wp14:editId="73C4E09C">
                  <wp:extent cx="6073775" cy="1615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8591" cy="1635184"/>
                          </a:xfrm>
                          <a:prstGeom prst="rect">
                            <a:avLst/>
                          </a:prstGeom>
                          <a:noFill/>
                          <a:ln>
                            <a:noFill/>
                          </a:ln>
                        </pic:spPr>
                      </pic:pic>
                    </a:graphicData>
                  </a:graphic>
                </wp:inline>
              </w:drawing>
            </w:r>
          </w:p>
        </w:tc>
      </w:tr>
    </w:tbl>
    <w:p w:rsidR="000F0EF3" w:rsidRDefault="000F0EF3" w:rsidP="000F0EF3">
      <w:pPr>
        <w:autoSpaceDE w:val="0"/>
        <w:autoSpaceDN w:val="0"/>
        <w:adjustRightInd w:val="0"/>
        <w:ind w:right="450"/>
        <w:rPr>
          <w:rFonts w:ascii="TimesNewRomanPSMT" w:hAnsi="TimesNewRomanPSMT" w:cs="TimesNewRomanPSMT"/>
          <w:sz w:val="20"/>
        </w:rPr>
      </w:pPr>
    </w:p>
    <w:p w:rsidR="000F0EF3" w:rsidRDefault="003913D2" w:rsidP="000F0EF3">
      <w:pPr>
        <w:autoSpaceDE w:val="0"/>
        <w:autoSpaceDN w:val="0"/>
        <w:adjustRightInd w:val="0"/>
        <w:ind w:right="450"/>
        <w:rPr>
          <w:rFonts w:ascii="TimesNewRomanPSMT" w:hAnsi="TimesNewRomanPSMT" w:cs="TimesNewRomanPSMT"/>
          <w:sz w:val="24"/>
          <w:szCs w:val="24"/>
        </w:rPr>
      </w:pPr>
      <w:r>
        <w:rPr>
          <w:rFonts w:ascii="TimesNewRomanPSMT" w:hAnsi="TimesNewRomanPSMT" w:cs="TimesNewRomanPSMT"/>
          <w:sz w:val="24"/>
          <w:szCs w:val="24"/>
        </w:rPr>
        <w:t xml:space="preserve">This attribute </w:t>
      </w:r>
      <w:r w:rsidR="008C5564">
        <w:rPr>
          <w:rFonts w:ascii="TimesNewRomanPSMT" w:hAnsi="TimesNewRomanPSMT" w:cs="TimesNewRomanPSMT"/>
          <w:sz w:val="24"/>
          <w:szCs w:val="24"/>
        </w:rPr>
        <w:t>is related to the Device Class subfield of the HE PHY Capabilities Information field (c.f., subclause 9.4.2.237.3):</w:t>
      </w:r>
    </w:p>
    <w:p w:rsidR="00F50A84" w:rsidRDefault="00F50A84" w:rsidP="000F0EF3">
      <w:pPr>
        <w:autoSpaceDE w:val="0"/>
        <w:autoSpaceDN w:val="0"/>
        <w:adjustRightInd w:val="0"/>
        <w:ind w:right="450"/>
        <w:rPr>
          <w:rFonts w:ascii="TimesNewRomanPSMT" w:hAnsi="TimesNewRomanPSMT" w:cs="TimesNewRomanPSMT"/>
          <w:sz w:val="24"/>
          <w:szCs w:val="24"/>
        </w:rPr>
      </w:pPr>
    </w:p>
    <w:tbl>
      <w:tblPr>
        <w:tblW w:w="10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50A84" w:rsidTr="00F50A84">
        <w:trPr>
          <w:trHeight w:val="1781"/>
        </w:trPr>
        <w:tc>
          <w:tcPr>
            <w:tcW w:w="10105" w:type="dxa"/>
          </w:tcPr>
          <w:p w:rsidR="00F50A84" w:rsidRDefault="00F50A84" w:rsidP="00323313">
            <w:pPr>
              <w:autoSpaceDE w:val="0"/>
              <w:autoSpaceDN w:val="0"/>
              <w:adjustRightInd w:val="0"/>
              <w:ind w:left="162" w:right="162"/>
              <w:rPr>
                <w:rFonts w:ascii="TimesNewRomanPSMT" w:hAnsi="TimesNewRomanPSMT" w:cs="TimesNewRomanPSMT"/>
                <w:sz w:val="20"/>
              </w:rPr>
            </w:pPr>
          </w:p>
          <w:p w:rsidR="00F50A84" w:rsidRDefault="00F50A84" w:rsidP="00323313">
            <w:pPr>
              <w:autoSpaceDE w:val="0"/>
              <w:autoSpaceDN w:val="0"/>
              <w:adjustRightInd w:val="0"/>
              <w:ind w:left="162" w:right="162"/>
              <w:rPr>
                <w:rFonts w:ascii="TimesNewRomanPSMT" w:hAnsi="TimesNewRomanPSMT" w:cs="TimesNewRomanPSMT"/>
                <w:sz w:val="20"/>
              </w:rPr>
            </w:pPr>
            <w:r w:rsidRPr="00F50A84">
              <w:rPr>
                <w:rFonts w:ascii="TimesNewRomanPSMT" w:hAnsi="TimesNewRomanPSMT" w:cs="TimesNewRomanPSMT"/>
                <w:noProof/>
                <w:sz w:val="24"/>
                <w:szCs w:val="24"/>
                <w:lang w:val="en-US" w:eastAsia="zh-CN"/>
              </w:rPr>
              <w:drawing>
                <wp:inline distT="0" distB="0" distL="0" distR="0" wp14:anchorId="36FCAC4F" wp14:editId="166B20DA">
                  <wp:extent cx="6210300" cy="857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468" cy="857908"/>
                          </a:xfrm>
                          <a:prstGeom prst="rect">
                            <a:avLst/>
                          </a:prstGeom>
                          <a:noFill/>
                          <a:ln>
                            <a:noFill/>
                          </a:ln>
                        </pic:spPr>
                      </pic:pic>
                    </a:graphicData>
                  </a:graphic>
                </wp:inline>
              </w:drawing>
            </w:r>
          </w:p>
        </w:tc>
      </w:tr>
    </w:tbl>
    <w:p w:rsidR="00F50A84" w:rsidRDefault="00F50A84" w:rsidP="00F50A84">
      <w:pPr>
        <w:autoSpaceDE w:val="0"/>
        <w:autoSpaceDN w:val="0"/>
        <w:adjustRightInd w:val="0"/>
        <w:ind w:left="162" w:right="162"/>
        <w:rPr>
          <w:rFonts w:ascii="TimesNewRomanPSMT" w:hAnsi="TimesNewRomanPSMT" w:cs="TimesNewRomanPSMT"/>
          <w:sz w:val="20"/>
        </w:rPr>
      </w:pPr>
    </w:p>
    <w:p w:rsidR="004D48FB" w:rsidRDefault="004D48FB" w:rsidP="004D48FB">
      <w:pPr>
        <w:spacing w:after="240"/>
        <w:jc w:val="both"/>
        <w:rPr>
          <w:b/>
          <w:i/>
          <w:sz w:val="24"/>
          <w:szCs w:val="24"/>
        </w:rPr>
      </w:pPr>
      <w:r>
        <w:rPr>
          <w:b/>
          <w:i/>
          <w:sz w:val="24"/>
          <w:szCs w:val="24"/>
        </w:rPr>
        <w:t>Proposed Resolution:</w:t>
      </w:r>
    </w:p>
    <w:p w:rsidR="004F7D88" w:rsidRPr="004F7D88" w:rsidRDefault="004F7D88" w:rsidP="004F7D88">
      <w:pPr>
        <w:rPr>
          <w:sz w:val="24"/>
          <w:szCs w:val="24"/>
        </w:rPr>
      </w:pPr>
      <w:r w:rsidRPr="004F7D88">
        <w:rPr>
          <w:b/>
          <w:sz w:val="24"/>
          <w:szCs w:val="24"/>
        </w:rPr>
        <w:t xml:space="preserve">To TGax editor: </w:t>
      </w:r>
      <w:r w:rsidRPr="004F7D88">
        <w:rPr>
          <w:sz w:val="24"/>
          <w:szCs w:val="24"/>
        </w:rPr>
        <w:t xml:space="preserve"> Please update the </w:t>
      </w:r>
      <w:r>
        <w:rPr>
          <w:sz w:val="24"/>
          <w:szCs w:val="24"/>
        </w:rPr>
        <w:t>description of dot11HEDeviceClass</w:t>
      </w:r>
      <w:r w:rsidRPr="004F7D88">
        <w:rPr>
          <w:sz w:val="24"/>
          <w:szCs w:val="24"/>
        </w:rPr>
        <w:t xml:space="preserve"> </w:t>
      </w:r>
      <w:r w:rsidR="00895C97" w:rsidRPr="00895C97">
        <w:rPr>
          <w:sz w:val="24"/>
          <w:szCs w:val="24"/>
          <w:highlight w:val="yellow"/>
        </w:rPr>
        <w:t>from 580.11 to 580.21</w:t>
      </w:r>
      <w:r w:rsidR="00895C97">
        <w:rPr>
          <w:sz w:val="24"/>
          <w:szCs w:val="24"/>
        </w:rPr>
        <w:t xml:space="preserve"> </w:t>
      </w:r>
      <w:r w:rsidRPr="004F7D88">
        <w:rPr>
          <w:sz w:val="24"/>
          <w:szCs w:val="24"/>
        </w:rPr>
        <w:t xml:space="preserve">in </w:t>
      </w:r>
      <w:r w:rsidRPr="004F7D88">
        <w:rPr>
          <w:b/>
          <w:sz w:val="24"/>
          <w:szCs w:val="24"/>
        </w:rPr>
        <w:t>P802.11ax D2.0</w:t>
      </w:r>
      <w:r w:rsidRPr="004F7D88">
        <w:rPr>
          <w:sz w:val="24"/>
          <w:szCs w:val="24"/>
        </w:rPr>
        <w:t xml:space="preserve"> with the proposed changes below.</w:t>
      </w:r>
    </w:p>
    <w:p w:rsidR="004F7D88" w:rsidRPr="004F7D88" w:rsidRDefault="004F7D88" w:rsidP="004F7D88">
      <w:pPr>
        <w:rPr>
          <w:sz w:val="24"/>
          <w:szCs w:val="24"/>
        </w:rPr>
      </w:pPr>
    </w:p>
    <w:p w:rsidR="004F7D88" w:rsidRPr="004F7D88" w:rsidRDefault="004F7D88" w:rsidP="004F7D88">
      <w:pPr>
        <w:rPr>
          <w:b/>
          <w:sz w:val="24"/>
          <w:szCs w:val="24"/>
          <w:lang w:val="en-US"/>
        </w:rPr>
      </w:pPr>
      <w:r w:rsidRPr="004F7D88">
        <w:rPr>
          <w:b/>
          <w:sz w:val="24"/>
          <w:szCs w:val="24"/>
        </w:rPr>
        <w:t>------------- Begin Text Changes ---------------</w:t>
      </w:r>
    </w:p>
    <w:p w:rsidR="004D48FB" w:rsidRDefault="004D48FB" w:rsidP="00F50A84">
      <w:pPr>
        <w:autoSpaceDE w:val="0"/>
        <w:autoSpaceDN w:val="0"/>
        <w:adjustRightInd w:val="0"/>
        <w:ind w:right="450"/>
        <w:rPr>
          <w:rFonts w:ascii="TimesNewRomanPSMT" w:hAnsi="TimesNewRomanPSMT" w:cs="TimesNewRomanPSMT"/>
          <w:sz w:val="24"/>
          <w:szCs w:val="24"/>
        </w:rPr>
      </w:pP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dot11HEDeviceClass OBJECT-TYPE</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 xml:space="preserve">SYNTAX </w:t>
      </w:r>
      <w:del w:id="0" w:author="Edward Au" w:date="2017-11-07T20:29:00Z">
        <w:r w:rsidRPr="008665AF" w:rsidDel="000A51FF">
          <w:rPr>
            <w:rFonts w:ascii="Courier New" w:hAnsi="Courier New" w:cs="Courier New"/>
            <w:szCs w:val="22"/>
          </w:rPr>
          <w:delText>INTEGER</w:delText>
        </w:r>
      </w:del>
      <w:ins w:id="1" w:author="Edward Au" w:date="2017-11-07T20:29:00Z">
        <w:r w:rsidR="000A51FF">
          <w:rPr>
            <w:rFonts w:ascii="Courier New" w:hAnsi="Courier New" w:cs="Courier New"/>
            <w:szCs w:val="22"/>
          </w:rPr>
          <w:t>TruthValue</w:t>
        </w:r>
      </w:ins>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MAX-ACCESS read-only</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STATUS current</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DESCRIPTION</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"This is a capability variable.</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lastRenderedPageBreak/>
        <w:t>Its value is determined by device capabilities.</w:t>
      </w:r>
    </w:p>
    <w:p w:rsidR="00895C97" w:rsidRPr="008665AF" w:rsidDel="001768C8" w:rsidRDefault="00895C97" w:rsidP="00895C97">
      <w:pPr>
        <w:autoSpaceDE w:val="0"/>
        <w:autoSpaceDN w:val="0"/>
        <w:adjustRightInd w:val="0"/>
        <w:ind w:right="450"/>
        <w:rPr>
          <w:del w:id="2" w:author="Edward Au" w:date="2017-11-07T20:30:00Z"/>
          <w:rFonts w:ascii="Courier New" w:hAnsi="Courier New" w:cs="Courier New"/>
          <w:szCs w:val="22"/>
        </w:rPr>
      </w:pPr>
      <w:r w:rsidRPr="008665AF">
        <w:rPr>
          <w:rFonts w:ascii="Courier New" w:hAnsi="Courier New" w:cs="Courier New"/>
          <w:szCs w:val="22"/>
        </w:rPr>
        <w:t xml:space="preserve">This attribute, when true, indicates that the </w:t>
      </w:r>
      <w:ins w:id="3" w:author="Edward Au" w:date="2017-11-08T08:38:00Z">
        <w:r w:rsidR="00FF6E75">
          <w:rPr>
            <w:rFonts w:ascii="Courier New" w:hAnsi="Courier New" w:cs="Courier New"/>
            <w:szCs w:val="22"/>
          </w:rPr>
          <w:t xml:space="preserve">non-AP </w:t>
        </w:r>
      </w:ins>
      <w:r w:rsidRPr="008665AF">
        <w:rPr>
          <w:rFonts w:ascii="Courier New" w:hAnsi="Courier New" w:cs="Courier New"/>
          <w:szCs w:val="22"/>
        </w:rPr>
        <w:t xml:space="preserve">STA </w:t>
      </w:r>
      <w:del w:id="4" w:author="Edward Au" w:date="2017-11-07T20:30:00Z">
        <w:r w:rsidRPr="008665AF" w:rsidDel="001768C8">
          <w:rPr>
            <w:rFonts w:ascii="Courier New" w:hAnsi="Courier New" w:cs="Courier New"/>
            <w:szCs w:val="22"/>
          </w:rPr>
          <w:delText>implementation is</w:delText>
        </w:r>
      </w:del>
    </w:p>
    <w:p w:rsidR="00895C97" w:rsidRPr="008665AF" w:rsidRDefault="00895C97" w:rsidP="001768C8">
      <w:pPr>
        <w:autoSpaceDE w:val="0"/>
        <w:autoSpaceDN w:val="0"/>
        <w:adjustRightInd w:val="0"/>
        <w:ind w:right="450"/>
        <w:rPr>
          <w:rFonts w:ascii="Courier New" w:hAnsi="Courier New" w:cs="Courier New"/>
          <w:szCs w:val="22"/>
        </w:rPr>
      </w:pPr>
      <w:del w:id="5" w:author="Edward Au" w:date="2017-11-07T20:30:00Z">
        <w:r w:rsidRPr="008665AF" w:rsidDel="001768C8">
          <w:rPr>
            <w:rFonts w:ascii="Courier New" w:hAnsi="Courier New" w:cs="Courier New"/>
            <w:szCs w:val="22"/>
          </w:rPr>
          <w:delText>capable of TBD</w:delText>
        </w:r>
      </w:del>
      <w:ins w:id="6" w:author="Edward Au" w:date="2017-11-07T20:30:00Z">
        <w:r w:rsidR="001768C8">
          <w:rPr>
            <w:rFonts w:ascii="Courier New" w:hAnsi="Courier New" w:cs="Courier New"/>
            <w:szCs w:val="22"/>
          </w:rPr>
          <w:t>is operating as a Class A device</w:t>
        </w:r>
      </w:ins>
      <w:r w:rsidRPr="008665AF">
        <w:rPr>
          <w:rFonts w:ascii="Courier New" w:hAnsi="Courier New" w:cs="Courier New"/>
          <w:szCs w:val="22"/>
        </w:rPr>
        <w:t>.</w:t>
      </w:r>
      <w:ins w:id="7" w:author="Edward Au" w:date="2017-11-07T20:32:00Z">
        <w:r w:rsidR="00740F87">
          <w:rPr>
            <w:rFonts w:ascii="Courier New" w:hAnsi="Courier New" w:cs="Courier New"/>
            <w:szCs w:val="22"/>
          </w:rPr>
          <w:t xml:space="preserve"> When false, this attribute indicates that the </w:t>
        </w:r>
      </w:ins>
      <w:ins w:id="8" w:author="Edward Au" w:date="2017-11-08T08:41:00Z">
        <w:r w:rsidR="00356F31">
          <w:rPr>
            <w:rFonts w:ascii="Courier New" w:hAnsi="Courier New" w:cs="Courier New"/>
            <w:szCs w:val="22"/>
          </w:rPr>
          <w:t xml:space="preserve">non-AP </w:t>
        </w:r>
      </w:ins>
      <w:ins w:id="9" w:author="Edward Au" w:date="2017-11-07T20:32:00Z">
        <w:r w:rsidR="00740F87">
          <w:rPr>
            <w:rFonts w:ascii="Courier New" w:hAnsi="Courier New" w:cs="Courier New"/>
            <w:szCs w:val="22"/>
          </w:rPr>
          <w:t>STA is operating as a Class B device.</w:t>
        </w:r>
      </w:ins>
      <w:r w:rsidRPr="008665AF">
        <w:rPr>
          <w:rFonts w:ascii="Courier New" w:hAnsi="Courier New" w:cs="Courier New"/>
          <w:szCs w:val="22"/>
        </w:rPr>
        <w:t>"</w:t>
      </w:r>
    </w:p>
    <w:p w:rsidR="008C5564"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 { dot11PhyHEEntry 8 }</w:t>
      </w:r>
    </w:p>
    <w:p w:rsidR="008C5564" w:rsidRDefault="008C5564" w:rsidP="000F0EF3">
      <w:pPr>
        <w:autoSpaceDE w:val="0"/>
        <w:autoSpaceDN w:val="0"/>
        <w:adjustRightInd w:val="0"/>
        <w:ind w:right="450"/>
        <w:rPr>
          <w:rFonts w:ascii="TimesNewRomanPSMT" w:hAnsi="TimesNewRomanPSMT" w:cs="TimesNewRomanPSMT"/>
          <w:sz w:val="24"/>
          <w:szCs w:val="24"/>
        </w:rPr>
      </w:pPr>
    </w:p>
    <w:p w:rsidR="006C1A7B" w:rsidRPr="00540615" w:rsidRDefault="00C9007B">
      <w:pPr>
        <w:rPr>
          <w:b/>
          <w:sz w:val="24"/>
          <w:szCs w:val="24"/>
          <w:lang w:val="en-US"/>
        </w:rPr>
      </w:pPr>
      <w:r w:rsidRPr="004F7D88">
        <w:rPr>
          <w:b/>
          <w:sz w:val="24"/>
          <w:szCs w:val="24"/>
        </w:rPr>
        <w:t xml:space="preserve">------------- </w:t>
      </w:r>
      <w:r>
        <w:rPr>
          <w:b/>
          <w:sz w:val="24"/>
          <w:szCs w:val="24"/>
        </w:rPr>
        <w:t xml:space="preserve">End </w:t>
      </w:r>
      <w:r w:rsidRPr="004F7D88">
        <w:rPr>
          <w:b/>
          <w:sz w:val="24"/>
          <w:szCs w:val="24"/>
        </w:rPr>
        <w:t>Text Changes ---------------</w:t>
      </w:r>
      <w:bookmarkStart w:id="10" w:name="_GoBack"/>
      <w:bookmarkEnd w:id="10"/>
    </w:p>
    <w:sectPr w:rsidR="006C1A7B" w:rsidRPr="00540615"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43" w:rsidRDefault="00601F43">
      <w:r>
        <w:separator/>
      </w:r>
    </w:p>
  </w:endnote>
  <w:endnote w:type="continuationSeparator" w:id="0">
    <w:p w:rsidR="00601F43" w:rsidRDefault="0060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01F4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356F31">
      <w:rPr>
        <w:noProof/>
      </w:rPr>
      <w:t>3</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43" w:rsidRDefault="00601F43">
      <w:r>
        <w:separator/>
      </w:r>
    </w:p>
  </w:footnote>
  <w:footnote w:type="continuationSeparator" w:id="0">
    <w:p w:rsidR="00601F43" w:rsidRDefault="0060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75569" w:rsidP="00A525F0">
    <w:pPr>
      <w:pStyle w:val="Header"/>
      <w:tabs>
        <w:tab w:val="clear" w:pos="6480"/>
        <w:tab w:val="center" w:pos="4680"/>
        <w:tab w:val="right" w:pos="9781"/>
      </w:tabs>
    </w:pPr>
    <w:r>
      <w:t>November</w:t>
    </w:r>
    <w:r w:rsidR="00CE6DA2">
      <w:t xml:space="preserve"> 2017</w:t>
    </w:r>
    <w:r w:rsidR="00E12776">
      <w:tab/>
    </w:r>
    <w:r w:rsidR="00E12776">
      <w:tab/>
      <w:t xml:space="preserve">  </w:t>
    </w:r>
    <w:r w:rsidR="00601F43">
      <w:fldChar w:fldCharType="begin"/>
    </w:r>
    <w:r w:rsidR="00601F43">
      <w:instrText xml:space="preserve"> TITLE  \* MERGEFORMAT </w:instrText>
    </w:r>
    <w:r w:rsidR="00601F43">
      <w:fldChar w:fldCharType="separate"/>
    </w:r>
    <w:r w:rsidR="00091FFE">
      <w:t>doc.: IEEE 802.11-17/1774r</w:t>
    </w:r>
    <w:r w:rsidR="001B7EA2">
      <w:t>1</w:t>
    </w:r>
    <w:r w:rsidR="00601F4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4"/>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 w:numId="4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1CF2"/>
    <w:rsid w:val="00002D35"/>
    <w:rsid w:val="00004944"/>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1FFE"/>
    <w:rsid w:val="000932A4"/>
    <w:rsid w:val="00095671"/>
    <w:rsid w:val="000A51FF"/>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D0BAE"/>
    <w:rsid w:val="000D19C9"/>
    <w:rsid w:val="000D6387"/>
    <w:rsid w:val="000D7634"/>
    <w:rsid w:val="000E010A"/>
    <w:rsid w:val="000E0737"/>
    <w:rsid w:val="000E38ED"/>
    <w:rsid w:val="000E5C0B"/>
    <w:rsid w:val="000F08FC"/>
    <w:rsid w:val="000F0EF3"/>
    <w:rsid w:val="000F26C6"/>
    <w:rsid w:val="000F2A35"/>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68C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29E"/>
    <w:rsid w:val="001A7F3A"/>
    <w:rsid w:val="001B10F1"/>
    <w:rsid w:val="001B12E0"/>
    <w:rsid w:val="001B56A9"/>
    <w:rsid w:val="001B5995"/>
    <w:rsid w:val="001B59B4"/>
    <w:rsid w:val="001B710A"/>
    <w:rsid w:val="001B7EA2"/>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C80"/>
    <w:rsid w:val="002474BE"/>
    <w:rsid w:val="00250DB6"/>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40B1"/>
    <w:rsid w:val="002B4649"/>
    <w:rsid w:val="002B4E61"/>
    <w:rsid w:val="002B5197"/>
    <w:rsid w:val="002B5477"/>
    <w:rsid w:val="002B54A4"/>
    <w:rsid w:val="002B56FB"/>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27EE5"/>
    <w:rsid w:val="00330716"/>
    <w:rsid w:val="003334E0"/>
    <w:rsid w:val="00334719"/>
    <w:rsid w:val="003348DC"/>
    <w:rsid w:val="00335CD6"/>
    <w:rsid w:val="00335F4E"/>
    <w:rsid w:val="0034084C"/>
    <w:rsid w:val="00342E60"/>
    <w:rsid w:val="00350146"/>
    <w:rsid w:val="00350488"/>
    <w:rsid w:val="00351ABD"/>
    <w:rsid w:val="00352D1C"/>
    <w:rsid w:val="00352EE7"/>
    <w:rsid w:val="00356E33"/>
    <w:rsid w:val="00356F31"/>
    <w:rsid w:val="00357109"/>
    <w:rsid w:val="0036244C"/>
    <w:rsid w:val="00362C85"/>
    <w:rsid w:val="00362D34"/>
    <w:rsid w:val="003637A4"/>
    <w:rsid w:val="003666F4"/>
    <w:rsid w:val="00367121"/>
    <w:rsid w:val="0036738C"/>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3D2"/>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C1E4F"/>
    <w:rsid w:val="003D127F"/>
    <w:rsid w:val="003D1969"/>
    <w:rsid w:val="003D2C46"/>
    <w:rsid w:val="003D5478"/>
    <w:rsid w:val="003D566E"/>
    <w:rsid w:val="003D64C9"/>
    <w:rsid w:val="003D6500"/>
    <w:rsid w:val="003E0107"/>
    <w:rsid w:val="003E0526"/>
    <w:rsid w:val="003E0B87"/>
    <w:rsid w:val="003E1AB9"/>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1E87"/>
    <w:rsid w:val="004846E6"/>
    <w:rsid w:val="00487EDF"/>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48FB"/>
    <w:rsid w:val="004D71AA"/>
    <w:rsid w:val="004E0EE2"/>
    <w:rsid w:val="004E3552"/>
    <w:rsid w:val="004E4C1E"/>
    <w:rsid w:val="004E5648"/>
    <w:rsid w:val="004E7049"/>
    <w:rsid w:val="004F2C3A"/>
    <w:rsid w:val="004F4A51"/>
    <w:rsid w:val="004F6BD1"/>
    <w:rsid w:val="004F7D88"/>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E18"/>
    <w:rsid w:val="00527FE3"/>
    <w:rsid w:val="00534998"/>
    <w:rsid w:val="005349C3"/>
    <w:rsid w:val="00540615"/>
    <w:rsid w:val="0054124B"/>
    <w:rsid w:val="0054424E"/>
    <w:rsid w:val="005446E1"/>
    <w:rsid w:val="00544D55"/>
    <w:rsid w:val="00546C62"/>
    <w:rsid w:val="00546E94"/>
    <w:rsid w:val="00547CEA"/>
    <w:rsid w:val="00551C53"/>
    <w:rsid w:val="00557BB0"/>
    <w:rsid w:val="005628F2"/>
    <w:rsid w:val="0056309E"/>
    <w:rsid w:val="00563483"/>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1F43"/>
    <w:rsid w:val="00603CDD"/>
    <w:rsid w:val="006044C9"/>
    <w:rsid w:val="00605973"/>
    <w:rsid w:val="00607296"/>
    <w:rsid w:val="006077D3"/>
    <w:rsid w:val="0061059A"/>
    <w:rsid w:val="00612457"/>
    <w:rsid w:val="0061270D"/>
    <w:rsid w:val="00617236"/>
    <w:rsid w:val="00617ACD"/>
    <w:rsid w:val="00620EB6"/>
    <w:rsid w:val="006214E7"/>
    <w:rsid w:val="0062440B"/>
    <w:rsid w:val="00625717"/>
    <w:rsid w:val="006276CE"/>
    <w:rsid w:val="006334BF"/>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5569"/>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37CE9"/>
    <w:rsid w:val="00740F4D"/>
    <w:rsid w:val="00740F87"/>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61E"/>
    <w:rsid w:val="00787F34"/>
    <w:rsid w:val="007918BA"/>
    <w:rsid w:val="0079345F"/>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936"/>
    <w:rsid w:val="007F2FDA"/>
    <w:rsid w:val="007F32E0"/>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169D"/>
    <w:rsid w:val="00832DF7"/>
    <w:rsid w:val="00833BCA"/>
    <w:rsid w:val="00836137"/>
    <w:rsid w:val="008367BB"/>
    <w:rsid w:val="00836D62"/>
    <w:rsid w:val="008374B4"/>
    <w:rsid w:val="008377A8"/>
    <w:rsid w:val="00840120"/>
    <w:rsid w:val="008405B5"/>
    <w:rsid w:val="00841972"/>
    <w:rsid w:val="00842772"/>
    <w:rsid w:val="00844665"/>
    <w:rsid w:val="00845B6C"/>
    <w:rsid w:val="00846321"/>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5AF"/>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44"/>
    <w:rsid w:val="0088526B"/>
    <w:rsid w:val="0088582D"/>
    <w:rsid w:val="0089088B"/>
    <w:rsid w:val="00892053"/>
    <w:rsid w:val="00892939"/>
    <w:rsid w:val="008930F2"/>
    <w:rsid w:val="008949B6"/>
    <w:rsid w:val="00895C97"/>
    <w:rsid w:val="008963AB"/>
    <w:rsid w:val="008A2DC0"/>
    <w:rsid w:val="008A33E8"/>
    <w:rsid w:val="008B2ADE"/>
    <w:rsid w:val="008B3913"/>
    <w:rsid w:val="008B4386"/>
    <w:rsid w:val="008B43EB"/>
    <w:rsid w:val="008C2143"/>
    <w:rsid w:val="008C242C"/>
    <w:rsid w:val="008C266E"/>
    <w:rsid w:val="008C44E2"/>
    <w:rsid w:val="008C4FA4"/>
    <w:rsid w:val="008C556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345C8"/>
    <w:rsid w:val="00934BE0"/>
    <w:rsid w:val="00934E60"/>
    <w:rsid w:val="0093629C"/>
    <w:rsid w:val="00937EFD"/>
    <w:rsid w:val="00940BC6"/>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2FF0"/>
    <w:rsid w:val="00B13BEB"/>
    <w:rsid w:val="00B14255"/>
    <w:rsid w:val="00B158C4"/>
    <w:rsid w:val="00B1630E"/>
    <w:rsid w:val="00B178B5"/>
    <w:rsid w:val="00B17C1F"/>
    <w:rsid w:val="00B220AA"/>
    <w:rsid w:val="00B24A28"/>
    <w:rsid w:val="00B25166"/>
    <w:rsid w:val="00B258D0"/>
    <w:rsid w:val="00B26BEB"/>
    <w:rsid w:val="00B276F6"/>
    <w:rsid w:val="00B27E5F"/>
    <w:rsid w:val="00B342A6"/>
    <w:rsid w:val="00B35BFA"/>
    <w:rsid w:val="00B35ECE"/>
    <w:rsid w:val="00B37AB4"/>
    <w:rsid w:val="00B4029A"/>
    <w:rsid w:val="00B41618"/>
    <w:rsid w:val="00B436B4"/>
    <w:rsid w:val="00B46EAD"/>
    <w:rsid w:val="00B51BFB"/>
    <w:rsid w:val="00B53C1C"/>
    <w:rsid w:val="00B554E3"/>
    <w:rsid w:val="00B57344"/>
    <w:rsid w:val="00B61B7A"/>
    <w:rsid w:val="00B624A0"/>
    <w:rsid w:val="00B64521"/>
    <w:rsid w:val="00B6486A"/>
    <w:rsid w:val="00B6652D"/>
    <w:rsid w:val="00B67992"/>
    <w:rsid w:val="00B73195"/>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971C9"/>
    <w:rsid w:val="00BA1DEF"/>
    <w:rsid w:val="00BA2B8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E44"/>
    <w:rsid w:val="00C875EF"/>
    <w:rsid w:val="00C9007B"/>
    <w:rsid w:val="00C95070"/>
    <w:rsid w:val="00C95D15"/>
    <w:rsid w:val="00C95E75"/>
    <w:rsid w:val="00C9724F"/>
    <w:rsid w:val="00C97DF4"/>
    <w:rsid w:val="00CA0734"/>
    <w:rsid w:val="00CA09B2"/>
    <w:rsid w:val="00CA2F80"/>
    <w:rsid w:val="00CA373B"/>
    <w:rsid w:val="00CA3B3C"/>
    <w:rsid w:val="00CA6086"/>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19E"/>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435A"/>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1EE"/>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41D"/>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776"/>
    <w:rsid w:val="00E97E6C"/>
    <w:rsid w:val="00EA0503"/>
    <w:rsid w:val="00EA263E"/>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9D4"/>
    <w:rsid w:val="00F21A0A"/>
    <w:rsid w:val="00F22CBA"/>
    <w:rsid w:val="00F22ECA"/>
    <w:rsid w:val="00F2402C"/>
    <w:rsid w:val="00F24711"/>
    <w:rsid w:val="00F2472C"/>
    <w:rsid w:val="00F256D2"/>
    <w:rsid w:val="00F26194"/>
    <w:rsid w:val="00F343F3"/>
    <w:rsid w:val="00F43304"/>
    <w:rsid w:val="00F43467"/>
    <w:rsid w:val="00F4553F"/>
    <w:rsid w:val="00F45555"/>
    <w:rsid w:val="00F47789"/>
    <w:rsid w:val="00F47AD9"/>
    <w:rsid w:val="00F47E06"/>
    <w:rsid w:val="00F50A84"/>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68F3"/>
    <w:rsid w:val="00F96B0B"/>
    <w:rsid w:val="00FA00B5"/>
    <w:rsid w:val="00FA048F"/>
    <w:rsid w:val="00FA257B"/>
    <w:rsid w:val="00FA2D37"/>
    <w:rsid w:val="00FA3C3B"/>
    <w:rsid w:val="00FA49FB"/>
    <w:rsid w:val="00FA5D2E"/>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679D"/>
    <w:rsid w:val="00FC7306"/>
    <w:rsid w:val="00FC7681"/>
    <w:rsid w:val="00FC7A0C"/>
    <w:rsid w:val="00FC7F56"/>
    <w:rsid w:val="00FD1777"/>
    <w:rsid w:val="00FD37F9"/>
    <w:rsid w:val="00FE08F4"/>
    <w:rsid w:val="00FE1265"/>
    <w:rsid w:val="00FE2E8C"/>
    <w:rsid w:val="00FF025B"/>
    <w:rsid w:val="00FF0B6E"/>
    <w:rsid w:val="00FF4411"/>
    <w:rsid w:val="00FF5B20"/>
    <w:rsid w:val="00FF63BE"/>
    <w:rsid w:val="00FF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A6BB-D7AC-4579-A9A3-95E7B077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17/1774r0</vt:lpstr>
    </vt:vector>
  </TitlesOfParts>
  <Company>Huawei Technologies</Company>
  <LinksUpToDate>false</LinksUpToDate>
  <CharactersWithSpaces>2957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17/1774r1</dc:title>
  <dc:subject>Comment Resolution for CID1014</dc:subject>
  <dc:creator>Edward Au</dc:creator>
  <cp:keywords>Submission</cp:keywords>
  <dc:description>Resolution for the TBD in Annex C.3</dc:description>
  <cp:lastModifiedBy>Edward Au</cp:lastModifiedBy>
  <cp:revision>77</cp:revision>
  <cp:lastPrinted>2011-03-31T18:31:00Z</cp:lastPrinted>
  <dcterms:created xsi:type="dcterms:W3CDTF">2016-04-15T14:25:00Z</dcterms:created>
  <dcterms:modified xsi:type="dcterms:W3CDTF">2017-11-08T13:42:00Z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