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5D3BA0">
            <w:pPr>
              <w:pStyle w:val="T2"/>
            </w:pPr>
            <w:r>
              <w:t>CC25 CID</w:t>
            </w:r>
            <w:r w:rsidR="00D358F0">
              <w:t>174 comment resolution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D358F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58F0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D358F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358F0">
              <w:rPr>
                <w:b w:val="0"/>
                <w:sz w:val="20"/>
              </w:rPr>
              <w:t>06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vAlign w:val="center"/>
          </w:tcPr>
          <w:p w:rsidR="00774E24" w:rsidRDefault="00D358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430" w:type="dxa"/>
            <w:vAlign w:val="center"/>
          </w:tcPr>
          <w:p w:rsidR="00774E24" w:rsidRDefault="00D358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D358F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petere@ieee.org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774E24" w:rsidRDefault="000A078B" w:rsidP="007F736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Default="00D358F0">
                            <w:r>
                              <w:t>R0 Proposed res</w:t>
                            </w:r>
                            <w:r w:rsidR="005D3BA0">
                              <w:t>olution to CC25 CID</w:t>
                            </w:r>
                            <w:r>
                              <w:t>174 that Coverage Classes are not interoperable</w:t>
                            </w:r>
                            <w:r w:rsidR="008E649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:rsidR="00110589" w:rsidRDefault="00D358F0">
                      <w:r>
                        <w:t>R0 Proposed res</w:t>
                      </w:r>
                      <w:r w:rsidR="005D3BA0">
                        <w:t>olution to CC25 CID</w:t>
                      </w:r>
                      <w:r>
                        <w:t>174 that Coverage Classes are not interoperable</w:t>
                      </w:r>
                      <w:r w:rsidR="008E649D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774E24" w:rsidRDefault="00774E24"/>
    <w:p w:rsidR="00774E24" w:rsidRPr="00D508F7" w:rsidRDefault="007F7363">
      <w:pPr>
        <w:rPr>
          <w:b/>
        </w:rPr>
      </w:pPr>
      <w:r w:rsidRPr="00D508F7">
        <w:rPr>
          <w:b/>
        </w:rPr>
        <w:t>Discussion:</w:t>
      </w:r>
    </w:p>
    <w:p w:rsidR="007F7363" w:rsidRDefault="007F7363">
      <w:r>
        <w:t xml:space="preserve">CID174 </w:t>
      </w:r>
      <w:r w:rsidR="00AC3521">
        <w:t>“</w:t>
      </w:r>
      <w:r w:rsidRPr="007F7363">
        <w:t xml:space="preserve">Coverage classes are not interoperable, because there is no </w:t>
      </w:r>
      <w:proofErr w:type="spellStart"/>
      <w:r w:rsidRPr="007F7363">
        <w:t>mechansim</w:t>
      </w:r>
      <w:proofErr w:type="spellEnd"/>
      <w:r w:rsidRPr="007F7363">
        <w:t xml:space="preserve"> for an AP to know whether a STA supports them (and thence to deny association if it doesn't)</w:t>
      </w:r>
      <w:r w:rsidR="00D508F7">
        <w:t>.</w:t>
      </w:r>
      <w:r w:rsidR="00AC3521">
        <w:t>”</w:t>
      </w:r>
    </w:p>
    <w:p w:rsidR="00307D12" w:rsidRDefault="00307D12">
      <w:r>
        <w:t xml:space="preserve">In general, there are </w:t>
      </w:r>
      <w:r>
        <w:t xml:space="preserve">802.11 </w:t>
      </w:r>
      <w:r>
        <w:t xml:space="preserve">bands where higher transmit power limits allow networks </w:t>
      </w:r>
      <w:r w:rsidR="004A238E">
        <w:t xml:space="preserve">operate </w:t>
      </w:r>
      <w:r>
        <w:t>over greater</w:t>
      </w:r>
      <w:r w:rsidR="004A238E">
        <w:t xml:space="preserve"> CSMA</w:t>
      </w:r>
      <w:r>
        <w:t xml:space="preserve"> diameters than PHY default timing supports</w:t>
      </w:r>
      <w:r w:rsidR="004A238E">
        <w:t>, e.g., t</w:t>
      </w:r>
      <w:r>
        <w:t>he US</w:t>
      </w:r>
      <w:r w:rsidR="004A238E">
        <w:t xml:space="preserve"> radio regulations for TVWS and the</w:t>
      </w:r>
      <w:r>
        <w:t xml:space="preserve"> </w:t>
      </w:r>
      <w:r w:rsidR="004A238E">
        <w:t xml:space="preserve">3650-3700 MHz bands. </w:t>
      </w:r>
      <w:r w:rsidR="00B02F34">
        <w:t>Coverag</w:t>
      </w:r>
      <w:r w:rsidR="00B02F34">
        <w:t xml:space="preserve">e </w:t>
      </w:r>
      <w:proofErr w:type="spellStart"/>
      <w:r w:rsidR="00B02F34">
        <w:t>Classe</w:t>
      </w:r>
      <w:proofErr w:type="spellEnd"/>
      <w:r w:rsidR="00B02F34">
        <w:t xml:space="preserve"> field is used to increase CSMA diameters, but STA associate request does not indicate support for Coverage Classes. </w:t>
      </w:r>
    </w:p>
    <w:p w:rsidR="00307D12" w:rsidRDefault="00307D12"/>
    <w:p w:rsidR="00AC3521" w:rsidRDefault="00257C08">
      <w:r>
        <w:t xml:space="preserve">10.21.5 </w:t>
      </w:r>
      <w:proofErr w:type="gramStart"/>
      <w:r>
        <w:t>Operating</w:t>
      </w:r>
      <w:proofErr w:type="gramEnd"/>
      <w:r>
        <w:t xml:space="preserve"> with coverage classes specifies operation where </w:t>
      </w:r>
      <w:r w:rsidRPr="00257C08">
        <w:t>dot11OperatingClassesRequire</w:t>
      </w:r>
      <w:r>
        <w:t>d is true and a non-zero Coverage Class fie</w:t>
      </w:r>
      <w:r w:rsidR="000B1140">
        <w:t>ld is in use,</w:t>
      </w:r>
      <w:r>
        <w:t xml:space="preserve"> where the collision radius is greater than the PHY default value. An AP can deny association to any </w:t>
      </w:r>
      <w:r w:rsidR="00307D12">
        <w:t>STA</w:t>
      </w:r>
      <w:r>
        <w:t xml:space="preserve"> </w:t>
      </w:r>
      <w:r w:rsidR="000B1140">
        <w:t>that does not have a Supported Operating Classes element with an operating class for a band that the AP uses coverage classes.</w:t>
      </w:r>
      <w:r w:rsidR="00307D12">
        <w:t xml:space="preserve"> </w:t>
      </w:r>
      <w:r w:rsidR="00B02F34">
        <w:t xml:space="preserve">An AP can change the Coverage Class value to protect CSMA operation of the most distant STAs at the expense of larger </w:t>
      </w:r>
      <w:proofErr w:type="spellStart"/>
      <w:r w:rsidR="00B02F34">
        <w:t>slottimes</w:t>
      </w:r>
      <w:proofErr w:type="spellEnd"/>
      <w:r w:rsidR="00B02F34">
        <w:t xml:space="preserve">. </w:t>
      </w:r>
    </w:p>
    <w:p w:rsidR="000B1140" w:rsidRDefault="000B1140"/>
    <w:p w:rsidR="000B1140" w:rsidRDefault="00D508F7">
      <w:r>
        <w:t xml:space="preserve">An AP can disassociate a STA for any reason, including </w:t>
      </w:r>
      <w:r w:rsidR="00AC3521">
        <w:t>where</w:t>
      </w:r>
      <w:r>
        <w:t xml:space="preserve"> the AP finds too many collisions occur </w:t>
      </w:r>
      <w:r w:rsidR="000B1140">
        <w:t>and relates excessive collisions to the operation of a STA</w:t>
      </w:r>
      <w:r>
        <w:t xml:space="preserve">. </w:t>
      </w:r>
      <w:r w:rsidR="00307D12">
        <w:t>How it would relate excessive collisions to a STA is beyond the standard.</w:t>
      </w:r>
    </w:p>
    <w:p w:rsidR="00B02F34" w:rsidRDefault="00B02F34"/>
    <w:p w:rsidR="00B02F34" w:rsidRDefault="0069671C">
      <w:r>
        <w:t>The AP uses Coverage Classes in bands where necessary.</w:t>
      </w:r>
      <w:r>
        <w:t xml:space="preserve"> We</w:t>
      </w:r>
      <w:r w:rsidR="00B02F34">
        <w:t xml:space="preserve"> propose to not </w:t>
      </w:r>
      <w:proofErr w:type="spellStart"/>
      <w:r w:rsidR="00B02F34">
        <w:t>burdon</w:t>
      </w:r>
      <w:proofErr w:type="spellEnd"/>
      <w:r w:rsidR="00B02F34">
        <w:t xml:space="preserve"> the standard with</w:t>
      </w:r>
      <w:r w:rsidR="004A5F7A">
        <w:t xml:space="preserve"> additional</w:t>
      </w:r>
      <w:r w:rsidR="00B02F34">
        <w:t xml:space="preserve"> information in associate request that </w:t>
      </w:r>
      <w:r w:rsidR="004A5F7A">
        <w:t>is un</w:t>
      </w:r>
      <w:r w:rsidR="00B02F34">
        <w:t xml:space="preserve">used outside </w:t>
      </w:r>
      <w:r w:rsidR="004A5F7A">
        <w:t xml:space="preserve">of </w:t>
      </w:r>
      <w:r w:rsidR="00B02F34">
        <w:t xml:space="preserve">bands where Coverage </w:t>
      </w:r>
      <w:r w:rsidR="004A5F7A">
        <w:t xml:space="preserve">Classes increase CSMA diameters. </w:t>
      </w:r>
    </w:p>
    <w:p w:rsidR="000B1140" w:rsidRDefault="000B1140"/>
    <w:p w:rsidR="00D508F7" w:rsidRDefault="00D508F7">
      <w:r>
        <w:t xml:space="preserve">The Carlson Wireless Rural Connect 802.11af radio products use coverage class information to form and operate networks at well over 4km collision radius. </w:t>
      </w:r>
      <w:r w:rsidR="00AC3521">
        <w:t xml:space="preserve">Other Carlson Wireless products </w:t>
      </w:r>
      <w:r w:rsidR="00257C08">
        <w:t>support 802.11af including coverage class and will interoperate with products in the field.</w:t>
      </w:r>
    </w:p>
    <w:p w:rsidR="004A238E" w:rsidRDefault="00AC3521" w:rsidP="00AC3521">
      <w:r>
        <w:t xml:space="preserve">Jim Carlson CEO of Carson Wireless wrote an email to the chair of </w:t>
      </w:r>
      <w:proofErr w:type="spellStart"/>
      <w:r>
        <w:t>REVmd</w:t>
      </w:r>
      <w:proofErr w:type="spellEnd"/>
      <w:r>
        <w:t xml:space="preserve"> stating </w:t>
      </w:r>
    </w:p>
    <w:p w:rsidR="00AC3521" w:rsidRDefault="00AC3521" w:rsidP="00AC3521">
      <w:pPr>
        <w:rPr>
          <w:sz w:val="24"/>
          <w:lang w:val="en-US"/>
        </w:rPr>
      </w:pPr>
      <w:r>
        <w:t>“</w:t>
      </w:r>
      <w:r>
        <w:t>We are producing a product using the 802.11af standard.</w:t>
      </w:r>
    </w:p>
    <w:p w:rsidR="00AC3521" w:rsidRDefault="00AC3521" w:rsidP="00AC3521"/>
    <w:p w:rsidR="00AC3521" w:rsidRDefault="00AC3521" w:rsidP="00AC3521">
      <w:r>
        <w:t>W</w:t>
      </w:r>
      <w:r>
        <w:t xml:space="preserve">e are using the </w:t>
      </w:r>
      <w:r>
        <w:t>[</w:t>
      </w:r>
      <w:r>
        <w:t>below</w:t>
      </w:r>
      <w:r>
        <w:t>]</w:t>
      </w:r>
      <w:r>
        <w:t xml:space="preserve"> collision detection back off timing and </w:t>
      </w:r>
      <w:r>
        <w:t>do not want it marked obsolete.”</w:t>
      </w:r>
    </w:p>
    <w:p w:rsidR="00774E24" w:rsidRDefault="00774E24"/>
    <w:p w:rsidR="00774E24" w:rsidRPr="00656A19" w:rsidRDefault="004A238E">
      <w:r w:rsidRPr="004A238E">
        <w:rPr>
          <w:b/>
        </w:rPr>
        <w:t>Proposed Resolution:</w:t>
      </w:r>
      <w:r w:rsidR="004A5F7A">
        <w:rPr>
          <w:b/>
        </w:rPr>
        <w:t xml:space="preserve"> REJECTED. </w:t>
      </w:r>
      <w:r w:rsidR="004A5F7A">
        <w:t xml:space="preserve">We do </w:t>
      </w:r>
      <w:r w:rsidR="004A5F7A">
        <w:t xml:space="preserve">not </w:t>
      </w:r>
      <w:proofErr w:type="spellStart"/>
      <w:r w:rsidR="004A5F7A">
        <w:t>burdon</w:t>
      </w:r>
      <w:proofErr w:type="spellEnd"/>
      <w:r w:rsidR="004A5F7A">
        <w:t xml:space="preserve"> the standard with additional information in associate request that is </w:t>
      </w:r>
      <w:r w:rsidR="004A5F7A">
        <w:t>un</w:t>
      </w:r>
      <w:r w:rsidR="004A5F7A">
        <w:t xml:space="preserve">used outside of bands where Coverage Classes increase CSMA diameters. </w:t>
      </w:r>
      <w:bookmarkStart w:id="0" w:name="_GoBack"/>
      <w:bookmarkEnd w:id="0"/>
    </w:p>
    <w:sectPr w:rsidR="00774E24" w:rsidRPr="00656A19">
      <w:headerReference w:type="default" r:id="rId6"/>
      <w:footerReference w:type="default" r:id="rId7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DE" w:rsidRDefault="00D707DE">
      <w:r>
        <w:separator/>
      </w:r>
    </w:p>
  </w:endnote>
  <w:endnote w:type="continuationSeparator" w:id="0">
    <w:p w:rsidR="00D707DE" w:rsidRDefault="00D7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9" w:rsidRDefault="00110589">
    <w:pPr>
      <w:pStyle w:val="Footer"/>
    </w:pPr>
    <w:fldSimple w:instr=" SUBJECT  \* MERGEFORMAT ">
      <w:r w:rsidR="000A078B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56A19">
      <w:rPr>
        <w:noProof/>
      </w:rPr>
      <w:t>2</w:t>
    </w:r>
    <w:r>
      <w:fldChar w:fldCharType="end"/>
    </w:r>
    <w:r>
      <w:tab/>
    </w:r>
    <w:r w:rsidR="007F7363">
      <w:t>Peter Ecclesine, Cisco Systems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DE" w:rsidRDefault="00D707DE">
      <w:r>
        <w:separator/>
      </w:r>
    </w:p>
  </w:footnote>
  <w:footnote w:type="continuationSeparator" w:id="0">
    <w:p w:rsidR="00D707DE" w:rsidRDefault="00D7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9" w:rsidRDefault="007F7363">
    <w:pPr>
      <w:pStyle w:val="Header"/>
      <w:rPr>
        <w:sz w:val="36"/>
      </w:rPr>
    </w:pPr>
    <w:r>
      <w:rPr>
        <w:sz w:val="36"/>
      </w:rPr>
      <w:t>November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 w:rsidR="000A078B">
      <w:rPr>
        <w:sz w:val="36"/>
      </w:rPr>
      <w:t>doc.: IEEE 802.11-</w:t>
    </w:r>
    <w:r>
      <w:rPr>
        <w:sz w:val="36"/>
      </w:rPr>
      <w:t>17</w:t>
    </w:r>
    <w:r w:rsidR="000A078B">
      <w:rPr>
        <w:sz w:val="36"/>
      </w:rPr>
      <w:t>/</w:t>
    </w:r>
    <w:r>
      <w:rPr>
        <w:sz w:val="36"/>
      </w:rPr>
      <w:t>1745</w:t>
    </w:r>
    <w:r w:rsidR="000A078B">
      <w:rPr>
        <w:sz w:val="36"/>
      </w:rPr>
      <w:t>r0</w:t>
    </w:r>
    <w:r w:rsidR="00110589">
      <w:rPr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B"/>
    <w:rsid w:val="00030F38"/>
    <w:rsid w:val="000A078B"/>
    <w:rsid w:val="000B1140"/>
    <w:rsid w:val="00110589"/>
    <w:rsid w:val="00257C08"/>
    <w:rsid w:val="00307D12"/>
    <w:rsid w:val="003217C1"/>
    <w:rsid w:val="00341DF0"/>
    <w:rsid w:val="004A238E"/>
    <w:rsid w:val="004A5F7A"/>
    <w:rsid w:val="004C4DC2"/>
    <w:rsid w:val="00576692"/>
    <w:rsid w:val="005D3BA0"/>
    <w:rsid w:val="00656A19"/>
    <w:rsid w:val="0069671C"/>
    <w:rsid w:val="00774E24"/>
    <w:rsid w:val="007F7363"/>
    <w:rsid w:val="008E0029"/>
    <w:rsid w:val="008E649D"/>
    <w:rsid w:val="00A13DBF"/>
    <w:rsid w:val="00AC3521"/>
    <w:rsid w:val="00AF0C7A"/>
    <w:rsid w:val="00B02F34"/>
    <w:rsid w:val="00CB365A"/>
    <w:rsid w:val="00D358F0"/>
    <w:rsid w:val="00D508F7"/>
    <w:rsid w:val="00D707DE"/>
    <w:rsid w:val="00DB1214"/>
    <w:rsid w:val="00E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E2F3A"/>
  <w15:chartTrackingRefBased/>
  <w15:docId w15:val="{031B6672-1175-4E98-BC4F-96B448F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</Template>
  <TotalTime>94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802.11-17/1745r0</vt:lpstr>
    </vt:vector>
  </TitlesOfParts>
  <Company>Some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802.11-17/1745r0</dc:title>
  <dc:subject>Submission</dc:subject>
  <dc:creator>Peter Ecclesine (pecclesi)</dc:creator>
  <cp:keywords>November 2017</cp:keywords>
  <dc:description>John Doe, Somwhere Company</dc:description>
  <cp:lastModifiedBy>Peter Ecclesine (pecclesi)</cp:lastModifiedBy>
  <cp:revision>5</cp:revision>
  <dcterms:created xsi:type="dcterms:W3CDTF">2017-11-07T01:26:00Z</dcterms:created>
  <dcterms:modified xsi:type="dcterms:W3CDTF">2017-11-07T03:00:00Z</dcterms:modified>
</cp:coreProperties>
</file>