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5C39D785" w:rsidR="00CA09B2" w:rsidRPr="003F1D4B" w:rsidRDefault="00CA09B2" w:rsidP="004D3C38">
            <w:pPr>
              <w:pStyle w:val="T2"/>
            </w:pPr>
            <w:r w:rsidRPr="003F1D4B">
              <w:t>[</w:t>
            </w:r>
            <w:r w:rsidR="001029BF">
              <w:t xml:space="preserve">Draft text for </w:t>
            </w:r>
            <w:r w:rsidR="004D3C38">
              <w:rPr>
                <w:lang w:eastAsia="zh-CN"/>
              </w:rPr>
              <w:t xml:space="preserve">Scheduling for </w:t>
            </w:r>
            <w:proofErr w:type="spellStart"/>
            <w:r w:rsidR="004D3C38">
              <w:rPr>
                <w:lang w:eastAsia="zh-CN"/>
              </w:rPr>
              <w:t>mmWave</w:t>
            </w:r>
            <w:proofErr w:type="spellEnd"/>
            <w:r w:rsidR="004D3C38">
              <w:rPr>
                <w:lang w:eastAsia="zh-CN"/>
              </w:rPr>
              <w:t xml:space="preserve"> Distribution Networks</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0E82FF66" w:rsidR="00CA09B2" w:rsidRPr="003F1D4B" w:rsidRDefault="00CA09B2" w:rsidP="00F24BF6">
            <w:pPr>
              <w:pStyle w:val="T2"/>
              <w:ind w:left="0"/>
              <w:rPr>
                <w:sz w:val="20"/>
              </w:rPr>
            </w:pPr>
            <w:r w:rsidRPr="003F1D4B">
              <w:rPr>
                <w:sz w:val="20"/>
              </w:rPr>
              <w:t>Date:</w:t>
            </w:r>
            <w:r w:rsidRPr="003F1D4B">
              <w:rPr>
                <w:b w:val="0"/>
                <w:sz w:val="20"/>
              </w:rPr>
              <w:t xml:space="preserve">  </w:t>
            </w:r>
            <w:r w:rsidR="00E72285" w:rsidRPr="003F1D4B">
              <w:rPr>
                <w:b w:val="0"/>
                <w:sz w:val="20"/>
              </w:rPr>
              <w:t>201</w:t>
            </w:r>
            <w:r w:rsidR="006420E8">
              <w:rPr>
                <w:b w:val="0"/>
                <w:sz w:val="20"/>
              </w:rPr>
              <w:t>7</w:t>
            </w:r>
            <w:r w:rsidRPr="003F1D4B">
              <w:rPr>
                <w:b w:val="0"/>
                <w:sz w:val="20"/>
              </w:rPr>
              <w:t>-</w:t>
            </w:r>
            <w:r w:rsidR="004368EF">
              <w:rPr>
                <w:b w:val="0"/>
                <w:sz w:val="20"/>
              </w:rPr>
              <w:t>1</w:t>
            </w:r>
            <w:r w:rsidR="00F24BF6">
              <w:rPr>
                <w:b w:val="0"/>
                <w:sz w:val="20"/>
              </w:rPr>
              <w:t>1</w:t>
            </w:r>
            <w:r w:rsidRPr="003F1D4B">
              <w:rPr>
                <w:b w:val="0"/>
                <w:sz w:val="20"/>
              </w:rPr>
              <w:t>-</w:t>
            </w:r>
            <w:r w:rsidR="00F24BF6">
              <w:rPr>
                <w:b w:val="0"/>
                <w:sz w:val="20"/>
              </w:rPr>
              <w:t>07</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566BAB">
        <w:trPr>
          <w:jc w:val="center"/>
        </w:trPr>
        <w:tc>
          <w:tcPr>
            <w:tcW w:w="1696" w:type="dxa"/>
            <w:vAlign w:val="center"/>
          </w:tcPr>
          <w:p w14:paraId="534D5C41" w14:textId="7DF07F31" w:rsidR="00CA09B2" w:rsidRPr="003F1D4B" w:rsidRDefault="00566BAB">
            <w:pPr>
              <w:pStyle w:val="T2"/>
              <w:spacing w:after="0"/>
              <w:ind w:left="0" w:right="0"/>
              <w:rPr>
                <w:b w:val="0"/>
                <w:sz w:val="20"/>
              </w:rPr>
            </w:pPr>
            <w:r>
              <w:rPr>
                <w:b w:val="0"/>
                <w:sz w:val="20"/>
              </w:rPr>
              <w:t>Carlos Cordeiro</w:t>
            </w:r>
          </w:p>
        </w:tc>
        <w:tc>
          <w:tcPr>
            <w:tcW w:w="1704" w:type="dxa"/>
            <w:vAlign w:val="center"/>
          </w:tcPr>
          <w:p w14:paraId="59D90686" w14:textId="0E4C801A" w:rsidR="00CA09B2" w:rsidRPr="003F1D4B" w:rsidRDefault="00566BAB">
            <w:pPr>
              <w:pStyle w:val="T2"/>
              <w:spacing w:after="0"/>
              <w:ind w:left="0" w:right="0"/>
              <w:rPr>
                <w:b w:val="0"/>
                <w:sz w:val="20"/>
              </w:rPr>
            </w:pPr>
            <w:r>
              <w:rPr>
                <w:b w:val="0"/>
                <w:sz w:val="20"/>
              </w:rPr>
              <w:t>Intel</w:t>
            </w:r>
          </w:p>
        </w:tc>
        <w:tc>
          <w:tcPr>
            <w:tcW w:w="2085" w:type="dxa"/>
            <w:vAlign w:val="center"/>
          </w:tcPr>
          <w:p w14:paraId="75DC2582" w14:textId="5BB47D35" w:rsidR="00CA09B2" w:rsidRPr="003F1D4B" w:rsidRDefault="00566BAB">
            <w:pPr>
              <w:pStyle w:val="T2"/>
              <w:spacing w:after="0"/>
              <w:ind w:left="0" w:right="0"/>
              <w:rPr>
                <w:b w:val="0"/>
                <w:sz w:val="20"/>
              </w:rPr>
            </w:pPr>
            <w:r>
              <w:rPr>
                <w:b w:val="0"/>
                <w:sz w:val="20"/>
              </w:rPr>
              <w:t>Portland, OR, USA</w:t>
            </w:r>
          </w:p>
        </w:tc>
        <w:tc>
          <w:tcPr>
            <w:tcW w:w="1456" w:type="dxa"/>
            <w:vAlign w:val="center"/>
          </w:tcPr>
          <w:p w14:paraId="1997DC79" w14:textId="77777777" w:rsidR="00CA09B2" w:rsidRPr="003F1D4B" w:rsidRDefault="00CA09B2">
            <w:pPr>
              <w:pStyle w:val="T2"/>
              <w:spacing w:after="0"/>
              <w:ind w:left="0" w:right="0"/>
              <w:rPr>
                <w:b w:val="0"/>
                <w:sz w:val="20"/>
              </w:rPr>
            </w:pPr>
          </w:p>
        </w:tc>
        <w:tc>
          <w:tcPr>
            <w:tcW w:w="2635" w:type="dxa"/>
            <w:vAlign w:val="center"/>
          </w:tcPr>
          <w:p w14:paraId="71F1C554" w14:textId="7F1C6D32" w:rsidR="00CA09B2" w:rsidRPr="00604414" w:rsidRDefault="00566BAB" w:rsidP="00B04410">
            <w:pPr>
              <w:pStyle w:val="T2"/>
              <w:spacing w:after="0"/>
              <w:ind w:left="0" w:right="0"/>
              <w:jc w:val="left"/>
              <w:rPr>
                <w:b w:val="0"/>
                <w:sz w:val="20"/>
              </w:rPr>
            </w:pPr>
            <w:r w:rsidRPr="00566BAB">
              <w:rPr>
                <w:b w:val="0"/>
                <w:sz w:val="20"/>
              </w:rPr>
              <w:t>Carlos.cordeiro@intel.com</w:t>
            </w:r>
          </w:p>
        </w:tc>
      </w:tr>
      <w:tr w:rsidR="00566BAB" w:rsidRPr="003F1D4B" w14:paraId="1BF1F254" w14:textId="77777777" w:rsidTr="00566BAB">
        <w:trPr>
          <w:jc w:val="center"/>
        </w:trPr>
        <w:tc>
          <w:tcPr>
            <w:tcW w:w="1696" w:type="dxa"/>
          </w:tcPr>
          <w:p w14:paraId="2B92E27E" w14:textId="228899E0" w:rsidR="00566BAB" w:rsidRPr="003F1D4B" w:rsidRDefault="00566BAB" w:rsidP="00566BAB">
            <w:pPr>
              <w:pStyle w:val="T2"/>
              <w:spacing w:after="0"/>
              <w:ind w:left="0" w:right="0"/>
              <w:rPr>
                <w:b w:val="0"/>
                <w:sz w:val="20"/>
              </w:rPr>
            </w:pPr>
            <w:r w:rsidRPr="00566BAB">
              <w:rPr>
                <w:b w:val="0"/>
                <w:sz w:val="20"/>
              </w:rPr>
              <w:t>Djordje Tujkovic</w:t>
            </w:r>
          </w:p>
        </w:tc>
        <w:tc>
          <w:tcPr>
            <w:tcW w:w="1704" w:type="dxa"/>
          </w:tcPr>
          <w:p w14:paraId="3D07C50E" w14:textId="6D83E589" w:rsidR="00566BAB" w:rsidRPr="003F1D4B" w:rsidRDefault="00566BAB" w:rsidP="00566BAB">
            <w:pPr>
              <w:pStyle w:val="T2"/>
              <w:spacing w:after="0"/>
              <w:ind w:left="0" w:right="0"/>
              <w:rPr>
                <w:b w:val="0"/>
                <w:sz w:val="20"/>
              </w:rPr>
            </w:pPr>
            <w:r w:rsidRPr="00566BAB">
              <w:rPr>
                <w:b w:val="0"/>
                <w:sz w:val="20"/>
              </w:rPr>
              <w:t>Facebook</w:t>
            </w:r>
          </w:p>
        </w:tc>
        <w:tc>
          <w:tcPr>
            <w:tcW w:w="2085" w:type="dxa"/>
          </w:tcPr>
          <w:p w14:paraId="6E1F7649" w14:textId="033D3C86" w:rsidR="00566BAB" w:rsidRPr="003F1D4B" w:rsidRDefault="00566BAB" w:rsidP="00566BAB">
            <w:pPr>
              <w:pStyle w:val="T2"/>
              <w:spacing w:after="0"/>
              <w:ind w:left="0" w:right="0"/>
              <w:rPr>
                <w:b w:val="0"/>
                <w:sz w:val="20"/>
              </w:rPr>
            </w:pPr>
            <w:r>
              <w:rPr>
                <w:b w:val="0"/>
                <w:sz w:val="20"/>
              </w:rPr>
              <w:t xml:space="preserve">Menlo Park, CA, </w:t>
            </w:r>
            <w:r w:rsidRPr="00566BAB">
              <w:rPr>
                <w:b w:val="0"/>
                <w:sz w:val="20"/>
              </w:rPr>
              <w:t xml:space="preserve">USA </w:t>
            </w:r>
          </w:p>
        </w:tc>
        <w:tc>
          <w:tcPr>
            <w:tcW w:w="1456" w:type="dxa"/>
          </w:tcPr>
          <w:p w14:paraId="4809C44E" w14:textId="673DB179" w:rsidR="00566BAB" w:rsidRPr="00604414" w:rsidRDefault="00566BAB" w:rsidP="00566BAB">
            <w:pPr>
              <w:pStyle w:val="T2"/>
              <w:spacing w:after="0"/>
              <w:ind w:left="0" w:right="0"/>
              <w:rPr>
                <w:b w:val="0"/>
                <w:sz w:val="20"/>
              </w:rPr>
            </w:pPr>
          </w:p>
        </w:tc>
        <w:tc>
          <w:tcPr>
            <w:tcW w:w="2635" w:type="dxa"/>
          </w:tcPr>
          <w:p w14:paraId="39BCD2DB" w14:textId="45276C4E" w:rsidR="00566BAB" w:rsidRPr="00604414" w:rsidRDefault="00566BAB" w:rsidP="00566BAB">
            <w:pPr>
              <w:pStyle w:val="T2"/>
              <w:spacing w:after="0"/>
              <w:ind w:left="0" w:right="0"/>
              <w:jc w:val="left"/>
              <w:rPr>
                <w:b w:val="0"/>
                <w:sz w:val="20"/>
              </w:rPr>
            </w:pPr>
            <w:r w:rsidRPr="00566BAB">
              <w:rPr>
                <w:b w:val="0"/>
                <w:sz w:val="20"/>
              </w:rPr>
              <w:t xml:space="preserve">djordjet@fb.com </w:t>
            </w:r>
          </w:p>
        </w:tc>
      </w:tr>
      <w:tr w:rsidR="00566BAB" w:rsidRPr="003F1D4B" w14:paraId="52BFF6A6" w14:textId="77777777" w:rsidTr="00566BAB">
        <w:trPr>
          <w:jc w:val="center"/>
        </w:trPr>
        <w:tc>
          <w:tcPr>
            <w:tcW w:w="1696" w:type="dxa"/>
            <w:vAlign w:val="center"/>
          </w:tcPr>
          <w:p w14:paraId="4DE6345E" w14:textId="13C48B87" w:rsidR="00566BAB" w:rsidRPr="003F1D4B" w:rsidRDefault="00566BAB" w:rsidP="00566BAB">
            <w:pPr>
              <w:pStyle w:val="T2"/>
              <w:spacing w:after="0"/>
              <w:ind w:left="0" w:right="0"/>
              <w:rPr>
                <w:b w:val="0"/>
                <w:sz w:val="20"/>
              </w:rPr>
            </w:pPr>
            <w:r>
              <w:rPr>
                <w:b w:val="0"/>
                <w:sz w:val="20"/>
              </w:rPr>
              <w:t>George Cherian</w:t>
            </w:r>
          </w:p>
        </w:tc>
        <w:tc>
          <w:tcPr>
            <w:tcW w:w="1704" w:type="dxa"/>
            <w:vAlign w:val="center"/>
          </w:tcPr>
          <w:p w14:paraId="1373D856" w14:textId="76298591" w:rsidR="00566BAB" w:rsidRPr="003F1D4B" w:rsidRDefault="00566BAB" w:rsidP="00566BAB">
            <w:pPr>
              <w:pStyle w:val="T2"/>
              <w:spacing w:after="0"/>
              <w:ind w:left="0" w:right="0"/>
              <w:rPr>
                <w:b w:val="0"/>
                <w:sz w:val="20"/>
              </w:rPr>
            </w:pPr>
            <w:r>
              <w:rPr>
                <w:b w:val="0"/>
                <w:sz w:val="20"/>
              </w:rPr>
              <w:t>Qualcomm</w:t>
            </w:r>
          </w:p>
        </w:tc>
        <w:tc>
          <w:tcPr>
            <w:tcW w:w="2085" w:type="dxa"/>
            <w:vAlign w:val="center"/>
          </w:tcPr>
          <w:p w14:paraId="5E3F1B14" w14:textId="14ABB11F" w:rsidR="00566BAB" w:rsidRPr="003F1D4B" w:rsidRDefault="00566BAB" w:rsidP="00566BAB">
            <w:pPr>
              <w:pStyle w:val="T2"/>
              <w:spacing w:after="0"/>
              <w:ind w:left="0" w:right="0"/>
              <w:rPr>
                <w:b w:val="0"/>
                <w:sz w:val="20"/>
              </w:rPr>
            </w:pPr>
            <w:r>
              <w:rPr>
                <w:b w:val="0"/>
                <w:sz w:val="20"/>
              </w:rPr>
              <w:t>San Diego, CA, USA</w:t>
            </w:r>
          </w:p>
        </w:tc>
        <w:tc>
          <w:tcPr>
            <w:tcW w:w="1456" w:type="dxa"/>
            <w:vAlign w:val="center"/>
          </w:tcPr>
          <w:p w14:paraId="35FEC52E" w14:textId="77777777" w:rsidR="00566BAB" w:rsidRPr="00604414" w:rsidRDefault="00566BAB" w:rsidP="00566BAB">
            <w:pPr>
              <w:pStyle w:val="T2"/>
              <w:spacing w:after="0"/>
              <w:ind w:left="0" w:right="0"/>
              <w:rPr>
                <w:b w:val="0"/>
                <w:sz w:val="20"/>
              </w:rPr>
            </w:pPr>
          </w:p>
        </w:tc>
        <w:tc>
          <w:tcPr>
            <w:tcW w:w="2635" w:type="dxa"/>
            <w:vAlign w:val="center"/>
          </w:tcPr>
          <w:p w14:paraId="09DF334E" w14:textId="17BDD1E6" w:rsidR="00566BAB" w:rsidRPr="00604414" w:rsidRDefault="00566BAB" w:rsidP="00566BAB">
            <w:pPr>
              <w:pStyle w:val="T2"/>
              <w:spacing w:after="0"/>
              <w:ind w:left="0" w:right="0"/>
              <w:jc w:val="left"/>
              <w:rPr>
                <w:b w:val="0"/>
                <w:sz w:val="20"/>
              </w:rPr>
            </w:pPr>
            <w:r w:rsidRPr="00566BAB">
              <w:rPr>
                <w:b w:val="0"/>
                <w:sz w:val="20"/>
              </w:rPr>
              <w:t>gcherian@qti.qualcomm.com</w:t>
            </w:r>
          </w:p>
        </w:tc>
      </w:tr>
      <w:tr w:rsidR="00566BAB" w:rsidRPr="003F1D4B" w14:paraId="5E1CD8F2" w14:textId="77777777" w:rsidTr="00566BAB">
        <w:trPr>
          <w:jc w:val="center"/>
        </w:trPr>
        <w:tc>
          <w:tcPr>
            <w:tcW w:w="1696" w:type="dxa"/>
            <w:vAlign w:val="center"/>
          </w:tcPr>
          <w:p w14:paraId="7C150C16" w14:textId="5CEBE19F" w:rsidR="00566BAB" w:rsidRPr="003F1D4B" w:rsidRDefault="00566BAB" w:rsidP="00566BAB">
            <w:pPr>
              <w:pStyle w:val="T2"/>
              <w:spacing w:after="0"/>
              <w:ind w:left="0" w:right="0"/>
              <w:rPr>
                <w:b w:val="0"/>
                <w:sz w:val="20"/>
              </w:rPr>
            </w:pPr>
            <w:r>
              <w:rPr>
                <w:b w:val="0"/>
                <w:sz w:val="20"/>
              </w:rPr>
              <w:t>Cheng Chen</w:t>
            </w:r>
          </w:p>
        </w:tc>
        <w:tc>
          <w:tcPr>
            <w:tcW w:w="1704" w:type="dxa"/>
            <w:vAlign w:val="center"/>
          </w:tcPr>
          <w:p w14:paraId="4E7D94CA" w14:textId="603B6C53" w:rsidR="00566BAB" w:rsidRPr="003F1D4B" w:rsidRDefault="00566BAB" w:rsidP="00566BAB">
            <w:pPr>
              <w:pStyle w:val="T2"/>
              <w:spacing w:after="0"/>
              <w:ind w:left="0" w:right="0"/>
              <w:rPr>
                <w:b w:val="0"/>
                <w:sz w:val="20"/>
              </w:rPr>
            </w:pPr>
            <w:r>
              <w:rPr>
                <w:b w:val="0"/>
                <w:sz w:val="20"/>
              </w:rPr>
              <w:t>Intel</w:t>
            </w:r>
          </w:p>
        </w:tc>
        <w:tc>
          <w:tcPr>
            <w:tcW w:w="2085" w:type="dxa"/>
            <w:vAlign w:val="center"/>
          </w:tcPr>
          <w:p w14:paraId="42C1D955" w14:textId="107F37B0" w:rsidR="00566BAB" w:rsidRPr="003F1D4B" w:rsidRDefault="00566BAB" w:rsidP="00566BAB">
            <w:pPr>
              <w:pStyle w:val="T2"/>
              <w:spacing w:after="0"/>
              <w:ind w:left="0" w:right="0"/>
              <w:rPr>
                <w:b w:val="0"/>
                <w:sz w:val="20"/>
              </w:rPr>
            </w:pPr>
            <w:r>
              <w:rPr>
                <w:b w:val="0"/>
                <w:sz w:val="20"/>
              </w:rPr>
              <w:t>Portland, OR, USA</w:t>
            </w:r>
          </w:p>
        </w:tc>
        <w:tc>
          <w:tcPr>
            <w:tcW w:w="1456" w:type="dxa"/>
            <w:vAlign w:val="center"/>
          </w:tcPr>
          <w:p w14:paraId="21BB6474" w14:textId="77777777" w:rsidR="00566BAB" w:rsidRPr="00604414" w:rsidRDefault="00566BAB" w:rsidP="00566BAB">
            <w:pPr>
              <w:pStyle w:val="T2"/>
              <w:spacing w:after="0"/>
              <w:ind w:left="0" w:right="0"/>
              <w:rPr>
                <w:b w:val="0"/>
                <w:sz w:val="20"/>
              </w:rPr>
            </w:pPr>
          </w:p>
        </w:tc>
        <w:tc>
          <w:tcPr>
            <w:tcW w:w="2635" w:type="dxa"/>
            <w:vAlign w:val="center"/>
          </w:tcPr>
          <w:p w14:paraId="2D097010" w14:textId="35893E4F" w:rsidR="00566BAB" w:rsidRPr="00604414" w:rsidRDefault="00566BAB" w:rsidP="00566BAB">
            <w:pPr>
              <w:pStyle w:val="T2"/>
              <w:spacing w:after="0"/>
              <w:ind w:left="0" w:right="0"/>
              <w:jc w:val="left"/>
              <w:rPr>
                <w:b w:val="0"/>
                <w:sz w:val="20"/>
              </w:rPr>
            </w:pPr>
            <w:r w:rsidRPr="00566BAB">
              <w:rPr>
                <w:b w:val="0"/>
                <w:sz w:val="20"/>
              </w:rPr>
              <w:t>Cheng.Chen@intel.com</w:t>
            </w:r>
          </w:p>
        </w:tc>
      </w:tr>
      <w:tr w:rsidR="00566BAB" w:rsidRPr="003F1D4B" w14:paraId="7F0B80BC" w14:textId="77777777" w:rsidTr="00566BAB">
        <w:trPr>
          <w:jc w:val="center"/>
        </w:trPr>
        <w:tc>
          <w:tcPr>
            <w:tcW w:w="1696" w:type="dxa"/>
          </w:tcPr>
          <w:p w14:paraId="6E93FC6C" w14:textId="1931D119" w:rsidR="00566BAB" w:rsidRDefault="00566BAB" w:rsidP="00566BAB">
            <w:pPr>
              <w:pStyle w:val="T2"/>
              <w:spacing w:after="0"/>
              <w:ind w:left="0" w:right="0"/>
              <w:rPr>
                <w:b w:val="0"/>
                <w:sz w:val="20"/>
              </w:rPr>
            </w:pPr>
            <w:r w:rsidRPr="00566BAB">
              <w:rPr>
                <w:b w:val="0"/>
                <w:sz w:val="20"/>
              </w:rPr>
              <w:t xml:space="preserve">Payam Torab </w:t>
            </w:r>
          </w:p>
        </w:tc>
        <w:tc>
          <w:tcPr>
            <w:tcW w:w="1704" w:type="dxa"/>
          </w:tcPr>
          <w:p w14:paraId="3E47BFC8" w14:textId="272F7729" w:rsidR="00566BAB" w:rsidRDefault="00566BAB" w:rsidP="00566BAB">
            <w:pPr>
              <w:pStyle w:val="T2"/>
              <w:spacing w:after="0"/>
              <w:ind w:left="0" w:right="0"/>
              <w:rPr>
                <w:b w:val="0"/>
                <w:sz w:val="20"/>
              </w:rPr>
            </w:pPr>
            <w:r w:rsidRPr="00566BAB">
              <w:rPr>
                <w:b w:val="0"/>
                <w:sz w:val="20"/>
              </w:rPr>
              <w:t>Facebook</w:t>
            </w:r>
          </w:p>
        </w:tc>
        <w:tc>
          <w:tcPr>
            <w:tcW w:w="2085" w:type="dxa"/>
          </w:tcPr>
          <w:p w14:paraId="619541EF" w14:textId="57999CB2" w:rsidR="00566BAB" w:rsidRPr="003F1D4B" w:rsidRDefault="00566BAB" w:rsidP="00566BAB">
            <w:pPr>
              <w:pStyle w:val="T2"/>
              <w:spacing w:after="0"/>
              <w:ind w:left="0" w:right="0"/>
              <w:rPr>
                <w:b w:val="0"/>
                <w:sz w:val="20"/>
              </w:rPr>
            </w:pPr>
            <w:r>
              <w:rPr>
                <w:b w:val="0"/>
                <w:sz w:val="20"/>
              </w:rPr>
              <w:t xml:space="preserve">Menlo Park, CA, </w:t>
            </w:r>
            <w:r w:rsidRPr="00566BAB">
              <w:rPr>
                <w:b w:val="0"/>
                <w:sz w:val="20"/>
              </w:rPr>
              <w:t>USA</w:t>
            </w:r>
          </w:p>
        </w:tc>
        <w:tc>
          <w:tcPr>
            <w:tcW w:w="1456" w:type="dxa"/>
          </w:tcPr>
          <w:p w14:paraId="360F4557" w14:textId="44CE5921" w:rsidR="00566BAB" w:rsidRPr="00604414" w:rsidRDefault="00566BAB" w:rsidP="00566BAB">
            <w:pPr>
              <w:pStyle w:val="T2"/>
              <w:spacing w:after="0"/>
              <w:ind w:left="0" w:right="0"/>
              <w:rPr>
                <w:b w:val="0"/>
                <w:sz w:val="20"/>
              </w:rPr>
            </w:pPr>
          </w:p>
        </w:tc>
        <w:tc>
          <w:tcPr>
            <w:tcW w:w="2635" w:type="dxa"/>
          </w:tcPr>
          <w:p w14:paraId="02E3FA71" w14:textId="22858144" w:rsidR="00566BAB" w:rsidRDefault="00566BAB" w:rsidP="00566BAB">
            <w:pPr>
              <w:pStyle w:val="T2"/>
              <w:spacing w:after="0"/>
              <w:ind w:left="0" w:right="0"/>
              <w:jc w:val="left"/>
              <w:rPr>
                <w:b w:val="0"/>
                <w:sz w:val="20"/>
              </w:rPr>
            </w:pPr>
            <w:r w:rsidRPr="00566BAB">
              <w:rPr>
                <w:b w:val="0"/>
                <w:sz w:val="20"/>
              </w:rPr>
              <w:t>ptorab@fb.com</w:t>
            </w:r>
          </w:p>
        </w:tc>
      </w:tr>
      <w:tr w:rsidR="00566BAB" w:rsidRPr="003F1D4B" w14:paraId="05A64379" w14:textId="77777777" w:rsidTr="00566BAB">
        <w:trPr>
          <w:jc w:val="center"/>
        </w:trPr>
        <w:tc>
          <w:tcPr>
            <w:tcW w:w="1696" w:type="dxa"/>
          </w:tcPr>
          <w:p w14:paraId="4535E369" w14:textId="4FBA2171" w:rsidR="00566BAB" w:rsidRDefault="00566BAB" w:rsidP="00566BAB">
            <w:pPr>
              <w:pStyle w:val="T2"/>
              <w:spacing w:after="0"/>
              <w:ind w:left="0" w:right="0"/>
              <w:rPr>
                <w:b w:val="0"/>
                <w:sz w:val="20"/>
              </w:rPr>
            </w:pPr>
            <w:r>
              <w:rPr>
                <w:b w:val="0"/>
                <w:sz w:val="20"/>
              </w:rPr>
              <w:t>Solomon Trainin</w:t>
            </w:r>
          </w:p>
        </w:tc>
        <w:tc>
          <w:tcPr>
            <w:tcW w:w="1704" w:type="dxa"/>
          </w:tcPr>
          <w:p w14:paraId="3F61FCF3" w14:textId="32A1DD1E" w:rsidR="00566BAB" w:rsidRDefault="00566BAB" w:rsidP="00566BAB">
            <w:pPr>
              <w:pStyle w:val="T2"/>
              <w:spacing w:after="0"/>
              <w:ind w:left="0" w:right="0"/>
              <w:rPr>
                <w:b w:val="0"/>
                <w:sz w:val="20"/>
              </w:rPr>
            </w:pPr>
            <w:r>
              <w:rPr>
                <w:b w:val="0"/>
                <w:sz w:val="20"/>
              </w:rPr>
              <w:t>Qualcomm</w:t>
            </w:r>
          </w:p>
        </w:tc>
        <w:tc>
          <w:tcPr>
            <w:tcW w:w="2085" w:type="dxa"/>
          </w:tcPr>
          <w:p w14:paraId="2D31CCE5" w14:textId="61173390" w:rsidR="00566BAB" w:rsidRPr="003F1D4B" w:rsidRDefault="00566BAB" w:rsidP="00566BAB">
            <w:pPr>
              <w:pStyle w:val="T2"/>
              <w:spacing w:after="0"/>
              <w:ind w:left="0" w:right="0"/>
              <w:rPr>
                <w:b w:val="0"/>
                <w:sz w:val="20"/>
              </w:rPr>
            </w:pPr>
            <w:r>
              <w:rPr>
                <w:b w:val="0"/>
                <w:sz w:val="20"/>
              </w:rPr>
              <w:t>Haifa, Israel</w:t>
            </w:r>
          </w:p>
        </w:tc>
        <w:tc>
          <w:tcPr>
            <w:tcW w:w="1456" w:type="dxa"/>
          </w:tcPr>
          <w:p w14:paraId="6A8E4621" w14:textId="08871F28" w:rsidR="00566BAB" w:rsidRPr="00604414" w:rsidRDefault="00566BAB" w:rsidP="00566BAB">
            <w:pPr>
              <w:pStyle w:val="T2"/>
              <w:spacing w:after="0"/>
              <w:ind w:left="0" w:right="0"/>
              <w:rPr>
                <w:b w:val="0"/>
                <w:sz w:val="20"/>
              </w:rPr>
            </w:pPr>
          </w:p>
        </w:tc>
        <w:tc>
          <w:tcPr>
            <w:tcW w:w="2635" w:type="dxa"/>
          </w:tcPr>
          <w:p w14:paraId="6F255121" w14:textId="38E11367" w:rsidR="00566BAB" w:rsidRDefault="00566BAB" w:rsidP="00566BAB">
            <w:pPr>
              <w:pStyle w:val="T2"/>
              <w:spacing w:after="0"/>
              <w:ind w:left="0" w:right="0"/>
              <w:jc w:val="left"/>
              <w:rPr>
                <w:b w:val="0"/>
                <w:sz w:val="20"/>
              </w:rPr>
            </w:pPr>
            <w:r w:rsidRPr="00566BAB">
              <w:rPr>
                <w:b w:val="0"/>
                <w:sz w:val="20"/>
              </w:rPr>
              <w:t>strainin@qualcomm.com</w:t>
            </w:r>
          </w:p>
        </w:tc>
      </w:tr>
      <w:tr w:rsidR="00566BAB" w:rsidRPr="003F1D4B" w14:paraId="28B70FCD" w14:textId="77777777" w:rsidTr="00566BAB">
        <w:trPr>
          <w:jc w:val="center"/>
        </w:trPr>
        <w:tc>
          <w:tcPr>
            <w:tcW w:w="1696" w:type="dxa"/>
            <w:vAlign w:val="center"/>
          </w:tcPr>
          <w:p w14:paraId="21400332" w14:textId="6FF5D408" w:rsidR="00566BAB" w:rsidRDefault="00566BAB" w:rsidP="00566BAB">
            <w:pPr>
              <w:pStyle w:val="T2"/>
              <w:spacing w:after="0"/>
              <w:ind w:left="0" w:right="0"/>
              <w:rPr>
                <w:b w:val="0"/>
                <w:sz w:val="20"/>
              </w:rPr>
            </w:pPr>
            <w:r>
              <w:rPr>
                <w:b w:val="0"/>
                <w:sz w:val="20"/>
              </w:rPr>
              <w:t>Carlos Aldana</w:t>
            </w:r>
          </w:p>
        </w:tc>
        <w:tc>
          <w:tcPr>
            <w:tcW w:w="1704" w:type="dxa"/>
            <w:vAlign w:val="center"/>
          </w:tcPr>
          <w:p w14:paraId="2FC76171" w14:textId="44D43B9B" w:rsidR="00566BAB" w:rsidRDefault="00566BAB" w:rsidP="00566BAB">
            <w:pPr>
              <w:pStyle w:val="T2"/>
              <w:spacing w:after="0"/>
              <w:ind w:left="0" w:right="0"/>
              <w:rPr>
                <w:b w:val="0"/>
                <w:sz w:val="20"/>
              </w:rPr>
            </w:pPr>
            <w:r>
              <w:rPr>
                <w:b w:val="0"/>
                <w:sz w:val="20"/>
              </w:rPr>
              <w:t>Intel</w:t>
            </w:r>
          </w:p>
        </w:tc>
        <w:tc>
          <w:tcPr>
            <w:tcW w:w="2085" w:type="dxa"/>
            <w:vAlign w:val="center"/>
          </w:tcPr>
          <w:p w14:paraId="0EF20272" w14:textId="10CD00A5" w:rsidR="00566BAB" w:rsidRPr="003F1D4B" w:rsidRDefault="00566BAB" w:rsidP="00566BAB">
            <w:pPr>
              <w:pStyle w:val="T2"/>
              <w:spacing w:after="0"/>
              <w:ind w:left="0" w:right="0"/>
              <w:rPr>
                <w:b w:val="0"/>
                <w:sz w:val="20"/>
              </w:rPr>
            </w:pPr>
            <w:r>
              <w:rPr>
                <w:b w:val="0"/>
                <w:sz w:val="20"/>
              </w:rPr>
              <w:t>Santa Clara, CA, USA</w:t>
            </w:r>
          </w:p>
        </w:tc>
        <w:tc>
          <w:tcPr>
            <w:tcW w:w="1456" w:type="dxa"/>
            <w:vAlign w:val="center"/>
          </w:tcPr>
          <w:p w14:paraId="75549372" w14:textId="77777777" w:rsidR="00566BAB" w:rsidRPr="00604414" w:rsidRDefault="00566BAB" w:rsidP="00566BAB">
            <w:pPr>
              <w:pStyle w:val="T2"/>
              <w:spacing w:after="0"/>
              <w:ind w:left="0" w:right="0"/>
              <w:rPr>
                <w:b w:val="0"/>
                <w:sz w:val="20"/>
              </w:rPr>
            </w:pPr>
          </w:p>
        </w:tc>
        <w:tc>
          <w:tcPr>
            <w:tcW w:w="2635" w:type="dxa"/>
            <w:vAlign w:val="center"/>
          </w:tcPr>
          <w:p w14:paraId="48A979EB" w14:textId="278AAA4E" w:rsidR="00566BAB" w:rsidRDefault="00566BAB" w:rsidP="00566BAB">
            <w:pPr>
              <w:pStyle w:val="T2"/>
              <w:spacing w:after="0"/>
              <w:ind w:left="0" w:right="0"/>
              <w:jc w:val="left"/>
              <w:rPr>
                <w:b w:val="0"/>
                <w:sz w:val="20"/>
              </w:rPr>
            </w:pPr>
            <w:r w:rsidRPr="00566BAB">
              <w:rPr>
                <w:b w:val="0"/>
                <w:sz w:val="20"/>
              </w:rPr>
              <w:t>Carlos.Aldana@intel.com</w:t>
            </w:r>
          </w:p>
        </w:tc>
      </w:tr>
      <w:tr w:rsidR="006D7B9F" w:rsidRPr="003F1D4B" w14:paraId="29CA5846" w14:textId="77777777" w:rsidTr="00834205">
        <w:trPr>
          <w:jc w:val="center"/>
        </w:trPr>
        <w:tc>
          <w:tcPr>
            <w:tcW w:w="1696" w:type="dxa"/>
          </w:tcPr>
          <w:p w14:paraId="61F5DA66" w14:textId="7B9DB204" w:rsidR="006D7B9F" w:rsidRDefault="006D7B9F" w:rsidP="006D7B9F">
            <w:pPr>
              <w:pStyle w:val="T2"/>
              <w:spacing w:after="0"/>
              <w:ind w:left="0" w:right="0"/>
              <w:rPr>
                <w:b w:val="0"/>
                <w:sz w:val="20"/>
              </w:rPr>
            </w:pPr>
            <w:r w:rsidRPr="00566BAB">
              <w:rPr>
                <w:b w:val="0"/>
                <w:sz w:val="20"/>
              </w:rPr>
              <w:t xml:space="preserve">Nabeel Ahmed </w:t>
            </w:r>
          </w:p>
        </w:tc>
        <w:tc>
          <w:tcPr>
            <w:tcW w:w="1704" w:type="dxa"/>
          </w:tcPr>
          <w:p w14:paraId="2FC86BC0" w14:textId="6BC343E1" w:rsidR="006D7B9F" w:rsidRDefault="006D7B9F" w:rsidP="006D7B9F">
            <w:pPr>
              <w:pStyle w:val="T2"/>
              <w:spacing w:after="0"/>
              <w:ind w:left="0" w:right="0"/>
              <w:rPr>
                <w:b w:val="0"/>
                <w:sz w:val="20"/>
              </w:rPr>
            </w:pPr>
            <w:r w:rsidRPr="00566BAB">
              <w:rPr>
                <w:b w:val="0"/>
                <w:sz w:val="20"/>
              </w:rPr>
              <w:t>Facebook</w:t>
            </w:r>
          </w:p>
        </w:tc>
        <w:tc>
          <w:tcPr>
            <w:tcW w:w="2085" w:type="dxa"/>
          </w:tcPr>
          <w:p w14:paraId="36DA5F6B" w14:textId="3D0FF577" w:rsidR="006D7B9F" w:rsidRDefault="006D7B9F" w:rsidP="006D7B9F">
            <w:pPr>
              <w:pStyle w:val="T2"/>
              <w:spacing w:after="0"/>
              <w:ind w:left="0" w:right="0"/>
              <w:rPr>
                <w:b w:val="0"/>
                <w:sz w:val="20"/>
              </w:rPr>
            </w:pPr>
            <w:r>
              <w:rPr>
                <w:b w:val="0"/>
                <w:sz w:val="20"/>
              </w:rPr>
              <w:t xml:space="preserve">Menlo Park, CA, </w:t>
            </w:r>
            <w:r w:rsidRPr="00566BAB">
              <w:rPr>
                <w:b w:val="0"/>
                <w:sz w:val="20"/>
              </w:rPr>
              <w:t>USA</w:t>
            </w:r>
          </w:p>
        </w:tc>
        <w:tc>
          <w:tcPr>
            <w:tcW w:w="1456" w:type="dxa"/>
          </w:tcPr>
          <w:p w14:paraId="728B6E53" w14:textId="77777777" w:rsidR="006D7B9F" w:rsidRPr="00604414" w:rsidRDefault="006D7B9F" w:rsidP="006D7B9F">
            <w:pPr>
              <w:pStyle w:val="T2"/>
              <w:spacing w:after="0"/>
              <w:ind w:left="0" w:right="0"/>
              <w:rPr>
                <w:b w:val="0"/>
                <w:sz w:val="20"/>
              </w:rPr>
            </w:pPr>
          </w:p>
        </w:tc>
        <w:tc>
          <w:tcPr>
            <w:tcW w:w="2635" w:type="dxa"/>
          </w:tcPr>
          <w:p w14:paraId="6A1459EA" w14:textId="2848B145" w:rsidR="006D7B9F" w:rsidRPr="00566BAB" w:rsidRDefault="006D7B9F" w:rsidP="006D7B9F">
            <w:pPr>
              <w:pStyle w:val="T2"/>
              <w:spacing w:after="0"/>
              <w:ind w:left="0" w:right="0"/>
              <w:jc w:val="left"/>
              <w:rPr>
                <w:b w:val="0"/>
                <w:sz w:val="20"/>
              </w:rPr>
            </w:pPr>
            <w:r w:rsidRPr="00566BAB">
              <w:rPr>
                <w:b w:val="0"/>
                <w:sz w:val="20"/>
              </w:rPr>
              <w:t xml:space="preserve">nabeel@fb.com </w:t>
            </w:r>
          </w:p>
        </w:tc>
      </w:tr>
      <w:tr w:rsidR="00BA1C72" w:rsidRPr="003F1D4B" w14:paraId="6D65FCCA" w14:textId="77777777" w:rsidTr="00834205">
        <w:trPr>
          <w:jc w:val="center"/>
        </w:trPr>
        <w:tc>
          <w:tcPr>
            <w:tcW w:w="1696" w:type="dxa"/>
          </w:tcPr>
          <w:p w14:paraId="01BB3F6E" w14:textId="7C9FC37F" w:rsidR="00BA1C72" w:rsidRPr="00566BAB" w:rsidRDefault="00BA1C72" w:rsidP="006D7B9F">
            <w:pPr>
              <w:pStyle w:val="T2"/>
              <w:spacing w:after="0"/>
              <w:ind w:left="0" w:right="0"/>
              <w:rPr>
                <w:b w:val="0"/>
                <w:sz w:val="20"/>
              </w:rPr>
            </w:pPr>
            <w:proofErr w:type="spellStart"/>
            <w:r>
              <w:rPr>
                <w:b w:val="0"/>
                <w:sz w:val="20"/>
              </w:rPr>
              <w:t>Saehee</w:t>
            </w:r>
            <w:proofErr w:type="spellEnd"/>
            <w:r>
              <w:rPr>
                <w:b w:val="0"/>
                <w:sz w:val="20"/>
              </w:rPr>
              <w:t xml:space="preserve"> Bang</w:t>
            </w:r>
          </w:p>
        </w:tc>
        <w:tc>
          <w:tcPr>
            <w:tcW w:w="1704" w:type="dxa"/>
          </w:tcPr>
          <w:p w14:paraId="077D0A33" w14:textId="181BD18E" w:rsidR="00BA1C72" w:rsidRPr="00566BAB" w:rsidRDefault="00BA1C72" w:rsidP="006D7B9F">
            <w:pPr>
              <w:pStyle w:val="T2"/>
              <w:spacing w:after="0"/>
              <w:ind w:left="0" w:right="0"/>
              <w:rPr>
                <w:b w:val="0"/>
                <w:sz w:val="20"/>
              </w:rPr>
            </w:pPr>
            <w:r>
              <w:rPr>
                <w:b w:val="0"/>
                <w:sz w:val="20"/>
              </w:rPr>
              <w:t>LG</w:t>
            </w:r>
          </w:p>
        </w:tc>
        <w:tc>
          <w:tcPr>
            <w:tcW w:w="2085" w:type="dxa"/>
          </w:tcPr>
          <w:p w14:paraId="62FCF296" w14:textId="7E42F625" w:rsidR="00BA1C72" w:rsidRDefault="00BA1C72" w:rsidP="006D7B9F">
            <w:pPr>
              <w:pStyle w:val="T2"/>
              <w:spacing w:after="0"/>
              <w:ind w:left="0" w:right="0"/>
              <w:rPr>
                <w:b w:val="0"/>
                <w:sz w:val="20"/>
              </w:rPr>
            </w:pPr>
            <w:r>
              <w:rPr>
                <w:b w:val="0"/>
                <w:sz w:val="20"/>
              </w:rPr>
              <w:t>Seoul, South Korea</w:t>
            </w:r>
          </w:p>
        </w:tc>
        <w:tc>
          <w:tcPr>
            <w:tcW w:w="1456" w:type="dxa"/>
          </w:tcPr>
          <w:p w14:paraId="1CF34DD6" w14:textId="77777777" w:rsidR="00BA1C72" w:rsidRPr="00604414" w:rsidRDefault="00BA1C72" w:rsidP="006D7B9F">
            <w:pPr>
              <w:pStyle w:val="T2"/>
              <w:spacing w:after="0"/>
              <w:ind w:left="0" w:right="0"/>
              <w:rPr>
                <w:b w:val="0"/>
                <w:sz w:val="20"/>
              </w:rPr>
            </w:pPr>
          </w:p>
        </w:tc>
        <w:tc>
          <w:tcPr>
            <w:tcW w:w="2635" w:type="dxa"/>
          </w:tcPr>
          <w:p w14:paraId="3CFDBDC5" w14:textId="2359AA14" w:rsidR="00BA1C72" w:rsidRPr="00566BAB" w:rsidRDefault="00BA1C72" w:rsidP="006D7B9F">
            <w:pPr>
              <w:pStyle w:val="T2"/>
              <w:spacing w:after="0"/>
              <w:ind w:left="0" w:right="0"/>
              <w:jc w:val="left"/>
              <w:rPr>
                <w:b w:val="0"/>
                <w:sz w:val="20"/>
              </w:rPr>
            </w:pPr>
            <w:r>
              <w:rPr>
                <w:b w:val="0"/>
                <w:sz w:val="20"/>
              </w:rPr>
              <w:t>Saehee.Bang@lge.com</w:t>
            </w:r>
          </w:p>
        </w:tc>
      </w:tr>
      <w:tr w:rsidR="007B29A7" w:rsidRPr="003F1D4B" w14:paraId="65A48665" w14:textId="77777777" w:rsidTr="00834205">
        <w:trPr>
          <w:jc w:val="center"/>
        </w:trPr>
        <w:tc>
          <w:tcPr>
            <w:tcW w:w="1696" w:type="dxa"/>
          </w:tcPr>
          <w:p w14:paraId="3162D9D6" w14:textId="17EF3C00" w:rsidR="007B29A7" w:rsidRDefault="007B29A7" w:rsidP="007B29A7">
            <w:pPr>
              <w:pStyle w:val="T2"/>
              <w:spacing w:after="0"/>
              <w:ind w:left="0" w:right="0"/>
              <w:rPr>
                <w:b w:val="0"/>
                <w:sz w:val="20"/>
              </w:rPr>
            </w:pPr>
            <w:r w:rsidRPr="007B29A7">
              <w:rPr>
                <w:b w:val="0"/>
                <w:sz w:val="20"/>
              </w:rPr>
              <w:t xml:space="preserve">Michael </w:t>
            </w:r>
            <w:proofErr w:type="spellStart"/>
            <w:r w:rsidRPr="007B29A7">
              <w:rPr>
                <w:b w:val="0"/>
                <w:sz w:val="20"/>
              </w:rPr>
              <w:t>Grigat</w:t>
            </w:r>
            <w:proofErr w:type="spellEnd"/>
          </w:p>
        </w:tc>
        <w:tc>
          <w:tcPr>
            <w:tcW w:w="1704" w:type="dxa"/>
          </w:tcPr>
          <w:p w14:paraId="384BA96E" w14:textId="4FDD8F5C" w:rsidR="007B29A7" w:rsidRDefault="007B29A7" w:rsidP="007B29A7">
            <w:pPr>
              <w:pStyle w:val="T2"/>
              <w:spacing w:after="0"/>
              <w:ind w:left="0" w:right="0"/>
              <w:rPr>
                <w:b w:val="0"/>
                <w:sz w:val="20"/>
              </w:rPr>
            </w:pPr>
            <w:r w:rsidRPr="007B29A7">
              <w:rPr>
                <w:b w:val="0"/>
                <w:sz w:val="20"/>
              </w:rPr>
              <w:t>Deutsche Telekom AG</w:t>
            </w:r>
          </w:p>
        </w:tc>
        <w:tc>
          <w:tcPr>
            <w:tcW w:w="2085" w:type="dxa"/>
          </w:tcPr>
          <w:p w14:paraId="49AFADC3" w14:textId="01D1A194" w:rsidR="007B29A7" w:rsidRDefault="007B29A7" w:rsidP="007B29A7">
            <w:pPr>
              <w:pStyle w:val="T2"/>
              <w:spacing w:after="0"/>
              <w:ind w:left="0" w:right="0"/>
              <w:rPr>
                <w:b w:val="0"/>
                <w:sz w:val="20"/>
              </w:rPr>
            </w:pPr>
            <w:r w:rsidRPr="007B29A7">
              <w:rPr>
                <w:b w:val="0"/>
                <w:sz w:val="20"/>
              </w:rPr>
              <w:t>Deutsche-Telekom-</w:t>
            </w:r>
            <w:proofErr w:type="spellStart"/>
            <w:r w:rsidRPr="007B29A7">
              <w:rPr>
                <w:b w:val="0"/>
                <w:sz w:val="20"/>
              </w:rPr>
              <w:t>Allee</w:t>
            </w:r>
            <w:proofErr w:type="spellEnd"/>
            <w:r w:rsidRPr="007B29A7">
              <w:rPr>
                <w:b w:val="0"/>
                <w:sz w:val="20"/>
              </w:rPr>
              <w:t xml:space="preserve"> 7,64295 Darmstadt, Germany</w:t>
            </w:r>
          </w:p>
        </w:tc>
        <w:tc>
          <w:tcPr>
            <w:tcW w:w="1456" w:type="dxa"/>
          </w:tcPr>
          <w:p w14:paraId="73A9F2A5" w14:textId="09836D19" w:rsidR="007B29A7" w:rsidRPr="00604414" w:rsidRDefault="007B29A7" w:rsidP="007B29A7">
            <w:pPr>
              <w:pStyle w:val="T2"/>
              <w:spacing w:after="0"/>
              <w:ind w:left="0" w:right="0"/>
              <w:rPr>
                <w:b w:val="0"/>
                <w:sz w:val="20"/>
              </w:rPr>
            </w:pPr>
          </w:p>
        </w:tc>
        <w:tc>
          <w:tcPr>
            <w:tcW w:w="2635" w:type="dxa"/>
          </w:tcPr>
          <w:p w14:paraId="59CE97DB" w14:textId="75D873F8" w:rsidR="007B29A7" w:rsidRDefault="007B29A7" w:rsidP="007B29A7">
            <w:pPr>
              <w:pStyle w:val="T2"/>
              <w:spacing w:after="0"/>
              <w:ind w:left="0" w:right="0"/>
              <w:jc w:val="left"/>
              <w:rPr>
                <w:b w:val="0"/>
                <w:sz w:val="20"/>
              </w:rPr>
            </w:pPr>
            <w:r w:rsidRPr="007B29A7">
              <w:rPr>
                <w:b w:val="0"/>
                <w:sz w:val="20"/>
              </w:rPr>
              <w:t>m.grigat@telekom.de</w:t>
            </w:r>
          </w:p>
        </w:tc>
        <w:bookmarkStart w:id="0" w:name="_GoBack"/>
        <w:bookmarkEnd w:id="0"/>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B79ED" w:rsidRDefault="006B79ED">
                            <w:pPr>
                              <w:pStyle w:val="T1"/>
                              <w:spacing w:after="120"/>
                            </w:pPr>
                            <w:r>
                              <w:t>Abstract</w:t>
                            </w:r>
                          </w:p>
                          <w:p w14:paraId="312CE87C" w14:textId="6B71C4E9" w:rsidR="006B79ED" w:rsidRDefault="006B79ED">
                            <w:pPr>
                              <w:jc w:val="both"/>
                            </w:pPr>
                            <w:r>
                              <w:t xml:space="preserve">[This document proposes draft changes to include scheduling mechanism for </w:t>
                            </w:r>
                            <w:proofErr w:type="spellStart"/>
                            <w:r>
                              <w:t>mmWave</w:t>
                            </w:r>
                            <w:proofErr w:type="spellEnd"/>
                            <w:r>
                              <w:t xml:space="preserve"> Distribution Networks as described in 17/1323r2.]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6B79ED" w:rsidRDefault="006B79ED">
                      <w:pPr>
                        <w:pStyle w:val="T1"/>
                        <w:spacing w:after="120"/>
                      </w:pPr>
                      <w:r>
                        <w:t>Abstract</w:t>
                      </w:r>
                    </w:p>
                    <w:p w14:paraId="312CE87C" w14:textId="6B71C4E9" w:rsidR="006B79ED" w:rsidRDefault="006B79ED">
                      <w:pPr>
                        <w:jc w:val="both"/>
                      </w:pPr>
                      <w:r>
                        <w:t xml:space="preserve">[This document proposes draft changes to include scheduling mechanism for </w:t>
                      </w:r>
                      <w:proofErr w:type="spellStart"/>
                      <w:r>
                        <w:t>mmWave</w:t>
                      </w:r>
                      <w:proofErr w:type="spellEnd"/>
                      <w:r>
                        <w:t xml:space="preserve"> Distribution Networks as described in 17/1323r2.]</w:t>
                      </w:r>
                    </w:p>
                  </w:txbxContent>
                </v:textbox>
              </v:shape>
            </w:pict>
          </mc:Fallback>
        </mc:AlternateContent>
      </w:r>
    </w:p>
    <w:p w14:paraId="1B04FACE" w14:textId="7886E0C5" w:rsidR="00FA6D24" w:rsidRPr="00F36CA8" w:rsidRDefault="00CA09B2" w:rsidP="00F36CA8">
      <w:r w:rsidRPr="003F1D4B">
        <w:br w:type="page"/>
      </w:r>
    </w:p>
    <w:p w14:paraId="676734EA" w14:textId="7CA685A6" w:rsidR="003436AA" w:rsidRDefault="003436AA" w:rsidP="003436AA">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lastRenderedPageBreak/>
        <w:t>3.1</w:t>
      </w:r>
      <w:r w:rsidRPr="002E0633">
        <w:rPr>
          <w:rFonts w:ascii="Arial-BoldMT" w:hAnsi="Arial-BoldMT" w:cs="Arial-BoldMT"/>
          <w:b/>
          <w:bCs/>
          <w:sz w:val="28"/>
          <w:szCs w:val="28"/>
          <w:lang w:val="en-US" w:eastAsia="zh-CN"/>
        </w:rPr>
        <w:t xml:space="preserve"> </w:t>
      </w:r>
      <w:r>
        <w:rPr>
          <w:rFonts w:ascii="Arial-BoldMT" w:hAnsi="Arial-BoldMT" w:cs="Arial-BoldMT" w:hint="eastAsia"/>
          <w:b/>
          <w:bCs/>
          <w:sz w:val="28"/>
          <w:szCs w:val="28"/>
          <w:lang w:val="en-US" w:eastAsia="zh-CN"/>
        </w:rPr>
        <w:t>De</w:t>
      </w:r>
      <w:r>
        <w:rPr>
          <w:rFonts w:ascii="Arial-BoldMT" w:hAnsi="Arial-BoldMT" w:cs="Arial-BoldMT"/>
          <w:b/>
          <w:bCs/>
          <w:sz w:val="28"/>
          <w:szCs w:val="28"/>
          <w:lang w:val="en-US" w:eastAsia="zh-CN"/>
        </w:rPr>
        <w:t>finitions</w:t>
      </w:r>
    </w:p>
    <w:p w14:paraId="2B83DD2C" w14:textId="77777777" w:rsidR="00575738" w:rsidRDefault="00575738" w:rsidP="003436AA">
      <w:pPr>
        <w:widowControl w:val="0"/>
        <w:autoSpaceDE w:val="0"/>
        <w:autoSpaceDN w:val="0"/>
        <w:adjustRightInd w:val="0"/>
        <w:rPr>
          <w:rFonts w:ascii="Arial-BoldMT" w:hAnsi="Arial-BoldMT" w:cs="Arial-BoldMT"/>
          <w:b/>
          <w:bCs/>
          <w:i/>
          <w:sz w:val="24"/>
          <w:szCs w:val="28"/>
          <w:lang w:val="en-US" w:eastAsia="zh-CN"/>
        </w:rPr>
      </w:pPr>
    </w:p>
    <w:p w14:paraId="676A1C79" w14:textId="72CB1C25" w:rsidR="003436AA" w:rsidRDefault="003436AA" w:rsidP="00B4459F">
      <w:pPr>
        <w:widowControl w:val="0"/>
        <w:autoSpaceDE w:val="0"/>
        <w:autoSpaceDN w:val="0"/>
        <w:adjustRightInd w:val="0"/>
        <w:outlineLvl w:val="0"/>
        <w:rPr>
          <w:rFonts w:ascii="Arial-BoldMT" w:hAnsi="Arial-BoldMT" w:cs="Arial-BoldMT"/>
          <w:b/>
          <w:bCs/>
          <w:i/>
          <w:sz w:val="28"/>
          <w:szCs w:val="28"/>
          <w:lang w:val="en-US" w:eastAsia="zh-CN"/>
        </w:rPr>
      </w:pPr>
      <w:r w:rsidRPr="00575738">
        <w:rPr>
          <w:rFonts w:ascii="Arial-BoldMT" w:hAnsi="Arial-BoldMT" w:cs="Arial-BoldMT"/>
          <w:b/>
          <w:bCs/>
          <w:i/>
          <w:sz w:val="24"/>
          <w:szCs w:val="28"/>
          <w:lang w:val="en-US" w:eastAsia="zh-CN"/>
        </w:rPr>
        <w:t>Change the following definition</w:t>
      </w:r>
      <w:r w:rsidR="00575738">
        <w:rPr>
          <w:rFonts w:ascii="Arial-BoldMT" w:hAnsi="Arial-BoldMT" w:cs="Arial-BoldMT"/>
          <w:b/>
          <w:bCs/>
          <w:i/>
          <w:sz w:val="24"/>
          <w:szCs w:val="28"/>
          <w:lang w:val="en-US" w:eastAsia="zh-CN"/>
        </w:rPr>
        <w:t>s</w:t>
      </w:r>
    </w:p>
    <w:p w14:paraId="069C0BF8" w14:textId="77777777" w:rsidR="00575738" w:rsidRPr="003436AA" w:rsidRDefault="00575738" w:rsidP="003436AA">
      <w:pPr>
        <w:widowControl w:val="0"/>
        <w:autoSpaceDE w:val="0"/>
        <w:autoSpaceDN w:val="0"/>
        <w:adjustRightInd w:val="0"/>
        <w:rPr>
          <w:rFonts w:ascii="Arial-BoldMT" w:hAnsi="Arial-BoldMT" w:cs="Arial-BoldMT"/>
          <w:b/>
          <w:bCs/>
          <w:i/>
          <w:sz w:val="28"/>
          <w:szCs w:val="28"/>
          <w:lang w:val="en-US" w:eastAsia="zh-CN"/>
        </w:rPr>
      </w:pPr>
    </w:p>
    <w:p w14:paraId="29E0A07B" w14:textId="14AE07DF" w:rsidR="009C2F9F" w:rsidRPr="002166C1" w:rsidRDefault="003436AA" w:rsidP="003436AA">
      <w:pPr>
        <w:widowControl w:val="0"/>
        <w:autoSpaceDE w:val="0"/>
        <w:autoSpaceDN w:val="0"/>
        <w:adjustRightInd w:val="0"/>
        <w:rPr>
          <w:rFonts w:ascii="TimesNewRomanPSMT" w:eastAsia="TimesNewRomanPSMT" w:hAnsi="TimesNewRomanPS-BoldMT" w:cs="TimesNewRomanPSMT"/>
          <w:sz w:val="24"/>
          <w:lang w:val="en-US" w:eastAsia="zh-CN"/>
        </w:rPr>
      </w:pPr>
      <w:r w:rsidRPr="002166C1">
        <w:rPr>
          <w:rFonts w:ascii="TimesNewRomanPS-BoldMT" w:hAnsi="TimesNewRomanPS-BoldMT" w:cs="TimesNewRomanPS-BoldMT"/>
          <w:b/>
          <w:bCs/>
          <w:sz w:val="24"/>
          <w:szCs w:val="24"/>
          <w:lang w:val="en-US" w:eastAsia="zh-CN"/>
        </w:rPr>
        <w:t>source directional multi-gigabit (DMG) station (STA)</w:t>
      </w:r>
      <w:r w:rsidRPr="002166C1">
        <w:rPr>
          <w:rFonts w:ascii="TimesNewRomanPSMT" w:eastAsia="TimesNewRomanPSMT" w:hAnsi="TimesNewRomanPS-BoldMT" w:cs="TimesNewRomanPSMT"/>
          <w:sz w:val="24"/>
          <w:szCs w:val="24"/>
          <w:lang w:val="en-US" w:eastAsia="zh-CN"/>
        </w:rPr>
        <w:t xml:space="preserve">: </w:t>
      </w:r>
      <w:r w:rsidRPr="002166C1">
        <w:rPr>
          <w:rStyle w:val="fontstyle21"/>
          <w:rFonts w:eastAsiaTheme="minorEastAsia" w:hint="default"/>
          <w:color w:val="FF0000"/>
          <w:sz w:val="24"/>
          <w:szCs w:val="24"/>
          <w:u w:val="single"/>
        </w:rPr>
        <w:t>In a service period (SP) with the</w:t>
      </w:r>
      <w:r w:rsidR="00D73A51" w:rsidRPr="002166C1">
        <w:rPr>
          <w:rStyle w:val="fontstyle21"/>
          <w:rFonts w:eastAsiaTheme="minorEastAsia" w:hint="default"/>
          <w:color w:val="FF0000"/>
          <w:sz w:val="24"/>
          <w:szCs w:val="24"/>
          <w:u w:val="single"/>
        </w:rPr>
        <w:t xml:space="preserve"> TDD Applicable SP </w:t>
      </w:r>
      <w:r w:rsidRPr="002166C1">
        <w:rPr>
          <w:rStyle w:val="fontstyle21"/>
          <w:rFonts w:eastAsiaTheme="minorEastAsia" w:hint="default"/>
          <w:color w:val="FF0000"/>
          <w:sz w:val="24"/>
          <w:szCs w:val="24"/>
          <w:u w:val="single"/>
        </w:rPr>
        <w:t xml:space="preserve">subfield equal to 1, it is </w:t>
      </w:r>
      <w:r w:rsidR="007B29A7">
        <w:rPr>
          <w:rStyle w:val="fontstyle21"/>
          <w:rFonts w:eastAsiaTheme="minorEastAsia" w:hint="default"/>
          <w:color w:val="FF0000"/>
          <w:sz w:val="24"/>
          <w:szCs w:val="24"/>
          <w:u w:val="single"/>
        </w:rPr>
        <w:t>a</w:t>
      </w:r>
      <w:r w:rsidRPr="002166C1">
        <w:rPr>
          <w:rStyle w:val="fontstyle21"/>
          <w:rFonts w:eastAsiaTheme="minorEastAsia" w:hint="default"/>
          <w:color w:val="FF0000"/>
          <w:sz w:val="24"/>
          <w:szCs w:val="24"/>
          <w:u w:val="single"/>
        </w:rPr>
        <w:t xml:space="preserve"> DMG STA that is expected to transmit at the start of each time division duplex (TDD) SP. Otherwise, it is the </w:t>
      </w:r>
      <w:r w:rsidRPr="002166C1">
        <w:rPr>
          <w:rFonts w:ascii="TimesNewRomanPSMT" w:eastAsia="TimesNewRomanPSMT" w:hAnsi="TimesNewRomanPS-BoldMT" w:cs="TimesNewRomanPSMT"/>
          <w:strike/>
          <w:color w:val="FF0000"/>
          <w:sz w:val="24"/>
          <w:szCs w:val="24"/>
          <w:lang w:val="en-US" w:eastAsia="zh-CN"/>
        </w:rPr>
        <w:t>A</w:t>
      </w:r>
      <w:r w:rsidRPr="002166C1">
        <w:rPr>
          <w:rFonts w:ascii="TimesNewRomanPSMT" w:eastAsia="TimesNewRomanPSMT" w:hAnsi="TimesNewRomanPS-BoldMT" w:cs="TimesNewRomanPSMT"/>
          <w:sz w:val="24"/>
          <w:szCs w:val="24"/>
          <w:lang w:val="en-US" w:eastAsia="zh-CN"/>
        </w:rPr>
        <w:t xml:space="preserve"> DMG STA identified by the source association</w:t>
      </w:r>
      <w:r w:rsidRPr="002166C1">
        <w:rPr>
          <w:rFonts w:ascii="TimesNewRomanPSMT" w:eastAsiaTheme="minorEastAsia" w:hAnsi="TimesNewRomanPS-BoldMT" w:cs="TimesNewRomanPSMT"/>
          <w:sz w:val="24"/>
          <w:szCs w:val="24"/>
          <w:lang w:val="en-US" w:eastAsia="zh-CN"/>
        </w:rPr>
        <w:t xml:space="preserve"> </w:t>
      </w:r>
      <w:r w:rsidRPr="002166C1">
        <w:rPr>
          <w:rFonts w:ascii="TimesNewRomanPSMT" w:eastAsia="TimesNewRomanPSMT" w:hAnsi="TimesNewRomanPS-BoldMT" w:cs="TimesNewRomanPSMT"/>
          <w:sz w:val="24"/>
          <w:szCs w:val="24"/>
          <w:lang w:val="en-US" w:eastAsia="zh-CN"/>
        </w:rPr>
        <w:t xml:space="preserve">identifier (AID) field contained in a Grant frame or Extended Schedule element that caused the allocation </w:t>
      </w:r>
      <w:r w:rsidRPr="002166C1">
        <w:rPr>
          <w:rFonts w:ascii="TimesNewRomanPSMT" w:eastAsia="TimesNewRomanPSMT" w:hAnsi="TimesNewRomanPS-BoldMT" w:cs="TimesNewRomanPSMT"/>
          <w:sz w:val="24"/>
          <w:lang w:val="en-US" w:eastAsia="zh-CN"/>
        </w:rPr>
        <w:t>of</w:t>
      </w:r>
      <w:r w:rsidRPr="002166C1">
        <w:rPr>
          <w:rFonts w:ascii="TimesNewRomanPSMT" w:eastAsiaTheme="minorEastAsia" w:hAnsi="TimesNewRomanPS-BoldMT" w:cs="TimesNewRomanPSMT"/>
          <w:sz w:val="24"/>
          <w:lang w:val="en-US" w:eastAsia="zh-CN"/>
        </w:rPr>
        <w:t xml:space="preserve"> </w:t>
      </w:r>
      <w:r w:rsidRPr="002166C1">
        <w:rPr>
          <w:rFonts w:ascii="TimesNewRomanPSMT" w:eastAsia="TimesNewRomanPSMT" w:hAnsi="TimesNewRomanPS-BoldMT" w:cs="TimesNewRomanPSMT"/>
          <w:sz w:val="24"/>
          <w:lang w:val="en-US" w:eastAsia="zh-CN"/>
        </w:rPr>
        <w:t>a service period (SP) or contention based access period (CBAP).</w:t>
      </w:r>
    </w:p>
    <w:p w14:paraId="41753EBD" w14:textId="77777777" w:rsidR="003436AA" w:rsidRPr="002166C1" w:rsidRDefault="003436AA" w:rsidP="003436AA">
      <w:pPr>
        <w:widowControl w:val="0"/>
        <w:autoSpaceDE w:val="0"/>
        <w:autoSpaceDN w:val="0"/>
        <w:adjustRightInd w:val="0"/>
        <w:rPr>
          <w:rFonts w:ascii="TimesNewRomanPSMT" w:eastAsia="TimesNewRomanPSMT" w:hAnsi="TimesNewRomanPS-BoldMT" w:cs="TimesNewRomanPSMT"/>
          <w:sz w:val="24"/>
          <w:lang w:val="en-US" w:eastAsia="zh-CN"/>
        </w:rPr>
      </w:pPr>
    </w:p>
    <w:p w14:paraId="49F4C1EF" w14:textId="47DD4725" w:rsidR="003436AA" w:rsidRPr="002166C1" w:rsidRDefault="003436AA" w:rsidP="003436AA">
      <w:pPr>
        <w:widowControl w:val="0"/>
        <w:autoSpaceDE w:val="0"/>
        <w:autoSpaceDN w:val="0"/>
        <w:adjustRightInd w:val="0"/>
        <w:rPr>
          <w:rFonts w:ascii="TimesNewRomanPSMT" w:eastAsia="TimesNewRomanPSMT" w:hAnsi="TimesNewRomanPS-BoldMT" w:cs="TimesNewRomanPSMT"/>
          <w:sz w:val="24"/>
          <w:lang w:val="en-US" w:eastAsia="zh-CN"/>
        </w:rPr>
      </w:pPr>
      <w:r w:rsidRPr="002166C1">
        <w:rPr>
          <w:rFonts w:ascii="TimesNewRomanPS-BoldMT" w:hAnsi="TimesNewRomanPS-BoldMT" w:cs="TimesNewRomanPS-BoldMT"/>
          <w:b/>
          <w:bCs/>
          <w:sz w:val="24"/>
          <w:lang w:val="en-US" w:eastAsia="zh-CN"/>
        </w:rPr>
        <w:t>destination directional multi-gigabit (DMG) station (STA)</w:t>
      </w:r>
      <w:r w:rsidRPr="002166C1">
        <w:rPr>
          <w:rFonts w:ascii="TimesNewRomanPSMT" w:eastAsia="TimesNewRomanPSMT" w:hAnsi="TimesNewRomanPS-BoldMT" w:cs="TimesNewRomanPSMT"/>
          <w:sz w:val="24"/>
          <w:lang w:val="en-US" w:eastAsia="zh-CN"/>
        </w:rPr>
        <w:t xml:space="preserve">: </w:t>
      </w:r>
      <w:r w:rsidR="00575738" w:rsidRPr="002166C1">
        <w:rPr>
          <w:rStyle w:val="fontstyle21"/>
          <w:rFonts w:eastAsiaTheme="minorEastAsia" w:hint="default"/>
          <w:color w:val="FF0000"/>
          <w:sz w:val="26"/>
          <w:u w:val="single"/>
        </w:rPr>
        <w:t>I</w:t>
      </w:r>
      <w:r w:rsidRPr="002166C1">
        <w:rPr>
          <w:rStyle w:val="fontstyle21"/>
          <w:rFonts w:eastAsiaTheme="minorEastAsia" w:hint="default"/>
          <w:color w:val="FF0000"/>
          <w:sz w:val="24"/>
          <w:u w:val="single"/>
        </w:rPr>
        <w:t xml:space="preserve">n a service period (SP) with the </w:t>
      </w:r>
      <w:r w:rsidR="00D73A51" w:rsidRPr="002166C1">
        <w:rPr>
          <w:rStyle w:val="fontstyle21"/>
          <w:rFonts w:eastAsiaTheme="minorEastAsia" w:hint="default"/>
          <w:color w:val="FF0000"/>
          <w:sz w:val="24"/>
          <w:u w:val="single"/>
        </w:rPr>
        <w:t xml:space="preserve">TDD Applicable SP </w:t>
      </w:r>
      <w:r w:rsidRPr="002166C1">
        <w:rPr>
          <w:rStyle w:val="fontstyle21"/>
          <w:rFonts w:eastAsiaTheme="minorEastAsia" w:hint="default"/>
          <w:color w:val="FF0000"/>
          <w:sz w:val="24"/>
          <w:u w:val="single"/>
        </w:rPr>
        <w:t xml:space="preserve">subfield equal to 1, it is </w:t>
      </w:r>
      <w:r w:rsidR="007B29A7">
        <w:rPr>
          <w:rStyle w:val="fontstyle21"/>
          <w:rFonts w:eastAsiaTheme="minorEastAsia" w:hint="default"/>
          <w:color w:val="FF0000"/>
          <w:sz w:val="24"/>
          <w:u w:val="single"/>
        </w:rPr>
        <w:t>a</w:t>
      </w:r>
      <w:r w:rsidRPr="002166C1">
        <w:rPr>
          <w:rStyle w:val="fontstyle21"/>
          <w:rFonts w:eastAsiaTheme="minorEastAsia" w:hint="default"/>
          <w:color w:val="FF0000"/>
          <w:sz w:val="24"/>
          <w:u w:val="single"/>
        </w:rPr>
        <w:t xml:space="preserve"> DMG STA that is expected to </w:t>
      </w:r>
      <w:r w:rsidR="00575738" w:rsidRPr="002166C1">
        <w:rPr>
          <w:rStyle w:val="fontstyle21"/>
          <w:rFonts w:eastAsiaTheme="minorEastAsia" w:hint="default"/>
          <w:color w:val="FF0000"/>
          <w:sz w:val="24"/>
          <w:u w:val="single"/>
        </w:rPr>
        <w:t xml:space="preserve">receive </w:t>
      </w:r>
      <w:r w:rsidRPr="002166C1">
        <w:rPr>
          <w:rStyle w:val="fontstyle21"/>
          <w:rFonts w:eastAsiaTheme="minorEastAsia" w:hint="default"/>
          <w:color w:val="FF0000"/>
          <w:sz w:val="24"/>
          <w:u w:val="single"/>
        </w:rPr>
        <w:t xml:space="preserve">at the start of each time division duplex (TDD) SP. Otherwise, it is the </w:t>
      </w:r>
      <w:r w:rsidRPr="002166C1">
        <w:rPr>
          <w:rFonts w:ascii="TimesNewRomanPSMT" w:eastAsia="TimesNewRomanPSMT" w:hAnsi="TimesNewRomanPS-BoldMT" w:cs="TimesNewRomanPSMT"/>
          <w:strike/>
          <w:color w:val="FF0000"/>
          <w:sz w:val="24"/>
          <w:lang w:val="en-US" w:eastAsia="zh-CN"/>
        </w:rPr>
        <w:t>A</w:t>
      </w:r>
      <w:r w:rsidRPr="002166C1">
        <w:rPr>
          <w:rFonts w:ascii="TimesNewRomanPSMT" w:eastAsia="TimesNewRomanPSMT" w:hAnsi="TimesNewRomanPS-BoldMT" w:cs="TimesNewRomanPSMT"/>
          <w:sz w:val="24"/>
          <w:lang w:val="en-US" w:eastAsia="zh-CN"/>
        </w:rPr>
        <w:t xml:space="preserve"> DMG STA identified by the destination</w:t>
      </w:r>
      <w:r w:rsidRPr="002166C1">
        <w:rPr>
          <w:rFonts w:ascii="TimesNewRomanPSMT" w:eastAsiaTheme="minorEastAsia" w:hAnsi="TimesNewRomanPS-BoldMT" w:cs="TimesNewRomanPSMT"/>
          <w:sz w:val="24"/>
          <w:lang w:val="en-US" w:eastAsia="zh-CN"/>
        </w:rPr>
        <w:t xml:space="preserve"> </w:t>
      </w:r>
      <w:r w:rsidRPr="002166C1">
        <w:rPr>
          <w:rFonts w:ascii="TimesNewRomanPSMT" w:eastAsia="TimesNewRomanPSMT" w:hAnsi="TimesNewRomanPS-BoldMT" w:cs="TimesNewRomanPSMT"/>
          <w:sz w:val="24"/>
          <w:lang w:val="en-US" w:eastAsia="zh-CN"/>
        </w:rPr>
        <w:t>association identifier (AID) field contained in a Grant frame or Extended Schedule element that caused the</w:t>
      </w:r>
      <w:r w:rsidRPr="002166C1">
        <w:rPr>
          <w:rFonts w:ascii="TimesNewRomanPSMT" w:eastAsiaTheme="minorEastAsia" w:hAnsi="TimesNewRomanPS-BoldMT" w:cs="TimesNewRomanPSMT" w:hint="eastAsia"/>
          <w:sz w:val="24"/>
          <w:lang w:val="en-US" w:eastAsia="zh-CN"/>
        </w:rPr>
        <w:t xml:space="preserve"> </w:t>
      </w:r>
      <w:r w:rsidRPr="002166C1">
        <w:rPr>
          <w:rFonts w:ascii="TimesNewRomanPSMT" w:eastAsia="TimesNewRomanPSMT" w:hAnsi="TimesNewRomanPS-BoldMT" w:cs="TimesNewRomanPSMT"/>
          <w:sz w:val="24"/>
          <w:lang w:val="en-US" w:eastAsia="zh-CN"/>
        </w:rPr>
        <w:t>allocation of a service period (SP) or a contention based access period (CBAP).</w:t>
      </w:r>
    </w:p>
    <w:p w14:paraId="199CA436" w14:textId="77777777" w:rsidR="00AF63E8" w:rsidRDefault="00AF63E8" w:rsidP="003436AA">
      <w:pPr>
        <w:widowControl w:val="0"/>
        <w:autoSpaceDE w:val="0"/>
        <w:autoSpaceDN w:val="0"/>
        <w:adjustRightInd w:val="0"/>
        <w:rPr>
          <w:rFonts w:ascii="TimesNewRomanPSMT" w:eastAsia="TimesNewRomanPSMT" w:hAnsi="TimesNewRomanPS-BoldMT" w:cs="TimesNewRomanPSMT"/>
          <w:sz w:val="20"/>
          <w:lang w:val="en-US" w:eastAsia="zh-CN"/>
        </w:rPr>
      </w:pPr>
    </w:p>
    <w:p w14:paraId="25EAA0B8" w14:textId="32A845EA" w:rsidR="00AF63E8" w:rsidRDefault="00AF63E8" w:rsidP="00AF63E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3.2</w:t>
      </w:r>
      <w:r w:rsidRPr="002E0633">
        <w:rPr>
          <w:rFonts w:ascii="Arial-BoldMT" w:hAnsi="Arial-BoldMT" w:cs="Arial-BoldMT"/>
          <w:b/>
          <w:bCs/>
          <w:sz w:val="28"/>
          <w:szCs w:val="28"/>
          <w:lang w:val="en-US" w:eastAsia="zh-CN"/>
        </w:rPr>
        <w:t xml:space="preserve"> </w:t>
      </w:r>
      <w:r>
        <w:rPr>
          <w:rFonts w:ascii="Arial-BoldMT" w:hAnsi="Arial-BoldMT" w:cs="Arial-BoldMT" w:hint="eastAsia"/>
          <w:b/>
          <w:bCs/>
          <w:sz w:val="28"/>
          <w:szCs w:val="28"/>
          <w:lang w:val="en-US" w:eastAsia="zh-CN"/>
        </w:rPr>
        <w:t>De</w:t>
      </w:r>
      <w:r>
        <w:rPr>
          <w:rFonts w:ascii="Arial-BoldMT" w:hAnsi="Arial-BoldMT" w:cs="Arial-BoldMT"/>
          <w:b/>
          <w:bCs/>
          <w:sz w:val="28"/>
          <w:szCs w:val="28"/>
          <w:lang w:val="en-US" w:eastAsia="zh-CN"/>
        </w:rPr>
        <w:t xml:space="preserve">finitions specific to IEEE </w:t>
      </w:r>
      <w:proofErr w:type="spellStart"/>
      <w:proofErr w:type="gramStart"/>
      <w:r>
        <w:rPr>
          <w:rFonts w:ascii="Arial-BoldMT" w:hAnsi="Arial-BoldMT" w:cs="Arial-BoldMT"/>
          <w:b/>
          <w:bCs/>
          <w:sz w:val="28"/>
          <w:szCs w:val="28"/>
          <w:lang w:val="en-US" w:eastAsia="zh-CN"/>
        </w:rPr>
        <w:t>Std</w:t>
      </w:r>
      <w:proofErr w:type="spellEnd"/>
      <w:proofErr w:type="gramEnd"/>
      <w:r>
        <w:rPr>
          <w:rFonts w:ascii="Arial-BoldMT" w:hAnsi="Arial-BoldMT" w:cs="Arial-BoldMT"/>
          <w:b/>
          <w:bCs/>
          <w:sz w:val="28"/>
          <w:szCs w:val="28"/>
          <w:lang w:val="en-US" w:eastAsia="zh-CN"/>
        </w:rPr>
        <w:t xml:space="preserve"> 802.11</w:t>
      </w:r>
    </w:p>
    <w:p w14:paraId="29546670" w14:textId="77777777" w:rsidR="00AF63E8" w:rsidRDefault="00AF63E8" w:rsidP="003436AA">
      <w:pPr>
        <w:widowControl w:val="0"/>
        <w:autoSpaceDE w:val="0"/>
        <w:autoSpaceDN w:val="0"/>
        <w:adjustRightInd w:val="0"/>
        <w:rPr>
          <w:rFonts w:ascii="TimesNewRomanPSMT" w:eastAsia="TimesNewRomanPSMT" w:hAnsi="TimesNewRomanPS-BoldMT" w:cs="TimesNewRomanPSMT"/>
          <w:sz w:val="20"/>
          <w:lang w:val="en-US" w:eastAsia="zh-CN"/>
        </w:rPr>
      </w:pPr>
    </w:p>
    <w:p w14:paraId="7C8EED28" w14:textId="616C2950" w:rsidR="00AF63E8" w:rsidRPr="00251845" w:rsidRDefault="00AF63E8" w:rsidP="003436AA">
      <w:pPr>
        <w:widowControl w:val="0"/>
        <w:autoSpaceDE w:val="0"/>
        <w:autoSpaceDN w:val="0"/>
        <w:adjustRightInd w:val="0"/>
        <w:rPr>
          <w:rFonts w:ascii="TimesNewRomanPSMT" w:eastAsia="TimesNewRomanPSMT" w:hAnsi="TimesNewRomanPS-BoldMT" w:cs="TimesNewRomanPSMT"/>
          <w:i/>
          <w:sz w:val="20"/>
          <w:lang w:val="en-US" w:eastAsia="zh-CN"/>
        </w:rPr>
      </w:pPr>
      <w:r w:rsidRPr="00251845">
        <w:rPr>
          <w:rFonts w:ascii="TimesNewRomanPSMT" w:eastAsia="TimesNewRomanPSMT" w:hAnsi="TimesNewRomanPS-BoldMT" w:cs="TimesNewRomanPSMT"/>
          <w:i/>
          <w:sz w:val="20"/>
          <w:lang w:val="en-US" w:eastAsia="zh-CN"/>
        </w:rPr>
        <w:t>Insert the following definition</w:t>
      </w:r>
    </w:p>
    <w:p w14:paraId="122D1EDB" w14:textId="77777777" w:rsidR="00AF63E8" w:rsidRPr="00251845" w:rsidRDefault="00AF63E8" w:rsidP="003436AA">
      <w:pPr>
        <w:widowControl w:val="0"/>
        <w:autoSpaceDE w:val="0"/>
        <w:autoSpaceDN w:val="0"/>
        <w:adjustRightInd w:val="0"/>
        <w:rPr>
          <w:rFonts w:ascii="TimesNewRomanPSMT" w:eastAsia="TimesNewRomanPSMT" w:hAnsi="TimesNewRomanPS-BoldMT" w:cs="TimesNewRomanPSMT"/>
          <w:sz w:val="16"/>
          <w:lang w:val="en-US" w:eastAsia="zh-CN"/>
        </w:rPr>
      </w:pPr>
    </w:p>
    <w:p w14:paraId="0D79DFA5" w14:textId="1F740968" w:rsidR="00AF63E8" w:rsidRPr="002166C1" w:rsidRDefault="00AF63E8" w:rsidP="003436AA">
      <w:pPr>
        <w:widowControl w:val="0"/>
        <w:autoSpaceDE w:val="0"/>
        <w:autoSpaceDN w:val="0"/>
        <w:adjustRightInd w:val="0"/>
        <w:rPr>
          <w:rFonts w:ascii="Arial-BoldMT" w:hAnsi="Arial-BoldMT" w:cs="Arial-BoldMT"/>
          <w:bCs/>
          <w:color w:val="FF0000"/>
          <w:sz w:val="24"/>
          <w:szCs w:val="24"/>
          <w:u w:val="single"/>
          <w:lang w:val="en-US" w:eastAsia="zh-CN"/>
        </w:rPr>
      </w:pPr>
      <w:r w:rsidRPr="002166C1">
        <w:rPr>
          <w:rFonts w:ascii="Arial-BoldMT" w:hAnsi="Arial-BoldMT" w:cs="Arial-BoldMT"/>
          <w:b/>
          <w:bCs/>
          <w:color w:val="FF0000"/>
          <w:sz w:val="24"/>
          <w:szCs w:val="24"/>
          <w:u w:val="single"/>
          <w:lang w:val="en-US" w:eastAsia="zh-CN"/>
        </w:rPr>
        <w:t>Time division duplex (TDD) service period (SP)</w:t>
      </w:r>
      <w:r w:rsidRPr="002166C1">
        <w:rPr>
          <w:rFonts w:ascii="Arial-BoldMT" w:hAnsi="Arial-BoldMT" w:cs="Arial-BoldMT"/>
          <w:bCs/>
          <w:color w:val="FF0000"/>
          <w:sz w:val="24"/>
          <w:szCs w:val="24"/>
          <w:u w:val="single"/>
          <w:lang w:val="en-US" w:eastAsia="zh-CN"/>
        </w:rPr>
        <w:t>: An SP that has the TDD Applicable SP subfield in an Allocation field within an Extended Schedule element equal to 1.</w:t>
      </w:r>
    </w:p>
    <w:p w14:paraId="178580E7" w14:textId="77777777" w:rsidR="00AF63E8" w:rsidRPr="003436AA" w:rsidRDefault="00AF63E8" w:rsidP="003436AA">
      <w:pPr>
        <w:widowControl w:val="0"/>
        <w:autoSpaceDE w:val="0"/>
        <w:autoSpaceDN w:val="0"/>
        <w:adjustRightInd w:val="0"/>
        <w:rPr>
          <w:rFonts w:ascii="TimesNewRomanPSMT" w:eastAsia="TimesNewRomanPSMT" w:hAnsi="TimesNewRomanPS-BoldMT" w:cs="TimesNewRomanPSMT"/>
          <w:sz w:val="20"/>
          <w:lang w:val="en-US" w:eastAsia="zh-CN"/>
        </w:rPr>
      </w:pPr>
    </w:p>
    <w:p w14:paraId="29795BF0" w14:textId="77777777" w:rsidR="009C2F9F" w:rsidRDefault="009C2F9F" w:rsidP="00034747">
      <w:pPr>
        <w:widowControl w:val="0"/>
        <w:autoSpaceDE w:val="0"/>
        <w:autoSpaceDN w:val="0"/>
        <w:adjustRightInd w:val="0"/>
        <w:rPr>
          <w:rFonts w:ascii="Arial-BoldMT" w:hAnsi="Arial-BoldMT" w:cs="Arial-BoldMT"/>
          <w:b/>
          <w:bCs/>
          <w:sz w:val="28"/>
          <w:szCs w:val="28"/>
          <w:lang w:val="en-US" w:eastAsia="zh-CN"/>
        </w:rPr>
      </w:pPr>
    </w:p>
    <w:p w14:paraId="2FC8C414" w14:textId="77777777" w:rsidR="009C2F9F" w:rsidRDefault="009C2F9F" w:rsidP="00034747">
      <w:pPr>
        <w:widowControl w:val="0"/>
        <w:autoSpaceDE w:val="0"/>
        <w:autoSpaceDN w:val="0"/>
        <w:adjustRightInd w:val="0"/>
        <w:rPr>
          <w:rFonts w:ascii="Arial-BoldMT" w:hAnsi="Arial-BoldMT" w:cs="Arial-BoldMT"/>
          <w:b/>
          <w:bCs/>
          <w:sz w:val="28"/>
          <w:szCs w:val="28"/>
          <w:lang w:val="en-US" w:eastAsia="zh-CN"/>
        </w:rPr>
      </w:pPr>
    </w:p>
    <w:p w14:paraId="797B056B" w14:textId="10693BA5" w:rsidR="002E0633" w:rsidRDefault="002E0633" w:rsidP="00034747">
      <w:pPr>
        <w:widowControl w:val="0"/>
        <w:autoSpaceDE w:val="0"/>
        <w:autoSpaceDN w:val="0"/>
        <w:adjustRightInd w:val="0"/>
        <w:rPr>
          <w:rFonts w:ascii="Arial-BoldMT" w:hAnsi="Arial-BoldMT" w:cs="Arial-BoldMT"/>
          <w:b/>
          <w:bCs/>
          <w:sz w:val="28"/>
          <w:szCs w:val="28"/>
          <w:lang w:val="en-US" w:eastAsia="zh-CN"/>
        </w:rPr>
      </w:pPr>
      <w:r w:rsidRPr="002E0633">
        <w:rPr>
          <w:rFonts w:ascii="Arial-BoldMT" w:hAnsi="Arial-BoldMT" w:cs="Arial-BoldMT" w:hint="eastAsia"/>
          <w:b/>
          <w:bCs/>
          <w:sz w:val="28"/>
          <w:szCs w:val="28"/>
          <w:lang w:val="en-US" w:eastAsia="zh-CN"/>
        </w:rPr>
        <w:t>10.36</w:t>
      </w:r>
      <w:r>
        <w:rPr>
          <w:rFonts w:ascii="Arial-BoldMT" w:hAnsi="Arial-BoldMT" w:cs="Arial-BoldMT"/>
          <w:b/>
          <w:bCs/>
          <w:sz w:val="28"/>
          <w:szCs w:val="28"/>
          <w:lang w:val="en-US" w:eastAsia="zh-CN"/>
        </w:rPr>
        <w:t>.6</w:t>
      </w:r>
      <w:r w:rsidRPr="002E0633">
        <w:rPr>
          <w:rFonts w:ascii="Arial-BoldMT" w:hAnsi="Arial-BoldMT" w:cs="Arial-BoldMT"/>
          <w:b/>
          <w:bCs/>
          <w:sz w:val="28"/>
          <w:szCs w:val="28"/>
          <w:lang w:val="en-US" w:eastAsia="zh-CN"/>
        </w:rPr>
        <w:t xml:space="preserve"> </w:t>
      </w:r>
      <w:r>
        <w:rPr>
          <w:rFonts w:ascii="Arial-BoldMT" w:hAnsi="Arial-BoldMT" w:cs="Arial-BoldMT"/>
          <w:b/>
          <w:bCs/>
          <w:sz w:val="28"/>
          <w:szCs w:val="28"/>
          <w:lang w:val="en-US" w:eastAsia="zh-CN"/>
        </w:rPr>
        <w:t>Channel access in scheduled DTI</w:t>
      </w:r>
    </w:p>
    <w:p w14:paraId="28A01CDB" w14:textId="77777777" w:rsidR="002E0633" w:rsidRDefault="002E0633" w:rsidP="00034747">
      <w:pPr>
        <w:widowControl w:val="0"/>
        <w:autoSpaceDE w:val="0"/>
        <w:autoSpaceDN w:val="0"/>
        <w:adjustRightInd w:val="0"/>
        <w:rPr>
          <w:rFonts w:ascii="Arial-BoldMT" w:hAnsi="Arial-BoldMT" w:cs="Arial-BoldMT"/>
          <w:b/>
          <w:bCs/>
          <w:sz w:val="28"/>
          <w:szCs w:val="28"/>
          <w:lang w:val="en-US" w:eastAsia="zh-CN"/>
        </w:rPr>
      </w:pPr>
    </w:p>
    <w:p w14:paraId="192632D7" w14:textId="20986337" w:rsidR="00D73CF2" w:rsidRDefault="002E0633" w:rsidP="002E0633">
      <w:pPr>
        <w:widowControl w:val="0"/>
        <w:autoSpaceDE w:val="0"/>
        <w:autoSpaceDN w:val="0"/>
        <w:adjustRightInd w:val="0"/>
        <w:rPr>
          <w:rFonts w:ascii="Arial-BoldMT" w:hAnsi="Arial-BoldMT" w:cs="Arial-BoldMT"/>
          <w:b/>
          <w:bCs/>
          <w:color w:val="000000" w:themeColor="text1"/>
          <w:sz w:val="28"/>
          <w:szCs w:val="28"/>
          <w:lang w:val="en-US" w:eastAsia="zh-CN"/>
        </w:rPr>
      </w:pPr>
      <w:r w:rsidRPr="006B749D">
        <w:rPr>
          <w:rFonts w:ascii="Arial-BoldMT" w:hAnsi="Arial-BoldMT" w:cs="Arial-BoldMT" w:hint="eastAsia"/>
          <w:b/>
          <w:bCs/>
          <w:color w:val="000000" w:themeColor="text1"/>
          <w:sz w:val="28"/>
          <w:szCs w:val="28"/>
          <w:lang w:val="en-US" w:eastAsia="zh-CN"/>
        </w:rPr>
        <w:t>10.36</w:t>
      </w:r>
      <w:r w:rsidRPr="006B749D">
        <w:rPr>
          <w:rFonts w:ascii="Arial-BoldMT" w:hAnsi="Arial-BoldMT" w:cs="Arial-BoldMT"/>
          <w:b/>
          <w:bCs/>
          <w:color w:val="000000" w:themeColor="text1"/>
          <w:sz w:val="28"/>
          <w:szCs w:val="28"/>
          <w:lang w:val="en-US" w:eastAsia="zh-CN"/>
        </w:rPr>
        <w:t>.6.</w:t>
      </w:r>
      <w:r w:rsidR="00D73CF2">
        <w:rPr>
          <w:rFonts w:ascii="Arial-BoldMT" w:hAnsi="Arial-BoldMT" w:cs="Arial-BoldMT"/>
          <w:b/>
          <w:bCs/>
          <w:color w:val="000000" w:themeColor="text1"/>
          <w:sz w:val="28"/>
          <w:szCs w:val="28"/>
          <w:lang w:val="en-US" w:eastAsia="zh-CN"/>
        </w:rPr>
        <w:t>2</w:t>
      </w:r>
      <w:r w:rsidRPr="006B749D">
        <w:rPr>
          <w:rFonts w:ascii="Arial-BoldMT" w:hAnsi="Arial-BoldMT" w:cs="Arial-BoldMT"/>
          <w:b/>
          <w:bCs/>
          <w:color w:val="000000" w:themeColor="text1"/>
          <w:sz w:val="28"/>
          <w:szCs w:val="28"/>
          <w:lang w:val="en-US" w:eastAsia="zh-CN"/>
        </w:rPr>
        <w:t xml:space="preserve"> Service period (SP) allocation </w:t>
      </w:r>
    </w:p>
    <w:p w14:paraId="778E6BD6" w14:textId="77777777" w:rsidR="00343567" w:rsidRDefault="00343567" w:rsidP="002E0633">
      <w:pPr>
        <w:widowControl w:val="0"/>
        <w:autoSpaceDE w:val="0"/>
        <w:autoSpaceDN w:val="0"/>
        <w:adjustRightInd w:val="0"/>
        <w:rPr>
          <w:rFonts w:ascii="Arial-BoldMT" w:hAnsi="Arial-BoldMT" w:cs="Arial-BoldMT"/>
          <w:b/>
          <w:bCs/>
          <w:color w:val="000000" w:themeColor="text1"/>
          <w:sz w:val="28"/>
          <w:szCs w:val="28"/>
          <w:lang w:val="en-US" w:eastAsia="zh-CN"/>
        </w:rPr>
      </w:pPr>
    </w:p>
    <w:p w14:paraId="663D5FC1" w14:textId="445EB247" w:rsidR="00575738" w:rsidRPr="00161494" w:rsidRDefault="00575738" w:rsidP="00B4459F">
      <w:pPr>
        <w:widowControl w:val="0"/>
        <w:autoSpaceDE w:val="0"/>
        <w:autoSpaceDN w:val="0"/>
        <w:adjustRightInd w:val="0"/>
        <w:outlineLvl w:val="0"/>
        <w:rPr>
          <w:rFonts w:ascii="Arial-BoldMT" w:hAnsi="Arial-BoldMT" w:cs="Arial-BoldMT"/>
          <w:b/>
          <w:bCs/>
          <w:i/>
          <w:sz w:val="24"/>
          <w:szCs w:val="28"/>
          <w:lang w:val="en-US" w:eastAsia="zh-CN"/>
        </w:rPr>
      </w:pPr>
      <w:r w:rsidRPr="00161494">
        <w:rPr>
          <w:rFonts w:ascii="Arial-BoldMT" w:hAnsi="Arial-BoldMT" w:cs="Arial-BoldMT" w:hint="eastAsia"/>
          <w:b/>
          <w:bCs/>
          <w:i/>
          <w:sz w:val="24"/>
          <w:szCs w:val="28"/>
          <w:lang w:val="en-US" w:eastAsia="zh-CN"/>
        </w:rPr>
        <w:t xml:space="preserve">Insert the following </w:t>
      </w:r>
      <w:proofErr w:type="spellStart"/>
      <w:r w:rsidRPr="00161494">
        <w:rPr>
          <w:rFonts w:ascii="Arial-BoldMT" w:hAnsi="Arial-BoldMT" w:cs="Arial-BoldMT" w:hint="eastAsia"/>
          <w:b/>
          <w:bCs/>
          <w:i/>
          <w:sz w:val="24"/>
          <w:szCs w:val="28"/>
          <w:lang w:val="en-US" w:eastAsia="zh-CN"/>
        </w:rPr>
        <w:t>subclause</w:t>
      </w:r>
      <w:proofErr w:type="spellEnd"/>
      <w:r w:rsidRPr="00161494">
        <w:rPr>
          <w:rFonts w:ascii="Arial-BoldMT" w:hAnsi="Arial-BoldMT" w:cs="Arial-BoldMT" w:hint="eastAsia"/>
          <w:b/>
          <w:bCs/>
          <w:i/>
          <w:sz w:val="24"/>
          <w:szCs w:val="28"/>
          <w:lang w:val="en-US" w:eastAsia="zh-CN"/>
        </w:rPr>
        <w:t xml:space="preserve"> </w:t>
      </w:r>
      <w:r w:rsidR="00116260">
        <w:rPr>
          <w:rFonts w:ascii="Arial-BoldMT" w:hAnsi="Arial-BoldMT" w:cs="Arial-BoldMT"/>
          <w:b/>
          <w:bCs/>
          <w:i/>
          <w:sz w:val="24"/>
          <w:szCs w:val="28"/>
          <w:lang w:val="en-US" w:eastAsia="zh-CN"/>
        </w:rPr>
        <w:t xml:space="preserve">heading </w:t>
      </w:r>
      <w:r w:rsidRPr="00161494">
        <w:rPr>
          <w:rFonts w:ascii="Arial-BoldMT" w:hAnsi="Arial-BoldMT" w:cs="Arial-BoldMT" w:hint="eastAsia"/>
          <w:b/>
          <w:bCs/>
          <w:i/>
          <w:sz w:val="24"/>
          <w:szCs w:val="28"/>
          <w:lang w:val="en-US" w:eastAsia="zh-CN"/>
        </w:rPr>
        <w:t>before the first paragraph</w:t>
      </w:r>
    </w:p>
    <w:p w14:paraId="5B8F6426" w14:textId="77777777" w:rsidR="00575738" w:rsidRDefault="00575738" w:rsidP="002E0633">
      <w:pPr>
        <w:widowControl w:val="0"/>
        <w:autoSpaceDE w:val="0"/>
        <w:autoSpaceDN w:val="0"/>
        <w:adjustRightInd w:val="0"/>
        <w:rPr>
          <w:rFonts w:ascii="Arial-BoldMT" w:hAnsi="Arial-BoldMT" w:cs="Arial-BoldMT"/>
          <w:b/>
          <w:bCs/>
          <w:color w:val="000000" w:themeColor="text1"/>
          <w:sz w:val="28"/>
          <w:szCs w:val="28"/>
          <w:lang w:val="en-US" w:eastAsia="zh-CN"/>
        </w:rPr>
      </w:pPr>
    </w:p>
    <w:p w14:paraId="1122FF9D" w14:textId="56939A2C" w:rsidR="000E5825" w:rsidRPr="00343567" w:rsidRDefault="00343567" w:rsidP="00B4459F">
      <w:pPr>
        <w:widowControl w:val="0"/>
        <w:autoSpaceDE w:val="0"/>
        <w:autoSpaceDN w:val="0"/>
        <w:adjustRightInd w:val="0"/>
        <w:outlineLvl w:val="0"/>
        <w:rPr>
          <w:rFonts w:ascii="Arial-BoldMT" w:hAnsi="Arial-BoldMT" w:cs="Arial-BoldMT"/>
          <w:b/>
          <w:bCs/>
          <w:color w:val="FF0000"/>
          <w:sz w:val="28"/>
          <w:szCs w:val="28"/>
          <w:lang w:val="en-US" w:eastAsia="zh-CN"/>
        </w:rPr>
      </w:pPr>
      <w:r w:rsidRPr="006B749D">
        <w:rPr>
          <w:rFonts w:ascii="Arial-BoldMT" w:hAnsi="Arial-BoldMT" w:cs="Arial-BoldMT" w:hint="eastAsia"/>
          <w:b/>
          <w:bCs/>
          <w:color w:val="000000" w:themeColor="text1"/>
          <w:sz w:val="28"/>
          <w:szCs w:val="28"/>
          <w:lang w:val="en-US" w:eastAsia="zh-CN"/>
        </w:rPr>
        <w:t>10.36</w:t>
      </w:r>
      <w:r w:rsidRPr="006B749D">
        <w:rPr>
          <w:rFonts w:ascii="Arial-BoldMT" w:hAnsi="Arial-BoldMT" w:cs="Arial-BoldMT"/>
          <w:b/>
          <w:bCs/>
          <w:color w:val="000000" w:themeColor="text1"/>
          <w:sz w:val="28"/>
          <w:szCs w:val="28"/>
          <w:lang w:val="en-US" w:eastAsia="zh-CN"/>
        </w:rPr>
        <w:t>.6.</w:t>
      </w:r>
      <w:r>
        <w:rPr>
          <w:rFonts w:ascii="Arial-BoldMT" w:hAnsi="Arial-BoldMT" w:cs="Arial-BoldMT"/>
          <w:b/>
          <w:bCs/>
          <w:color w:val="000000" w:themeColor="text1"/>
          <w:sz w:val="28"/>
          <w:szCs w:val="28"/>
          <w:lang w:val="en-US" w:eastAsia="zh-CN"/>
        </w:rPr>
        <w:t>2.1</w:t>
      </w:r>
      <w:r w:rsidRPr="006B749D">
        <w:rPr>
          <w:rFonts w:ascii="Arial-BoldMT" w:hAnsi="Arial-BoldMT" w:cs="Arial-BoldMT"/>
          <w:b/>
          <w:bCs/>
          <w:color w:val="000000" w:themeColor="text1"/>
          <w:sz w:val="28"/>
          <w:szCs w:val="28"/>
          <w:lang w:val="en-US" w:eastAsia="zh-CN"/>
        </w:rPr>
        <w:t xml:space="preserve"> </w:t>
      </w:r>
      <w:r>
        <w:rPr>
          <w:rFonts w:ascii="Arial-BoldMT" w:hAnsi="Arial-BoldMT" w:cs="Arial-BoldMT"/>
          <w:b/>
          <w:bCs/>
          <w:color w:val="000000" w:themeColor="text1"/>
          <w:sz w:val="28"/>
          <w:szCs w:val="28"/>
          <w:lang w:val="en-US" w:eastAsia="zh-CN"/>
        </w:rPr>
        <w:t>General</w:t>
      </w:r>
    </w:p>
    <w:p w14:paraId="4A8292A2" w14:textId="7B6EC89F" w:rsidR="00343567" w:rsidRPr="00343567" w:rsidRDefault="00343567" w:rsidP="002E0633">
      <w:pPr>
        <w:widowControl w:val="0"/>
        <w:autoSpaceDE w:val="0"/>
        <w:autoSpaceDN w:val="0"/>
        <w:adjustRightInd w:val="0"/>
        <w:rPr>
          <w:rFonts w:ascii="Arial-BoldMT" w:hAnsi="Arial-BoldMT" w:cs="Arial-BoldMT"/>
          <w:b/>
          <w:bCs/>
          <w:i/>
          <w:sz w:val="24"/>
          <w:szCs w:val="24"/>
          <w:lang w:val="en-US" w:eastAsia="zh-CN"/>
        </w:rPr>
      </w:pPr>
    </w:p>
    <w:p w14:paraId="2E262593" w14:textId="6CC0C70C" w:rsidR="00D75597" w:rsidRPr="00343567" w:rsidRDefault="00343567" w:rsidP="00B4459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paragraphs following the 1</w:t>
      </w:r>
      <w:r w:rsidRPr="00343567">
        <w:rPr>
          <w:rFonts w:ascii="Arial-BoldMT" w:hAnsi="Arial-BoldMT" w:cs="Arial-BoldMT"/>
          <w:b/>
          <w:bCs/>
          <w:i/>
          <w:sz w:val="24"/>
          <w:szCs w:val="24"/>
          <w:vertAlign w:val="superscript"/>
          <w:lang w:val="en-US" w:eastAsia="zh-CN"/>
        </w:rPr>
        <w:t>st</w:t>
      </w:r>
      <w:r>
        <w:rPr>
          <w:rFonts w:ascii="Arial-BoldMT" w:hAnsi="Arial-BoldMT" w:cs="Arial-BoldMT"/>
          <w:b/>
          <w:bCs/>
          <w:i/>
          <w:sz w:val="24"/>
          <w:szCs w:val="24"/>
          <w:lang w:val="en-US" w:eastAsia="zh-CN"/>
        </w:rPr>
        <w:t xml:space="preserve"> paragraph:</w:t>
      </w:r>
    </w:p>
    <w:p w14:paraId="6F8F0376" w14:textId="77777777" w:rsidR="00F05A4A" w:rsidRDefault="00F05A4A" w:rsidP="00D73CF2">
      <w:pPr>
        <w:widowControl w:val="0"/>
        <w:autoSpaceDE w:val="0"/>
        <w:autoSpaceDN w:val="0"/>
        <w:adjustRightInd w:val="0"/>
        <w:rPr>
          <w:rFonts w:ascii="Arial-BoldMT" w:hAnsi="Arial-BoldMT" w:cs="Arial-BoldMT"/>
          <w:bCs/>
          <w:color w:val="000000" w:themeColor="text1"/>
          <w:sz w:val="24"/>
          <w:szCs w:val="24"/>
          <w:lang w:val="en-US" w:eastAsia="zh-CN"/>
        </w:rPr>
      </w:pPr>
    </w:p>
    <w:p w14:paraId="59002CE4" w14:textId="0464D1BE" w:rsidR="000E5825" w:rsidRDefault="00D75597" w:rsidP="00D73CF2">
      <w:pPr>
        <w:widowControl w:val="0"/>
        <w:autoSpaceDE w:val="0"/>
        <w:autoSpaceDN w:val="0"/>
        <w:adjustRightInd w:val="0"/>
        <w:rPr>
          <w:rFonts w:ascii="Arial-BoldMT" w:hAnsi="Arial-BoldMT" w:cs="Arial-BoldMT"/>
          <w:bCs/>
          <w:color w:val="FF0000"/>
          <w:sz w:val="24"/>
          <w:szCs w:val="24"/>
          <w:u w:val="single"/>
          <w:lang w:val="en-US" w:eastAsia="zh-CN"/>
        </w:rPr>
      </w:pPr>
      <w:r w:rsidRPr="00D75597">
        <w:rPr>
          <w:rFonts w:ascii="Arial-BoldMT" w:hAnsi="Arial-BoldMT" w:cs="Arial-BoldMT"/>
          <w:bCs/>
          <w:color w:val="FF0000"/>
          <w:sz w:val="24"/>
          <w:szCs w:val="24"/>
          <w:u w:val="single"/>
          <w:lang w:val="en-US" w:eastAsia="zh-CN"/>
        </w:rPr>
        <w:t xml:space="preserve">If </w:t>
      </w:r>
      <w:r w:rsidR="00575738">
        <w:rPr>
          <w:rFonts w:ascii="Arial-BoldMT" w:hAnsi="Arial-BoldMT" w:cs="Arial-BoldMT"/>
          <w:bCs/>
          <w:color w:val="FF0000"/>
          <w:sz w:val="24"/>
          <w:szCs w:val="24"/>
          <w:u w:val="single"/>
          <w:lang w:val="en-US" w:eastAsia="zh-CN"/>
        </w:rPr>
        <w:t>an</w:t>
      </w:r>
      <w:r w:rsidR="00575738" w:rsidRPr="00D75597">
        <w:rPr>
          <w:rFonts w:ascii="Arial-BoldMT" w:hAnsi="Arial-BoldMT" w:cs="Arial-BoldMT"/>
          <w:bCs/>
          <w:color w:val="FF0000"/>
          <w:sz w:val="24"/>
          <w:szCs w:val="24"/>
          <w:u w:val="single"/>
          <w:lang w:val="en-US" w:eastAsia="zh-CN"/>
        </w:rPr>
        <w:t xml:space="preserve"> </w:t>
      </w:r>
      <w:r w:rsidRPr="00D75597">
        <w:rPr>
          <w:rFonts w:ascii="Arial-BoldMT" w:hAnsi="Arial-BoldMT" w:cs="Arial-BoldMT"/>
          <w:bCs/>
          <w:color w:val="FF0000"/>
          <w:sz w:val="24"/>
          <w:szCs w:val="24"/>
          <w:u w:val="single"/>
          <w:lang w:val="en-US" w:eastAsia="zh-CN"/>
        </w:rPr>
        <w:t xml:space="preserve">SP </w:t>
      </w:r>
      <w:r w:rsidR="00575738">
        <w:rPr>
          <w:rFonts w:ascii="Arial-BoldMT" w:hAnsi="Arial-BoldMT" w:cs="Arial-BoldMT"/>
          <w:bCs/>
          <w:color w:val="FF0000"/>
          <w:sz w:val="24"/>
          <w:szCs w:val="24"/>
          <w:u w:val="single"/>
          <w:lang w:val="en-US" w:eastAsia="zh-CN"/>
        </w:rPr>
        <w:t xml:space="preserve">has the </w:t>
      </w:r>
      <w:r w:rsidR="00D73A51">
        <w:rPr>
          <w:rFonts w:ascii="Arial-BoldMT" w:hAnsi="Arial-BoldMT" w:cs="Arial-BoldMT"/>
          <w:bCs/>
          <w:color w:val="FF0000"/>
          <w:sz w:val="24"/>
          <w:szCs w:val="24"/>
          <w:u w:val="single"/>
          <w:lang w:val="en-US" w:eastAsia="zh-CN"/>
        </w:rPr>
        <w:t>TDD Applicable SP</w:t>
      </w:r>
      <w:r w:rsidR="0008677D">
        <w:rPr>
          <w:rFonts w:ascii="Arial-BoldMT" w:hAnsi="Arial-BoldMT" w:cs="Arial-BoldMT"/>
          <w:bCs/>
          <w:color w:val="FF0000"/>
          <w:sz w:val="24"/>
          <w:szCs w:val="24"/>
          <w:u w:val="single"/>
          <w:lang w:val="en-US" w:eastAsia="zh-CN"/>
        </w:rPr>
        <w:t xml:space="preserve"> </w:t>
      </w:r>
      <w:r w:rsidRPr="00D75597">
        <w:rPr>
          <w:rFonts w:ascii="Arial-BoldMT" w:hAnsi="Arial-BoldMT" w:cs="Arial-BoldMT"/>
          <w:bCs/>
          <w:color w:val="FF0000"/>
          <w:sz w:val="24"/>
          <w:szCs w:val="24"/>
          <w:u w:val="single"/>
          <w:lang w:val="en-US" w:eastAsia="zh-CN"/>
        </w:rPr>
        <w:t xml:space="preserve">subfield in an Allocation field within an Extended Schedule element </w:t>
      </w:r>
      <w:r w:rsidR="00575738">
        <w:rPr>
          <w:rFonts w:ascii="Arial-BoldMT" w:hAnsi="Arial-BoldMT" w:cs="Arial-BoldMT"/>
          <w:bCs/>
          <w:color w:val="FF0000"/>
          <w:sz w:val="24"/>
          <w:szCs w:val="24"/>
          <w:u w:val="single"/>
          <w:lang w:val="en-US" w:eastAsia="zh-CN"/>
        </w:rPr>
        <w:t>equal to</w:t>
      </w:r>
      <w:r w:rsidRPr="00D75597">
        <w:rPr>
          <w:rFonts w:ascii="Arial-BoldMT" w:hAnsi="Arial-BoldMT" w:cs="Arial-BoldMT"/>
          <w:bCs/>
          <w:color w:val="FF0000"/>
          <w:sz w:val="24"/>
          <w:szCs w:val="24"/>
          <w:u w:val="single"/>
          <w:lang w:val="en-US" w:eastAsia="zh-CN"/>
        </w:rPr>
        <w:t xml:space="preserve"> </w:t>
      </w:r>
      <w:r w:rsidR="00EF3B30">
        <w:rPr>
          <w:rFonts w:ascii="Arial-BoldMT" w:hAnsi="Arial-BoldMT" w:cs="Arial-BoldMT"/>
          <w:bCs/>
          <w:color w:val="FF0000"/>
          <w:sz w:val="24"/>
          <w:szCs w:val="24"/>
          <w:u w:val="single"/>
          <w:lang w:val="en-US" w:eastAsia="zh-CN"/>
        </w:rPr>
        <w:t>1</w:t>
      </w:r>
      <w:r w:rsidRPr="00D75597">
        <w:rPr>
          <w:rFonts w:ascii="Arial-BoldMT" w:hAnsi="Arial-BoldMT" w:cs="Arial-BoldMT"/>
          <w:bCs/>
          <w:color w:val="FF0000"/>
          <w:sz w:val="24"/>
          <w:szCs w:val="24"/>
          <w:u w:val="single"/>
          <w:lang w:val="en-US" w:eastAsia="zh-CN"/>
        </w:rPr>
        <w:t xml:space="preserve">, </w:t>
      </w:r>
      <w:r w:rsidR="00D73A51">
        <w:rPr>
          <w:rFonts w:ascii="Arial-BoldMT" w:hAnsi="Arial-BoldMT" w:cs="Arial-BoldMT"/>
          <w:bCs/>
          <w:color w:val="FF0000"/>
          <w:sz w:val="24"/>
          <w:szCs w:val="24"/>
          <w:u w:val="single"/>
          <w:lang w:val="en-US" w:eastAsia="zh-CN"/>
        </w:rPr>
        <w:t xml:space="preserve">it is an SP with TDD channel access </w:t>
      </w:r>
      <w:r w:rsidR="00DC6817">
        <w:rPr>
          <w:rFonts w:ascii="Arial-BoldMT" w:hAnsi="Arial-BoldMT" w:cs="Arial-BoldMT"/>
          <w:bCs/>
          <w:color w:val="FF0000"/>
          <w:sz w:val="24"/>
          <w:szCs w:val="24"/>
          <w:u w:val="single"/>
          <w:lang w:val="en-US" w:eastAsia="zh-CN"/>
        </w:rPr>
        <w:t>(</w:t>
      </w:r>
      <w:r w:rsidR="00AF63E8">
        <w:rPr>
          <w:rFonts w:ascii="Arial-BoldMT" w:hAnsi="Arial-BoldMT" w:cs="Arial-BoldMT"/>
          <w:bCs/>
          <w:color w:val="FF0000"/>
          <w:sz w:val="24"/>
          <w:szCs w:val="24"/>
          <w:u w:val="single"/>
          <w:lang w:val="en-US" w:eastAsia="zh-CN"/>
        </w:rPr>
        <w:t xml:space="preserve">i.e., </w:t>
      </w:r>
      <w:r w:rsidR="00DC6817">
        <w:rPr>
          <w:rFonts w:ascii="Arial-BoldMT" w:hAnsi="Arial-BoldMT" w:cs="Arial-BoldMT"/>
          <w:bCs/>
          <w:color w:val="FF0000"/>
          <w:sz w:val="24"/>
          <w:szCs w:val="24"/>
          <w:u w:val="single"/>
          <w:lang w:val="en-US" w:eastAsia="zh-CN"/>
        </w:rPr>
        <w:t xml:space="preserve">TDD SP) </w:t>
      </w:r>
      <w:r w:rsidR="00D73A51">
        <w:rPr>
          <w:rFonts w:ascii="Arial-BoldMT" w:hAnsi="Arial-BoldMT" w:cs="Arial-BoldMT"/>
          <w:bCs/>
          <w:color w:val="FF0000"/>
          <w:sz w:val="24"/>
          <w:szCs w:val="24"/>
          <w:u w:val="single"/>
          <w:lang w:val="en-US" w:eastAsia="zh-CN"/>
        </w:rPr>
        <w:t xml:space="preserve">and </w:t>
      </w:r>
      <w:r w:rsidRPr="00D75597">
        <w:rPr>
          <w:rFonts w:ascii="Arial-BoldMT" w:hAnsi="Arial-BoldMT" w:cs="Arial-BoldMT"/>
          <w:bCs/>
          <w:color w:val="FF0000"/>
          <w:sz w:val="24"/>
          <w:szCs w:val="24"/>
          <w:u w:val="single"/>
          <w:lang w:val="en-US" w:eastAsia="zh-CN"/>
        </w:rPr>
        <w:t xml:space="preserve">the </w:t>
      </w:r>
      <w:r w:rsidR="00EF3B30">
        <w:rPr>
          <w:rFonts w:ascii="Arial-BoldMT" w:hAnsi="Arial-BoldMT" w:cs="Arial-BoldMT"/>
          <w:bCs/>
          <w:color w:val="FF0000"/>
          <w:sz w:val="24"/>
          <w:szCs w:val="24"/>
          <w:u w:val="single"/>
          <w:lang w:val="en-US" w:eastAsia="zh-CN"/>
        </w:rPr>
        <w:t xml:space="preserve">rules specified in 10.36.6.2.2 for </w:t>
      </w:r>
      <w:r w:rsidRPr="00D75597">
        <w:rPr>
          <w:rFonts w:ascii="Arial-BoldMT" w:hAnsi="Arial-BoldMT" w:cs="Arial-BoldMT"/>
          <w:bCs/>
          <w:color w:val="FF0000"/>
          <w:sz w:val="24"/>
          <w:szCs w:val="24"/>
          <w:u w:val="single"/>
          <w:lang w:val="en-US" w:eastAsia="zh-CN"/>
        </w:rPr>
        <w:t>TDD channel acce</w:t>
      </w:r>
      <w:r w:rsidR="00D40CAD">
        <w:rPr>
          <w:rFonts w:ascii="Arial-BoldMT" w:hAnsi="Arial-BoldMT" w:cs="Arial-BoldMT"/>
          <w:bCs/>
          <w:color w:val="FF0000"/>
          <w:sz w:val="24"/>
          <w:szCs w:val="24"/>
          <w:u w:val="single"/>
          <w:lang w:val="en-US" w:eastAsia="zh-CN"/>
        </w:rPr>
        <w:t>ss</w:t>
      </w:r>
      <w:r w:rsidR="00EF3B30">
        <w:rPr>
          <w:rFonts w:ascii="Arial-BoldMT" w:hAnsi="Arial-BoldMT" w:cs="Arial-BoldMT"/>
          <w:bCs/>
          <w:color w:val="FF0000"/>
          <w:sz w:val="24"/>
          <w:szCs w:val="24"/>
          <w:u w:val="single"/>
          <w:lang w:val="en-US" w:eastAsia="zh-CN"/>
        </w:rPr>
        <w:t xml:space="preserve"> during the SP shall apply</w:t>
      </w:r>
      <w:r w:rsidR="00D40CAD">
        <w:rPr>
          <w:rFonts w:ascii="Arial-BoldMT" w:hAnsi="Arial-BoldMT" w:cs="Arial-BoldMT"/>
          <w:bCs/>
          <w:color w:val="FF0000"/>
          <w:sz w:val="24"/>
          <w:szCs w:val="24"/>
          <w:u w:val="single"/>
          <w:lang w:val="en-US" w:eastAsia="zh-CN"/>
        </w:rPr>
        <w:t>.</w:t>
      </w:r>
      <w:r w:rsidR="00EF3B30">
        <w:rPr>
          <w:rFonts w:ascii="Arial-BoldMT" w:hAnsi="Arial-BoldMT" w:cs="Arial-BoldMT"/>
          <w:bCs/>
          <w:color w:val="FF0000"/>
          <w:sz w:val="24"/>
          <w:szCs w:val="24"/>
          <w:u w:val="single"/>
          <w:lang w:val="en-US" w:eastAsia="zh-CN"/>
        </w:rPr>
        <w:t xml:space="preserve"> Otherwise, the TDD channel access rules shall not apply and the SP does not use the TDD channel access rules.</w:t>
      </w:r>
    </w:p>
    <w:p w14:paraId="332BD702" w14:textId="77777777" w:rsidR="00947039" w:rsidRDefault="00947039" w:rsidP="00947039">
      <w:pPr>
        <w:widowControl w:val="0"/>
        <w:autoSpaceDE w:val="0"/>
        <w:autoSpaceDN w:val="0"/>
        <w:adjustRightInd w:val="0"/>
        <w:rPr>
          <w:rFonts w:ascii="Arial-BoldMT" w:hAnsi="Arial-BoldMT" w:cs="Arial-BoldMT"/>
          <w:bCs/>
          <w:color w:val="FF0000"/>
          <w:sz w:val="24"/>
          <w:szCs w:val="24"/>
          <w:u w:val="single"/>
          <w:lang w:val="en-US" w:eastAsia="zh-CN"/>
        </w:rPr>
      </w:pPr>
    </w:p>
    <w:p w14:paraId="66B855BB" w14:textId="2BBB6E53" w:rsidR="00947039" w:rsidRDefault="00947039" w:rsidP="00947039">
      <w:pPr>
        <w:widowControl w:val="0"/>
        <w:autoSpaceDE w:val="0"/>
        <w:autoSpaceDN w:val="0"/>
        <w:adjustRightInd w:val="0"/>
        <w:rPr>
          <w:rFonts w:ascii="Arial-BoldMT" w:hAnsi="Arial-BoldMT" w:cs="Arial-BoldMT"/>
          <w:bCs/>
          <w:color w:val="FF0000"/>
          <w:sz w:val="24"/>
          <w:szCs w:val="24"/>
          <w:u w:val="single"/>
          <w:lang w:val="en-US" w:eastAsia="zh-CN"/>
        </w:rPr>
      </w:pPr>
      <w:r>
        <w:rPr>
          <w:rFonts w:ascii="Arial-BoldMT" w:hAnsi="Arial-BoldMT" w:cs="Arial-BoldMT"/>
          <w:bCs/>
          <w:color w:val="FF0000"/>
          <w:sz w:val="24"/>
          <w:szCs w:val="24"/>
          <w:u w:val="single"/>
          <w:lang w:val="en-US" w:eastAsia="zh-CN"/>
        </w:rPr>
        <w:t xml:space="preserve">A DMG STA shall transmit or receive in </w:t>
      </w:r>
      <w:r w:rsidR="00624C2D">
        <w:rPr>
          <w:rFonts w:ascii="Arial-BoldMT" w:hAnsi="Arial-BoldMT" w:cs="Arial-BoldMT"/>
          <w:bCs/>
          <w:color w:val="FF0000"/>
          <w:sz w:val="24"/>
          <w:szCs w:val="24"/>
          <w:u w:val="single"/>
          <w:lang w:val="en-US" w:eastAsia="zh-CN"/>
        </w:rPr>
        <w:t>a TDD SP</w:t>
      </w:r>
      <w:r>
        <w:rPr>
          <w:rFonts w:ascii="Arial-BoldMT" w:hAnsi="Arial-BoldMT" w:cs="Arial-BoldMT"/>
          <w:bCs/>
          <w:color w:val="FF0000"/>
          <w:sz w:val="24"/>
          <w:szCs w:val="24"/>
          <w:u w:val="single"/>
          <w:lang w:val="en-US" w:eastAsia="zh-CN"/>
        </w:rPr>
        <w:t xml:space="preserve"> </w:t>
      </w:r>
      <w:r w:rsidR="009C56D6">
        <w:rPr>
          <w:rFonts w:ascii="Arial-BoldMT" w:hAnsi="Arial-BoldMT" w:cs="Arial-BoldMT"/>
          <w:bCs/>
          <w:color w:val="FF0000"/>
          <w:sz w:val="24"/>
          <w:szCs w:val="24"/>
          <w:u w:val="single"/>
          <w:lang w:val="en-US" w:eastAsia="zh-CN"/>
        </w:rPr>
        <w:t xml:space="preserve">only </w:t>
      </w:r>
      <w:r>
        <w:rPr>
          <w:rFonts w:ascii="Arial-BoldMT" w:hAnsi="Arial-BoldMT" w:cs="Arial-BoldMT"/>
          <w:bCs/>
          <w:color w:val="FF0000"/>
          <w:sz w:val="24"/>
          <w:szCs w:val="24"/>
          <w:u w:val="single"/>
          <w:lang w:val="en-US" w:eastAsia="zh-CN"/>
        </w:rPr>
        <w:t>if the TDD Channel Access Supported subfield in the STA’s DMG Capabilities element is 1.</w:t>
      </w:r>
    </w:p>
    <w:p w14:paraId="48BDC498" w14:textId="77777777" w:rsidR="00947039" w:rsidRDefault="00947039" w:rsidP="00D73CF2">
      <w:pPr>
        <w:widowControl w:val="0"/>
        <w:autoSpaceDE w:val="0"/>
        <w:autoSpaceDN w:val="0"/>
        <w:adjustRightInd w:val="0"/>
        <w:rPr>
          <w:rFonts w:ascii="Arial-BoldMT" w:hAnsi="Arial-BoldMT" w:cs="Arial-BoldMT"/>
          <w:bCs/>
          <w:color w:val="FF0000"/>
          <w:sz w:val="24"/>
          <w:szCs w:val="24"/>
          <w:u w:val="single"/>
          <w:lang w:val="en-US" w:eastAsia="zh-CN"/>
        </w:rPr>
      </w:pPr>
    </w:p>
    <w:p w14:paraId="02972637" w14:textId="508438A6" w:rsidR="00EF3B30" w:rsidRDefault="00EF3B30" w:rsidP="00D73CF2">
      <w:pPr>
        <w:widowControl w:val="0"/>
        <w:autoSpaceDE w:val="0"/>
        <w:autoSpaceDN w:val="0"/>
        <w:adjustRightInd w:val="0"/>
        <w:rPr>
          <w:rFonts w:ascii="Arial-BoldMT" w:hAnsi="Arial-BoldMT" w:cs="Arial-BoldMT"/>
          <w:bCs/>
          <w:color w:val="FF0000"/>
          <w:sz w:val="24"/>
          <w:szCs w:val="24"/>
          <w:u w:val="single"/>
          <w:lang w:val="en-US" w:eastAsia="zh-CN"/>
        </w:rPr>
      </w:pPr>
      <w:r>
        <w:rPr>
          <w:rFonts w:ascii="Arial-BoldMT" w:hAnsi="Arial-BoldMT" w:cs="Arial-BoldMT"/>
          <w:bCs/>
          <w:color w:val="FF0000"/>
          <w:sz w:val="24"/>
          <w:szCs w:val="24"/>
          <w:u w:val="single"/>
          <w:lang w:val="en-US" w:eastAsia="zh-CN"/>
        </w:rPr>
        <w:t>A</w:t>
      </w:r>
      <w:r w:rsidR="00624C2D">
        <w:rPr>
          <w:rFonts w:ascii="Arial-BoldMT" w:hAnsi="Arial-BoldMT" w:cs="Arial-BoldMT"/>
          <w:bCs/>
          <w:color w:val="FF0000"/>
          <w:sz w:val="24"/>
          <w:szCs w:val="24"/>
          <w:u w:val="single"/>
          <w:lang w:val="en-US" w:eastAsia="zh-CN"/>
        </w:rPr>
        <w:t xml:space="preserve"> TDD SP </w:t>
      </w:r>
      <w:r w:rsidR="00FB1EF1">
        <w:rPr>
          <w:rFonts w:ascii="Arial-BoldMT" w:hAnsi="Arial-BoldMT" w:cs="Arial-BoldMT"/>
          <w:bCs/>
          <w:color w:val="FF0000"/>
          <w:sz w:val="24"/>
          <w:szCs w:val="24"/>
          <w:u w:val="single"/>
          <w:lang w:val="en-US" w:eastAsia="zh-CN"/>
        </w:rPr>
        <w:t>comprises</w:t>
      </w:r>
      <w:r>
        <w:rPr>
          <w:rFonts w:ascii="Arial-BoldMT" w:hAnsi="Arial-BoldMT" w:cs="Arial-BoldMT"/>
          <w:bCs/>
          <w:color w:val="FF0000"/>
          <w:sz w:val="24"/>
          <w:szCs w:val="24"/>
          <w:u w:val="single"/>
          <w:lang w:val="en-US" w:eastAsia="zh-CN"/>
        </w:rPr>
        <w:t xml:space="preserve"> a sequence of TDD </w:t>
      </w:r>
      <w:r w:rsidR="00624C2D">
        <w:rPr>
          <w:rFonts w:ascii="Arial-BoldMT" w:hAnsi="Arial-BoldMT" w:cs="Arial-BoldMT"/>
          <w:bCs/>
          <w:color w:val="FF0000"/>
          <w:sz w:val="24"/>
          <w:szCs w:val="24"/>
          <w:u w:val="single"/>
          <w:lang w:val="en-US" w:eastAsia="zh-CN"/>
        </w:rPr>
        <w:t>intervals that</w:t>
      </w:r>
      <w:r w:rsidR="00AF63E8">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in turn, comprise a sequence of </w:t>
      </w:r>
      <w:r w:rsidR="00624C2D">
        <w:rPr>
          <w:rFonts w:ascii="Arial-BoldMT" w:hAnsi="Arial-BoldMT" w:cs="Arial-BoldMT"/>
          <w:bCs/>
          <w:color w:val="FF0000"/>
          <w:sz w:val="24"/>
          <w:szCs w:val="24"/>
          <w:u w:val="single"/>
          <w:lang w:val="en-US" w:eastAsia="zh-CN"/>
        </w:rPr>
        <w:t>TDD slots</w:t>
      </w:r>
      <w:r>
        <w:rPr>
          <w:rFonts w:ascii="Arial-BoldMT" w:hAnsi="Arial-BoldMT" w:cs="Arial-BoldMT"/>
          <w:bCs/>
          <w:color w:val="FF0000"/>
          <w:sz w:val="24"/>
          <w:szCs w:val="24"/>
          <w:u w:val="single"/>
          <w:lang w:val="en-US" w:eastAsia="zh-CN"/>
        </w:rPr>
        <w:t xml:space="preserve"> (see 10.36.6.2.2). TDD </w:t>
      </w:r>
      <w:r w:rsidR="00624C2D">
        <w:rPr>
          <w:rFonts w:ascii="Arial-BoldMT" w:hAnsi="Arial-BoldMT" w:cs="Arial-BoldMT"/>
          <w:bCs/>
          <w:color w:val="FF0000"/>
          <w:sz w:val="24"/>
          <w:szCs w:val="24"/>
          <w:u w:val="single"/>
          <w:lang w:val="en-US" w:eastAsia="zh-CN"/>
        </w:rPr>
        <w:t xml:space="preserve">intervals </w:t>
      </w:r>
      <w:r>
        <w:rPr>
          <w:rFonts w:ascii="Arial-BoldMT" w:hAnsi="Arial-BoldMT" w:cs="Arial-BoldMT"/>
          <w:bCs/>
          <w:color w:val="FF0000"/>
          <w:sz w:val="24"/>
          <w:szCs w:val="24"/>
          <w:u w:val="single"/>
          <w:lang w:val="en-US" w:eastAsia="zh-CN"/>
        </w:rPr>
        <w:t xml:space="preserve">and </w:t>
      </w:r>
      <w:r w:rsidR="00624C2D">
        <w:rPr>
          <w:rFonts w:ascii="Arial-BoldMT" w:hAnsi="Arial-BoldMT" w:cs="Arial-BoldMT"/>
          <w:bCs/>
          <w:color w:val="FF0000"/>
          <w:sz w:val="24"/>
          <w:szCs w:val="24"/>
          <w:u w:val="single"/>
          <w:lang w:val="en-US" w:eastAsia="zh-CN"/>
        </w:rPr>
        <w:t>TDD slots</w:t>
      </w:r>
      <w:r w:rsidRPr="00343567">
        <w:rPr>
          <w:rFonts w:ascii="Arial-BoldMT" w:hAnsi="Arial-BoldMT" w:cs="Arial-BoldMT"/>
          <w:bCs/>
          <w:color w:val="FF0000"/>
          <w:sz w:val="24"/>
          <w:szCs w:val="24"/>
          <w:u w:val="single"/>
          <w:lang w:val="en-US" w:eastAsia="zh-CN"/>
        </w:rPr>
        <w:t xml:space="preserve"> exist only in </w:t>
      </w:r>
      <w:r w:rsidR="00624C2D">
        <w:rPr>
          <w:rFonts w:ascii="Arial-BoldMT" w:hAnsi="Arial-BoldMT" w:cs="Arial-BoldMT"/>
          <w:bCs/>
          <w:color w:val="FF0000"/>
          <w:sz w:val="24"/>
          <w:szCs w:val="24"/>
          <w:u w:val="single"/>
          <w:lang w:val="en-US" w:eastAsia="zh-CN"/>
        </w:rPr>
        <w:t>a TDD SP</w:t>
      </w:r>
      <w:r w:rsidRPr="00343567">
        <w:rPr>
          <w:rFonts w:ascii="Arial-BoldMT" w:hAnsi="Arial-BoldMT" w:cs="Arial-BoldMT"/>
          <w:bCs/>
          <w:color w:val="FF0000"/>
          <w:sz w:val="24"/>
          <w:szCs w:val="24"/>
          <w:u w:val="single"/>
          <w:lang w:val="en-US" w:eastAsia="zh-CN"/>
        </w:rPr>
        <w:t xml:space="preserve">. </w:t>
      </w:r>
      <w:proofErr w:type="gramStart"/>
      <w:r w:rsidRPr="00343567">
        <w:rPr>
          <w:rFonts w:ascii="Arial-BoldMT" w:hAnsi="Arial-BoldMT" w:cs="Arial-BoldMT"/>
          <w:bCs/>
          <w:color w:val="FF0000"/>
          <w:sz w:val="24"/>
          <w:szCs w:val="24"/>
          <w:u w:val="single"/>
          <w:lang w:val="en-US" w:eastAsia="zh-CN"/>
        </w:rPr>
        <w:t>Unless</w:t>
      </w:r>
      <w:proofErr w:type="gramEnd"/>
      <w:r w:rsidRPr="00343567">
        <w:rPr>
          <w:rFonts w:ascii="Arial-BoldMT" w:hAnsi="Arial-BoldMT" w:cs="Arial-BoldMT"/>
          <w:bCs/>
          <w:color w:val="FF0000"/>
          <w:sz w:val="24"/>
          <w:szCs w:val="24"/>
          <w:u w:val="single"/>
          <w:lang w:val="en-US" w:eastAsia="zh-CN"/>
        </w:rPr>
        <w:t xml:space="preserve"> otherwise specified, the rules applicable to an SP shall also be applicable to </w:t>
      </w:r>
      <w:r w:rsidR="00624C2D">
        <w:rPr>
          <w:rFonts w:ascii="Arial-BoldMT" w:hAnsi="Arial-BoldMT" w:cs="Arial-BoldMT"/>
          <w:bCs/>
          <w:color w:val="FF0000"/>
          <w:sz w:val="24"/>
          <w:szCs w:val="24"/>
          <w:u w:val="single"/>
          <w:lang w:val="en-US" w:eastAsia="zh-CN"/>
        </w:rPr>
        <w:lastRenderedPageBreak/>
        <w:t xml:space="preserve">TDD slots within </w:t>
      </w:r>
      <w:r w:rsidRPr="00343567">
        <w:rPr>
          <w:rFonts w:ascii="Arial-BoldMT" w:hAnsi="Arial-BoldMT" w:cs="Arial-BoldMT"/>
          <w:bCs/>
          <w:color w:val="FF0000"/>
          <w:sz w:val="24"/>
          <w:szCs w:val="24"/>
          <w:u w:val="single"/>
          <w:lang w:val="en-US" w:eastAsia="zh-CN"/>
        </w:rPr>
        <w:t>a TDD</w:t>
      </w:r>
      <w:r w:rsidR="00624C2D">
        <w:rPr>
          <w:rFonts w:ascii="Arial-BoldMT" w:hAnsi="Arial-BoldMT" w:cs="Arial-BoldMT"/>
          <w:bCs/>
          <w:color w:val="FF0000"/>
          <w:sz w:val="24"/>
          <w:szCs w:val="24"/>
          <w:u w:val="single"/>
          <w:lang w:val="en-US" w:eastAsia="zh-CN"/>
        </w:rPr>
        <w:t xml:space="preserve"> </w:t>
      </w:r>
      <w:r w:rsidRPr="00343567">
        <w:rPr>
          <w:rFonts w:ascii="Arial-BoldMT" w:hAnsi="Arial-BoldMT" w:cs="Arial-BoldMT"/>
          <w:bCs/>
          <w:color w:val="FF0000"/>
          <w:sz w:val="24"/>
          <w:szCs w:val="24"/>
          <w:u w:val="single"/>
          <w:lang w:val="en-US" w:eastAsia="zh-CN"/>
        </w:rPr>
        <w:t>SP.</w:t>
      </w:r>
    </w:p>
    <w:p w14:paraId="3161B0DA" w14:textId="77777777" w:rsidR="00343567" w:rsidRDefault="00343567" w:rsidP="00D73CF2">
      <w:pPr>
        <w:widowControl w:val="0"/>
        <w:autoSpaceDE w:val="0"/>
        <w:autoSpaceDN w:val="0"/>
        <w:adjustRightInd w:val="0"/>
        <w:rPr>
          <w:rFonts w:ascii="Arial-BoldMT" w:hAnsi="Arial-BoldMT" w:cs="Arial-BoldMT"/>
          <w:bCs/>
          <w:color w:val="FF0000"/>
          <w:sz w:val="24"/>
          <w:szCs w:val="24"/>
          <w:u w:val="single"/>
          <w:lang w:val="en-US" w:eastAsia="zh-CN"/>
        </w:rPr>
      </w:pPr>
    </w:p>
    <w:p w14:paraId="0BCA6CDF" w14:textId="77777777" w:rsidR="00343567" w:rsidRDefault="00343567" w:rsidP="00D73CF2">
      <w:pPr>
        <w:widowControl w:val="0"/>
        <w:autoSpaceDE w:val="0"/>
        <w:autoSpaceDN w:val="0"/>
        <w:adjustRightInd w:val="0"/>
        <w:rPr>
          <w:rFonts w:ascii="Arial-BoldMT" w:hAnsi="Arial-BoldMT" w:cs="Arial-BoldMT"/>
          <w:bCs/>
          <w:color w:val="FF0000"/>
          <w:sz w:val="24"/>
          <w:szCs w:val="24"/>
          <w:u w:val="single"/>
          <w:lang w:val="en-US" w:eastAsia="zh-CN"/>
        </w:rPr>
      </w:pPr>
    </w:p>
    <w:p w14:paraId="6723CE2F" w14:textId="0779EE45" w:rsidR="000E4006" w:rsidRPr="00343567" w:rsidRDefault="00343567" w:rsidP="00B4459F">
      <w:pPr>
        <w:widowControl w:val="0"/>
        <w:autoSpaceDE w:val="0"/>
        <w:autoSpaceDN w:val="0"/>
        <w:adjustRightInd w:val="0"/>
        <w:outlineLvl w:val="0"/>
        <w:rPr>
          <w:rFonts w:ascii="Arial-BoldMT" w:hAnsi="Arial-BoldMT" w:cs="Arial-BoldMT"/>
          <w:b/>
          <w:bCs/>
          <w:i/>
          <w:sz w:val="24"/>
          <w:szCs w:val="24"/>
          <w:lang w:val="en-US" w:eastAsia="zh-CN"/>
        </w:rPr>
      </w:pPr>
      <w:r w:rsidRPr="00343567">
        <w:rPr>
          <w:rFonts w:ascii="Arial-BoldMT" w:hAnsi="Arial-BoldMT" w:cs="Arial-BoldMT"/>
          <w:b/>
          <w:bCs/>
          <w:i/>
          <w:sz w:val="24"/>
          <w:szCs w:val="24"/>
          <w:lang w:val="en-US" w:eastAsia="zh-CN"/>
        </w:rPr>
        <w:t>Change</w:t>
      </w:r>
      <w:r w:rsidRPr="002E0633">
        <w:rPr>
          <w:rFonts w:ascii="Arial-BoldMT" w:hAnsi="Arial-BoldMT" w:cs="Arial-BoldMT"/>
          <w:b/>
          <w:bCs/>
          <w:i/>
          <w:sz w:val="24"/>
          <w:szCs w:val="24"/>
          <w:lang w:val="en-US" w:eastAsia="zh-CN"/>
        </w:rPr>
        <w:t xml:space="preserve"> the </w:t>
      </w:r>
      <w:r>
        <w:rPr>
          <w:rFonts w:ascii="Arial-BoldMT" w:hAnsi="Arial-BoldMT" w:cs="Arial-BoldMT"/>
          <w:b/>
          <w:bCs/>
          <w:i/>
          <w:sz w:val="24"/>
          <w:szCs w:val="24"/>
          <w:lang w:val="en-US" w:eastAsia="zh-CN"/>
        </w:rPr>
        <w:t>2</w:t>
      </w:r>
      <w:r w:rsidRPr="00343567">
        <w:rPr>
          <w:rFonts w:ascii="Arial-BoldMT" w:hAnsi="Arial-BoldMT" w:cs="Arial-BoldMT"/>
          <w:b/>
          <w:bCs/>
          <w:i/>
          <w:sz w:val="24"/>
          <w:szCs w:val="24"/>
          <w:vertAlign w:val="superscript"/>
          <w:lang w:val="en-US" w:eastAsia="zh-CN"/>
        </w:rPr>
        <w:t>n</w:t>
      </w:r>
      <w:r>
        <w:rPr>
          <w:rFonts w:ascii="Arial-BoldMT" w:hAnsi="Arial-BoldMT" w:cs="Arial-BoldMT"/>
          <w:b/>
          <w:bCs/>
          <w:i/>
          <w:sz w:val="24"/>
          <w:szCs w:val="24"/>
          <w:vertAlign w:val="superscript"/>
          <w:lang w:val="en-US" w:eastAsia="zh-CN"/>
        </w:rPr>
        <w:t xml:space="preserve">d </w:t>
      </w:r>
      <w:r>
        <w:rPr>
          <w:rFonts w:ascii="Arial-BoldMT" w:hAnsi="Arial-BoldMT" w:cs="Arial-BoldMT"/>
          <w:b/>
          <w:bCs/>
          <w:i/>
          <w:sz w:val="24"/>
          <w:szCs w:val="24"/>
          <w:lang w:val="en-US" w:eastAsia="zh-CN"/>
        </w:rPr>
        <w:t>paragraph as follows:</w:t>
      </w:r>
    </w:p>
    <w:p w14:paraId="63A9D4FD" w14:textId="66632E12" w:rsidR="000E4006" w:rsidRDefault="000E4006" w:rsidP="00D73CF2">
      <w:pPr>
        <w:widowControl w:val="0"/>
        <w:autoSpaceDE w:val="0"/>
        <w:autoSpaceDN w:val="0"/>
        <w:adjustRightInd w:val="0"/>
        <w:rPr>
          <w:rFonts w:ascii="Arial-BoldMT" w:hAnsi="Arial-BoldMT" w:cs="Arial-BoldMT"/>
          <w:bCs/>
          <w:color w:val="FF0000"/>
          <w:sz w:val="24"/>
          <w:szCs w:val="24"/>
          <w:u w:val="single"/>
          <w:lang w:val="en-US" w:eastAsia="zh-CN"/>
        </w:rPr>
      </w:pPr>
      <w:r w:rsidRPr="00D73CF2">
        <w:rPr>
          <w:rFonts w:ascii="Arial-BoldMT" w:hAnsi="Arial-BoldMT" w:cs="Arial-BoldMT"/>
          <w:bCs/>
          <w:color w:val="000000" w:themeColor="text1"/>
          <w:sz w:val="24"/>
          <w:szCs w:val="24"/>
          <w:lang w:val="en-US" w:eastAsia="zh-CN"/>
        </w:rPr>
        <w:t>An SP</w:t>
      </w:r>
      <w:r>
        <w:rPr>
          <w:rFonts w:ascii="Arial-BoldMT" w:hAnsi="Arial-BoldMT" w:cs="Arial-BoldMT"/>
          <w:bCs/>
          <w:color w:val="000000" w:themeColor="text1"/>
          <w:sz w:val="24"/>
          <w:szCs w:val="24"/>
          <w:lang w:val="en-US" w:eastAsia="zh-CN"/>
        </w:rPr>
        <w:t xml:space="preserve"> </w:t>
      </w:r>
      <w:r w:rsidR="00D61EE2">
        <w:rPr>
          <w:rFonts w:ascii="Arial-BoldMT" w:hAnsi="Arial-BoldMT" w:cs="Arial-BoldMT"/>
          <w:bCs/>
          <w:color w:val="FF0000"/>
          <w:sz w:val="24"/>
          <w:szCs w:val="24"/>
          <w:u w:val="single"/>
          <w:lang w:val="en-US" w:eastAsia="zh-CN"/>
        </w:rPr>
        <w:t xml:space="preserve">that is not a TDD SP </w:t>
      </w:r>
      <w:r w:rsidRPr="00D73CF2">
        <w:rPr>
          <w:rFonts w:ascii="Arial-BoldMT" w:hAnsi="Arial-BoldMT" w:cs="Arial-BoldMT"/>
          <w:bCs/>
          <w:color w:val="000000" w:themeColor="text1"/>
          <w:sz w:val="24"/>
          <w:szCs w:val="24"/>
          <w:lang w:val="en-US" w:eastAsia="zh-CN"/>
        </w:rPr>
        <w:t>is assigned to the source DMG STA identified in the Source AID subfie</w:t>
      </w:r>
      <w:r>
        <w:rPr>
          <w:rFonts w:ascii="Arial-BoldMT" w:hAnsi="Arial-BoldMT" w:cs="Arial-BoldMT"/>
          <w:bCs/>
          <w:color w:val="000000" w:themeColor="text1"/>
          <w:sz w:val="24"/>
          <w:szCs w:val="24"/>
          <w:lang w:val="en-US" w:eastAsia="zh-CN"/>
        </w:rPr>
        <w:t xml:space="preserve">ld in an Allocation field that </w:t>
      </w:r>
      <w:r w:rsidRPr="00D73CF2">
        <w:rPr>
          <w:rFonts w:ascii="Arial-BoldMT" w:hAnsi="Arial-BoldMT" w:cs="Arial-BoldMT"/>
          <w:bCs/>
          <w:color w:val="000000" w:themeColor="text1"/>
          <w:sz w:val="24"/>
          <w:szCs w:val="24"/>
          <w:lang w:val="en-US" w:eastAsia="zh-CN"/>
        </w:rPr>
        <w:t>is not an obsolete allocation within the Extended Schedule element. The source DMG STA shall initiate the</w:t>
      </w:r>
      <w:r>
        <w:rPr>
          <w:rFonts w:ascii="Arial-BoldMT" w:hAnsi="Arial-BoldMT" w:cs="Arial-BoldMT"/>
          <w:bCs/>
          <w:color w:val="000000" w:themeColor="text1"/>
          <w:sz w:val="24"/>
          <w:szCs w:val="24"/>
          <w:lang w:val="en-US" w:eastAsia="zh-CN"/>
        </w:rPr>
        <w:t xml:space="preserve"> </w:t>
      </w:r>
      <w:r w:rsidRPr="00D73CF2">
        <w:rPr>
          <w:rFonts w:ascii="Arial-BoldMT" w:hAnsi="Arial-BoldMT" w:cs="Arial-BoldMT"/>
          <w:bCs/>
          <w:color w:val="000000" w:themeColor="text1"/>
          <w:sz w:val="24"/>
          <w:szCs w:val="24"/>
          <w:lang w:val="en-US" w:eastAsia="zh-CN"/>
        </w:rPr>
        <w:t>frame exchange sequence that takes place during the SP</w:t>
      </w:r>
      <w:r>
        <w:rPr>
          <w:rFonts w:ascii="Arial-BoldMT" w:hAnsi="Arial-BoldMT" w:cs="Arial-BoldMT"/>
          <w:bCs/>
          <w:color w:val="000000" w:themeColor="text1"/>
          <w:sz w:val="24"/>
          <w:szCs w:val="24"/>
          <w:lang w:val="en-US" w:eastAsia="zh-CN"/>
        </w:rPr>
        <w:t xml:space="preserve"> </w:t>
      </w:r>
      <w:r w:rsidRPr="00D73CF2">
        <w:rPr>
          <w:rFonts w:ascii="Arial-BoldMT" w:hAnsi="Arial-BoldMT" w:cs="Arial-BoldMT"/>
          <w:bCs/>
          <w:color w:val="000000" w:themeColor="text1"/>
          <w:sz w:val="24"/>
          <w:szCs w:val="24"/>
          <w:lang w:val="en-US" w:eastAsia="zh-CN"/>
        </w:rPr>
        <w:t>at the start of the SP, except when the source DMG</w:t>
      </w:r>
      <w:r>
        <w:rPr>
          <w:rFonts w:ascii="Arial-BoldMT" w:hAnsi="Arial-BoldMT" w:cs="Arial-BoldMT"/>
          <w:bCs/>
          <w:color w:val="000000" w:themeColor="text1"/>
          <w:sz w:val="24"/>
          <w:szCs w:val="24"/>
          <w:lang w:val="en-US" w:eastAsia="zh-CN"/>
        </w:rPr>
        <w:t xml:space="preserve"> </w:t>
      </w:r>
      <w:r w:rsidRPr="00D73CF2">
        <w:rPr>
          <w:rFonts w:ascii="Arial-BoldMT" w:hAnsi="Arial-BoldMT" w:cs="Arial-BoldMT"/>
          <w:bCs/>
          <w:color w:val="000000" w:themeColor="text1"/>
          <w:sz w:val="24"/>
          <w:szCs w:val="24"/>
          <w:lang w:val="en-US" w:eastAsia="zh-CN"/>
        </w:rPr>
        <w:t>STA intends to establish a DMG protected period in which case the rules described in 10.36.6.6 shall be</w:t>
      </w:r>
      <w:r>
        <w:rPr>
          <w:rFonts w:ascii="Arial-BoldMT" w:hAnsi="Arial-BoldMT" w:cs="Arial-BoldMT"/>
          <w:bCs/>
          <w:color w:val="000000" w:themeColor="text1"/>
          <w:sz w:val="24"/>
          <w:szCs w:val="24"/>
          <w:lang w:val="en-US" w:eastAsia="zh-CN"/>
        </w:rPr>
        <w:t xml:space="preserve"> </w:t>
      </w:r>
      <w:r w:rsidRPr="00D73CF2">
        <w:rPr>
          <w:rFonts w:ascii="Arial-BoldMT" w:hAnsi="Arial-BoldMT" w:cs="Arial-BoldMT"/>
          <w:bCs/>
          <w:color w:val="000000" w:themeColor="text1"/>
          <w:sz w:val="24"/>
          <w:szCs w:val="24"/>
          <w:lang w:val="en-US" w:eastAsia="zh-CN"/>
        </w:rPr>
        <w:t>followed before the source DMG STA initiates the frame exchange in the SP. The SP allocation identifies</w:t>
      </w:r>
      <w:r>
        <w:rPr>
          <w:rFonts w:ascii="Arial-BoldMT" w:hAnsi="Arial-BoldMT" w:cs="Arial-BoldMT" w:hint="eastAsia"/>
          <w:bCs/>
          <w:color w:val="000000" w:themeColor="text1"/>
          <w:sz w:val="24"/>
          <w:szCs w:val="24"/>
          <w:lang w:val="en-US" w:eastAsia="zh-CN"/>
        </w:rPr>
        <w:t xml:space="preserve"> </w:t>
      </w:r>
      <w:r w:rsidRPr="00D73CF2">
        <w:rPr>
          <w:rFonts w:ascii="Arial-BoldMT" w:hAnsi="Arial-BoldMT" w:cs="Arial-BoldMT"/>
          <w:bCs/>
          <w:color w:val="000000" w:themeColor="text1"/>
          <w:sz w:val="24"/>
          <w:szCs w:val="24"/>
          <w:lang w:val="en-US" w:eastAsia="zh-CN"/>
        </w:rPr>
        <w:t>the TC or TS for which the allocation is made; however, the type of traffic transmitted is not restricted to the</w:t>
      </w:r>
      <w:r>
        <w:rPr>
          <w:rFonts w:ascii="Arial-BoldMT" w:hAnsi="Arial-BoldMT" w:cs="Arial-BoldMT" w:hint="eastAsia"/>
          <w:bCs/>
          <w:color w:val="000000" w:themeColor="text1"/>
          <w:sz w:val="24"/>
          <w:szCs w:val="24"/>
          <w:lang w:val="en-US" w:eastAsia="zh-CN"/>
        </w:rPr>
        <w:t xml:space="preserve"> </w:t>
      </w:r>
      <w:r w:rsidRPr="00D73CF2">
        <w:rPr>
          <w:rFonts w:ascii="Arial-BoldMT" w:hAnsi="Arial-BoldMT" w:cs="Arial-BoldMT"/>
          <w:bCs/>
          <w:color w:val="000000" w:themeColor="text1"/>
          <w:sz w:val="24"/>
          <w:szCs w:val="24"/>
          <w:lang w:val="en-US" w:eastAsia="zh-CN"/>
        </w:rPr>
        <w:t>specified TC or TS (11.4.1).</w:t>
      </w:r>
    </w:p>
    <w:p w14:paraId="170F96C2" w14:textId="77777777" w:rsidR="000E4006" w:rsidRDefault="000E4006" w:rsidP="00D73CF2">
      <w:pPr>
        <w:widowControl w:val="0"/>
        <w:autoSpaceDE w:val="0"/>
        <w:autoSpaceDN w:val="0"/>
        <w:adjustRightInd w:val="0"/>
        <w:rPr>
          <w:rFonts w:ascii="Arial-BoldMT" w:hAnsi="Arial-BoldMT" w:cs="Arial-BoldMT"/>
          <w:bCs/>
          <w:color w:val="FF0000"/>
          <w:sz w:val="24"/>
          <w:szCs w:val="24"/>
          <w:u w:val="single"/>
          <w:lang w:val="en-US" w:eastAsia="zh-CN"/>
        </w:rPr>
      </w:pPr>
    </w:p>
    <w:p w14:paraId="6BB6718E" w14:textId="76A10AFF" w:rsidR="00343567" w:rsidRPr="00343567" w:rsidRDefault="00343567" w:rsidP="00B4459F">
      <w:pPr>
        <w:widowControl w:val="0"/>
        <w:autoSpaceDE w:val="0"/>
        <w:autoSpaceDN w:val="0"/>
        <w:adjustRightInd w:val="0"/>
        <w:outlineLvl w:val="0"/>
        <w:rPr>
          <w:rFonts w:ascii="Arial-BoldMT" w:hAnsi="Arial-BoldMT" w:cs="Arial-BoldMT"/>
          <w:b/>
          <w:bCs/>
          <w:i/>
          <w:sz w:val="24"/>
          <w:szCs w:val="24"/>
          <w:lang w:val="en-US" w:eastAsia="zh-CN"/>
        </w:rPr>
      </w:pPr>
      <w:r w:rsidRPr="00343567">
        <w:rPr>
          <w:rFonts w:ascii="Arial-BoldMT" w:hAnsi="Arial-BoldMT" w:cs="Arial-BoldMT"/>
          <w:b/>
          <w:bCs/>
          <w:i/>
          <w:sz w:val="24"/>
          <w:szCs w:val="24"/>
          <w:lang w:val="en-US" w:eastAsia="zh-CN"/>
        </w:rPr>
        <w:t>Change</w:t>
      </w:r>
      <w:r w:rsidRPr="002E0633">
        <w:rPr>
          <w:rFonts w:ascii="Arial-BoldMT" w:hAnsi="Arial-BoldMT" w:cs="Arial-BoldMT"/>
          <w:b/>
          <w:bCs/>
          <w:i/>
          <w:sz w:val="24"/>
          <w:szCs w:val="24"/>
          <w:lang w:val="en-US" w:eastAsia="zh-CN"/>
        </w:rPr>
        <w:t xml:space="preserve"> the </w:t>
      </w:r>
      <w:r>
        <w:rPr>
          <w:rFonts w:ascii="Arial-BoldMT" w:hAnsi="Arial-BoldMT" w:cs="Arial-BoldMT"/>
          <w:b/>
          <w:bCs/>
          <w:i/>
          <w:sz w:val="24"/>
          <w:szCs w:val="24"/>
          <w:lang w:val="en-US" w:eastAsia="zh-CN"/>
        </w:rPr>
        <w:t>3rd</w:t>
      </w:r>
      <w:r>
        <w:rPr>
          <w:rFonts w:ascii="Arial-BoldMT" w:hAnsi="Arial-BoldMT" w:cs="Arial-BoldMT"/>
          <w:b/>
          <w:bCs/>
          <w:i/>
          <w:sz w:val="24"/>
          <w:szCs w:val="24"/>
          <w:vertAlign w:val="superscript"/>
          <w:lang w:val="en-US" w:eastAsia="zh-CN"/>
        </w:rPr>
        <w:t xml:space="preserve"> </w:t>
      </w:r>
      <w:r>
        <w:rPr>
          <w:rFonts w:ascii="Arial-BoldMT" w:hAnsi="Arial-BoldMT" w:cs="Arial-BoldMT"/>
          <w:b/>
          <w:bCs/>
          <w:i/>
          <w:sz w:val="24"/>
          <w:szCs w:val="24"/>
          <w:lang w:val="en-US" w:eastAsia="zh-CN"/>
        </w:rPr>
        <w:t>paragraph as follows:</w:t>
      </w:r>
    </w:p>
    <w:p w14:paraId="54146B1E" w14:textId="1ABB0CCD" w:rsidR="000E4006" w:rsidRPr="00343567" w:rsidRDefault="000E4006" w:rsidP="000E4006">
      <w:pPr>
        <w:widowControl w:val="0"/>
        <w:autoSpaceDE w:val="0"/>
        <w:autoSpaceDN w:val="0"/>
        <w:adjustRightInd w:val="0"/>
        <w:rPr>
          <w:rFonts w:ascii="Arial-BoldMT" w:hAnsi="Arial-BoldMT" w:cs="Arial-BoldMT"/>
          <w:bCs/>
          <w:color w:val="000000" w:themeColor="text1"/>
          <w:sz w:val="24"/>
          <w:szCs w:val="24"/>
          <w:lang w:val="en-US" w:eastAsia="zh-CN"/>
        </w:rPr>
      </w:pPr>
      <w:r w:rsidRPr="00343567">
        <w:rPr>
          <w:rFonts w:ascii="Arial-BoldMT" w:hAnsi="Arial-BoldMT" w:cs="Arial-BoldMT"/>
          <w:bCs/>
          <w:color w:val="000000" w:themeColor="text1"/>
          <w:sz w:val="24"/>
          <w:szCs w:val="24"/>
          <w:lang w:val="en-US" w:eastAsia="zh-CN"/>
        </w:rPr>
        <w:t>Except when transmitting a frame as part of the SP recovery procedure (10.36.6.7) or transmitting a response to the source DMG STA or transmitting a PPDU as part of an RD response burst (10.28)</w:t>
      </w:r>
      <w:r w:rsidR="00947039">
        <w:rPr>
          <w:rFonts w:ascii="Arial-BoldMT" w:hAnsi="Arial-BoldMT" w:cs="Arial-BoldMT"/>
          <w:bCs/>
          <w:color w:val="000000" w:themeColor="text1"/>
          <w:sz w:val="24"/>
          <w:szCs w:val="24"/>
          <w:lang w:val="en-US" w:eastAsia="zh-CN"/>
        </w:rPr>
        <w:t xml:space="preserve"> </w:t>
      </w:r>
      <w:r w:rsidR="00947039">
        <w:rPr>
          <w:rFonts w:ascii="Arial-BoldMT" w:hAnsi="Arial-BoldMT" w:cs="Arial-BoldMT"/>
          <w:bCs/>
          <w:color w:val="FF0000"/>
          <w:sz w:val="24"/>
          <w:szCs w:val="24"/>
          <w:u w:val="single"/>
          <w:lang w:val="en-US" w:eastAsia="zh-CN"/>
        </w:rPr>
        <w:t xml:space="preserve">or in a </w:t>
      </w:r>
      <w:r w:rsidR="00624C2D">
        <w:rPr>
          <w:rFonts w:ascii="Arial-BoldMT" w:hAnsi="Arial-BoldMT" w:cs="Arial-BoldMT"/>
          <w:bCs/>
          <w:color w:val="FF0000"/>
          <w:sz w:val="24"/>
          <w:szCs w:val="24"/>
          <w:u w:val="single"/>
          <w:lang w:val="en-US" w:eastAsia="zh-CN"/>
        </w:rPr>
        <w:t>TDD slot</w:t>
      </w:r>
      <w:r w:rsidRPr="00343567">
        <w:rPr>
          <w:rFonts w:ascii="Arial-BoldMT" w:hAnsi="Arial-BoldMT" w:cs="Arial-BoldMT"/>
          <w:bCs/>
          <w:color w:val="000000" w:themeColor="text1"/>
          <w:sz w:val="24"/>
          <w:szCs w:val="24"/>
          <w:lang w:val="en-US" w:eastAsia="zh-CN"/>
        </w:rPr>
        <w:t>, the STA identified by the Destination AID field in the Extended Schedule element should be in the receive state for</w:t>
      </w:r>
      <w:r w:rsidRPr="00343567">
        <w:rPr>
          <w:rFonts w:ascii="Arial-BoldMT" w:hAnsi="Arial-BoldMT" w:cs="Arial-BoldMT" w:hint="eastAsia"/>
          <w:bCs/>
          <w:color w:val="000000" w:themeColor="text1"/>
          <w:sz w:val="24"/>
          <w:szCs w:val="24"/>
          <w:lang w:val="en-US" w:eastAsia="zh-CN"/>
        </w:rPr>
        <w:t xml:space="preserve"> </w:t>
      </w:r>
      <w:r w:rsidRPr="00343567">
        <w:rPr>
          <w:rFonts w:ascii="Arial-BoldMT" w:hAnsi="Arial-BoldMT" w:cs="Arial-BoldMT"/>
          <w:bCs/>
          <w:color w:val="000000" w:themeColor="text1"/>
          <w:sz w:val="24"/>
          <w:szCs w:val="24"/>
          <w:lang w:val="en-US" w:eastAsia="zh-CN"/>
        </w:rPr>
        <w:t>the duration of the SP in order to receive transmissions from the source DMG STA. If the Destination AID field of the scheduled SP is equal to the broadcast AID and if the Source AID field of the scheduled SP is not equal to the broadcast AID, then all STAs on the PBSS/infrastructure BSS should be in the receive state in</w:t>
      </w:r>
      <w:r w:rsidRPr="00343567">
        <w:rPr>
          <w:rFonts w:ascii="Arial-BoldMT" w:hAnsi="Arial-BoldMT" w:cs="Arial-BoldMT" w:hint="eastAsia"/>
          <w:bCs/>
          <w:color w:val="000000" w:themeColor="text1"/>
          <w:sz w:val="24"/>
          <w:szCs w:val="24"/>
          <w:lang w:val="en-US" w:eastAsia="zh-CN"/>
        </w:rPr>
        <w:t xml:space="preserve"> </w:t>
      </w:r>
      <w:r w:rsidRPr="00343567">
        <w:rPr>
          <w:rFonts w:ascii="Arial-BoldMT" w:hAnsi="Arial-BoldMT" w:cs="Arial-BoldMT"/>
          <w:bCs/>
          <w:color w:val="000000" w:themeColor="text1"/>
          <w:sz w:val="24"/>
          <w:szCs w:val="24"/>
          <w:lang w:val="en-US" w:eastAsia="zh-CN"/>
        </w:rPr>
        <w:t xml:space="preserve">order to receive transmissions from the source DMG STA for the duration of the SP. </w:t>
      </w:r>
      <w:proofErr w:type="spellStart"/>
      <w:r w:rsidRPr="00343567">
        <w:rPr>
          <w:rFonts w:ascii="Arial-BoldMT" w:hAnsi="Arial-BoldMT" w:cs="Arial-BoldMT"/>
          <w:bCs/>
          <w:color w:val="000000" w:themeColor="text1"/>
          <w:sz w:val="24"/>
          <w:szCs w:val="24"/>
          <w:lang w:val="en-US" w:eastAsia="zh-CN"/>
        </w:rPr>
        <w:t>Subclause</w:t>
      </w:r>
      <w:proofErr w:type="spellEnd"/>
      <w:r w:rsidRPr="00343567">
        <w:rPr>
          <w:rFonts w:ascii="Arial-BoldMT" w:hAnsi="Arial-BoldMT" w:cs="Arial-BoldMT"/>
          <w:bCs/>
          <w:color w:val="000000" w:themeColor="text1"/>
          <w:sz w:val="24"/>
          <w:szCs w:val="24"/>
          <w:lang w:val="en-US" w:eastAsia="zh-CN"/>
        </w:rPr>
        <w:t xml:space="preserve"> 10.36.7</w:t>
      </w:r>
      <w:r w:rsidRPr="00343567">
        <w:rPr>
          <w:rFonts w:ascii="Arial-BoldMT" w:hAnsi="Arial-BoldMT" w:cs="Arial-BoldMT" w:hint="eastAsia"/>
          <w:bCs/>
          <w:color w:val="000000" w:themeColor="text1"/>
          <w:sz w:val="24"/>
          <w:szCs w:val="24"/>
          <w:lang w:val="en-US" w:eastAsia="zh-CN"/>
        </w:rPr>
        <w:t xml:space="preserve"> </w:t>
      </w:r>
      <w:r w:rsidRPr="00343567">
        <w:rPr>
          <w:rFonts w:ascii="Arial-BoldMT" w:hAnsi="Arial-BoldMT" w:cs="Arial-BoldMT"/>
          <w:bCs/>
          <w:color w:val="000000" w:themeColor="text1"/>
          <w:sz w:val="24"/>
          <w:szCs w:val="24"/>
          <w:lang w:val="en-US" w:eastAsia="zh-CN"/>
        </w:rPr>
        <w:t>describes the rules for when the scheduled SP has both the Source and Destination AID fields equal to the broadcast AID.</w:t>
      </w:r>
    </w:p>
    <w:p w14:paraId="349BEFFB" w14:textId="77777777" w:rsidR="000E4006" w:rsidRDefault="000E4006" w:rsidP="000E4006">
      <w:pPr>
        <w:widowControl w:val="0"/>
        <w:autoSpaceDE w:val="0"/>
        <w:autoSpaceDN w:val="0"/>
        <w:adjustRightInd w:val="0"/>
        <w:rPr>
          <w:rFonts w:ascii="Arial-BoldMT" w:hAnsi="Arial-BoldMT" w:cs="Arial-BoldMT"/>
          <w:bCs/>
          <w:color w:val="000000" w:themeColor="text1"/>
          <w:sz w:val="24"/>
          <w:szCs w:val="24"/>
          <w:lang w:val="en-US" w:eastAsia="zh-CN"/>
        </w:rPr>
      </w:pPr>
    </w:p>
    <w:p w14:paraId="31582463" w14:textId="0FB937E2" w:rsidR="000E4006" w:rsidRPr="00D73CF2" w:rsidRDefault="00343567" w:rsidP="00B4459F">
      <w:pPr>
        <w:widowControl w:val="0"/>
        <w:autoSpaceDE w:val="0"/>
        <w:autoSpaceDN w:val="0"/>
        <w:adjustRightInd w:val="0"/>
        <w:outlineLvl w:val="0"/>
        <w:rPr>
          <w:rFonts w:ascii="Arial-BoldMT" w:hAnsi="Arial-BoldMT" w:cs="Arial-BoldMT"/>
          <w:bCs/>
          <w:color w:val="000000" w:themeColor="text1"/>
          <w:sz w:val="24"/>
          <w:szCs w:val="24"/>
          <w:lang w:val="en-US" w:eastAsia="zh-CN"/>
        </w:rPr>
      </w:pPr>
      <w:r w:rsidRPr="00343567">
        <w:rPr>
          <w:rFonts w:ascii="Arial-BoldMT" w:hAnsi="Arial-BoldMT" w:cs="Arial-BoldMT"/>
          <w:b/>
          <w:bCs/>
          <w:i/>
          <w:sz w:val="24"/>
          <w:szCs w:val="24"/>
          <w:lang w:val="en-US" w:eastAsia="zh-CN"/>
        </w:rPr>
        <w:t>Change</w:t>
      </w:r>
      <w:r w:rsidRPr="002E0633">
        <w:rPr>
          <w:rFonts w:ascii="Arial-BoldMT" w:hAnsi="Arial-BoldMT" w:cs="Arial-BoldMT"/>
          <w:b/>
          <w:bCs/>
          <w:i/>
          <w:sz w:val="24"/>
          <w:szCs w:val="24"/>
          <w:lang w:val="en-US" w:eastAsia="zh-CN"/>
        </w:rPr>
        <w:t xml:space="preserve"> the </w:t>
      </w:r>
      <w:r>
        <w:rPr>
          <w:rFonts w:ascii="Arial-BoldMT" w:hAnsi="Arial-BoldMT" w:cs="Arial-BoldMT"/>
          <w:b/>
          <w:bCs/>
          <w:i/>
          <w:sz w:val="24"/>
          <w:szCs w:val="24"/>
          <w:lang w:val="en-US" w:eastAsia="zh-CN"/>
        </w:rPr>
        <w:t>8th</w:t>
      </w:r>
      <w:r>
        <w:rPr>
          <w:rFonts w:ascii="Arial-BoldMT" w:hAnsi="Arial-BoldMT" w:cs="Arial-BoldMT"/>
          <w:b/>
          <w:bCs/>
          <w:i/>
          <w:sz w:val="24"/>
          <w:szCs w:val="24"/>
          <w:vertAlign w:val="superscript"/>
          <w:lang w:val="en-US" w:eastAsia="zh-CN"/>
        </w:rPr>
        <w:t xml:space="preserve"> </w:t>
      </w:r>
      <w:r>
        <w:rPr>
          <w:rFonts w:ascii="Arial-BoldMT" w:hAnsi="Arial-BoldMT" w:cs="Arial-BoldMT"/>
          <w:b/>
          <w:bCs/>
          <w:i/>
          <w:sz w:val="24"/>
          <w:szCs w:val="24"/>
          <w:lang w:val="en-US" w:eastAsia="zh-CN"/>
        </w:rPr>
        <w:t>paragraph as follows:</w:t>
      </w:r>
    </w:p>
    <w:p w14:paraId="1D78AD07" w14:textId="78E0C63C" w:rsidR="000E4006" w:rsidRDefault="000E4006" w:rsidP="000E4006">
      <w:pPr>
        <w:widowControl w:val="0"/>
        <w:autoSpaceDE w:val="0"/>
        <w:autoSpaceDN w:val="0"/>
        <w:adjustRightInd w:val="0"/>
        <w:rPr>
          <w:rFonts w:ascii="Arial-BoldMT" w:hAnsi="Arial-BoldMT" w:cs="Arial-BoldMT"/>
          <w:bCs/>
          <w:color w:val="000000" w:themeColor="text1"/>
          <w:sz w:val="24"/>
          <w:szCs w:val="24"/>
          <w:lang w:val="en-US" w:eastAsia="zh-CN"/>
        </w:rPr>
      </w:pPr>
      <w:r w:rsidRPr="00D73CF2">
        <w:rPr>
          <w:rFonts w:ascii="Arial-BoldMT" w:hAnsi="Arial-BoldMT" w:cs="Arial-BoldMT"/>
          <w:bCs/>
          <w:color w:val="000000" w:themeColor="text1"/>
          <w:sz w:val="24"/>
          <w:szCs w:val="24"/>
          <w:lang w:val="en-US" w:eastAsia="zh-CN"/>
        </w:rPr>
        <w:t>When scheduling two adjacent SPs</w:t>
      </w:r>
      <w:r w:rsidR="00F46E9C">
        <w:rPr>
          <w:rFonts w:ascii="Arial-BoldMT" w:hAnsi="Arial-BoldMT" w:cs="Arial-BoldMT"/>
          <w:bCs/>
          <w:color w:val="000000" w:themeColor="text1"/>
          <w:sz w:val="24"/>
          <w:szCs w:val="24"/>
          <w:lang w:val="en-US" w:eastAsia="zh-CN"/>
        </w:rPr>
        <w:t xml:space="preserve"> </w:t>
      </w:r>
      <w:r w:rsidR="00F46E9C" w:rsidRPr="00343567">
        <w:rPr>
          <w:rFonts w:ascii="Arial-BoldMT" w:hAnsi="Arial-BoldMT" w:cs="Arial-BoldMT"/>
          <w:bCs/>
          <w:color w:val="FF0000"/>
          <w:sz w:val="24"/>
          <w:szCs w:val="24"/>
          <w:u w:val="single"/>
          <w:lang w:val="en-US" w:eastAsia="zh-CN"/>
        </w:rPr>
        <w:t>w</w:t>
      </w:r>
      <w:r w:rsidR="00947039">
        <w:rPr>
          <w:rFonts w:ascii="Arial-BoldMT" w:hAnsi="Arial-BoldMT" w:cs="Arial-BoldMT"/>
          <w:bCs/>
          <w:color w:val="FF0000"/>
          <w:sz w:val="24"/>
          <w:szCs w:val="24"/>
          <w:u w:val="single"/>
          <w:lang w:val="en-US" w:eastAsia="zh-CN"/>
        </w:rPr>
        <w:t xml:space="preserve">here </w:t>
      </w:r>
      <w:r w:rsidR="00F46E9C" w:rsidRPr="00343567">
        <w:rPr>
          <w:rFonts w:ascii="Arial-BoldMT" w:hAnsi="Arial-BoldMT" w:cs="Arial-BoldMT"/>
          <w:bCs/>
          <w:color w:val="FF0000"/>
          <w:sz w:val="24"/>
          <w:szCs w:val="24"/>
          <w:u w:val="single"/>
          <w:lang w:val="en-US" w:eastAsia="zh-CN"/>
        </w:rPr>
        <w:t>at least one of the SPs</w:t>
      </w:r>
      <w:r w:rsidR="009C56D6">
        <w:rPr>
          <w:rFonts w:ascii="Arial-BoldMT" w:hAnsi="Arial-BoldMT" w:cs="Arial-BoldMT"/>
          <w:bCs/>
          <w:color w:val="FF0000"/>
          <w:sz w:val="24"/>
          <w:szCs w:val="24"/>
          <w:u w:val="single"/>
          <w:lang w:eastAsia="zh-CN"/>
        </w:rPr>
        <w:t xml:space="preserve"> has the</w:t>
      </w:r>
      <w:r w:rsidR="00D73A51">
        <w:rPr>
          <w:rFonts w:ascii="Arial-BoldMT" w:hAnsi="Arial-BoldMT" w:cs="Arial-BoldMT"/>
          <w:bCs/>
          <w:color w:val="FF0000"/>
          <w:sz w:val="24"/>
          <w:szCs w:val="24"/>
          <w:u w:val="single"/>
          <w:lang w:eastAsia="zh-CN"/>
        </w:rPr>
        <w:t xml:space="preserve"> TDD Applicable SP</w:t>
      </w:r>
      <w:r w:rsidR="0008677D">
        <w:rPr>
          <w:rFonts w:ascii="Arial-BoldMT" w:hAnsi="Arial-BoldMT" w:cs="Arial-BoldMT"/>
          <w:bCs/>
          <w:color w:val="FF0000"/>
          <w:sz w:val="24"/>
          <w:szCs w:val="24"/>
          <w:u w:val="single"/>
          <w:lang w:eastAsia="zh-CN"/>
        </w:rPr>
        <w:t xml:space="preserve"> </w:t>
      </w:r>
      <w:r w:rsidR="009C56D6">
        <w:rPr>
          <w:rFonts w:ascii="Arial-BoldMT" w:hAnsi="Arial-BoldMT" w:cs="Arial-BoldMT"/>
          <w:bCs/>
          <w:color w:val="FF0000"/>
          <w:sz w:val="24"/>
          <w:szCs w:val="24"/>
          <w:u w:val="single"/>
          <w:lang w:eastAsia="zh-CN"/>
        </w:rPr>
        <w:t>subfield set to</w:t>
      </w:r>
      <w:r w:rsidR="00CE16B6">
        <w:rPr>
          <w:rFonts w:ascii="Arial-BoldMT" w:hAnsi="Arial-BoldMT" w:cs="Arial-BoldMT"/>
          <w:bCs/>
          <w:color w:val="FF0000"/>
          <w:sz w:val="24"/>
          <w:szCs w:val="24"/>
          <w:u w:val="single"/>
          <w:lang w:eastAsia="zh-CN"/>
        </w:rPr>
        <w:t xml:space="preserve"> 0</w:t>
      </w:r>
      <w:r w:rsidRPr="00544B79">
        <w:rPr>
          <w:rFonts w:ascii="Arial-BoldMT" w:hAnsi="Arial-BoldMT" w:cs="Arial-BoldMT" w:hint="eastAsia"/>
          <w:bCs/>
          <w:sz w:val="24"/>
          <w:szCs w:val="24"/>
          <w:lang w:val="en-US" w:eastAsia="zh-CN"/>
        </w:rPr>
        <w:t>,</w:t>
      </w:r>
      <w:r w:rsidRPr="00343567">
        <w:rPr>
          <w:rFonts w:ascii="Arial-BoldMT" w:hAnsi="Arial-BoldMT" w:cs="Arial-BoldMT"/>
          <w:bCs/>
          <w:color w:val="FF0000"/>
          <w:sz w:val="24"/>
          <w:szCs w:val="24"/>
          <w:u w:val="single"/>
          <w:lang w:val="en-US" w:eastAsia="zh-CN"/>
        </w:rPr>
        <w:t xml:space="preserve"> </w:t>
      </w:r>
      <w:r w:rsidRPr="00D73CF2">
        <w:rPr>
          <w:rFonts w:ascii="Arial-BoldMT" w:hAnsi="Arial-BoldMT" w:cs="Arial-BoldMT"/>
          <w:bCs/>
          <w:color w:val="000000" w:themeColor="text1"/>
          <w:sz w:val="24"/>
          <w:szCs w:val="24"/>
          <w:lang w:val="en-US" w:eastAsia="zh-CN"/>
        </w:rPr>
        <w:t>the AP or PCP should allocate the SPs separated by at least</w:t>
      </w:r>
      <w:r>
        <w:rPr>
          <w:rFonts w:ascii="Arial-BoldMT" w:hAnsi="Arial-BoldMT" w:cs="Arial-BoldMT"/>
          <w:bCs/>
          <w:color w:val="000000" w:themeColor="text1"/>
          <w:sz w:val="24"/>
          <w:szCs w:val="24"/>
          <w:lang w:val="en-US" w:eastAsia="zh-CN"/>
        </w:rPr>
        <w:t xml:space="preserve"> </w:t>
      </w:r>
      <w:proofErr w:type="spellStart"/>
      <w:r w:rsidRPr="00D73CF2">
        <w:rPr>
          <w:rFonts w:ascii="Arial-BoldMT" w:hAnsi="Arial-BoldMT" w:cs="Arial-BoldMT"/>
          <w:bCs/>
          <w:color w:val="000000" w:themeColor="text1"/>
          <w:sz w:val="24"/>
          <w:szCs w:val="24"/>
          <w:lang w:val="en-US" w:eastAsia="zh-CN"/>
        </w:rPr>
        <w:t>aDMGPPMinListeningTime</w:t>
      </w:r>
      <w:proofErr w:type="spellEnd"/>
      <w:r w:rsidRPr="00D73CF2">
        <w:rPr>
          <w:rFonts w:ascii="Arial-BoldMT" w:hAnsi="Arial-BoldMT" w:cs="Arial-BoldMT"/>
          <w:bCs/>
          <w:color w:val="000000" w:themeColor="text1"/>
          <w:sz w:val="24"/>
          <w:szCs w:val="24"/>
          <w:lang w:val="en-US" w:eastAsia="zh-CN"/>
        </w:rPr>
        <w:t xml:space="preserve"> if one or more of the source or destination DMG STAs participate in both SPs.</w:t>
      </w:r>
      <w:r w:rsidR="00F46E9C">
        <w:rPr>
          <w:rFonts w:ascii="Arial-BoldMT" w:hAnsi="Arial-BoldMT" w:cs="Arial-BoldMT"/>
          <w:bCs/>
          <w:color w:val="000000" w:themeColor="text1"/>
          <w:sz w:val="24"/>
          <w:szCs w:val="24"/>
          <w:lang w:val="en-US" w:eastAsia="zh-CN"/>
        </w:rPr>
        <w:t xml:space="preserve"> </w:t>
      </w:r>
      <w:r w:rsidR="00F46E9C" w:rsidRPr="00544B79">
        <w:rPr>
          <w:rFonts w:ascii="Arial-BoldMT" w:hAnsi="Arial-BoldMT" w:cs="Arial-BoldMT" w:hint="eastAsia"/>
          <w:bCs/>
          <w:color w:val="FF0000"/>
          <w:sz w:val="24"/>
          <w:szCs w:val="24"/>
          <w:u w:val="single"/>
          <w:lang w:val="en-US" w:eastAsia="zh-CN"/>
        </w:rPr>
        <w:t xml:space="preserve">Otherwise, there </w:t>
      </w:r>
      <w:r w:rsidR="00116260">
        <w:rPr>
          <w:rFonts w:ascii="Arial-BoldMT" w:hAnsi="Arial-BoldMT" w:cs="Arial-BoldMT"/>
          <w:bCs/>
          <w:color w:val="FF0000"/>
          <w:sz w:val="24"/>
          <w:szCs w:val="24"/>
          <w:u w:val="single"/>
          <w:lang w:val="en-US" w:eastAsia="zh-CN"/>
        </w:rPr>
        <w:t>is</w:t>
      </w:r>
      <w:r w:rsidR="00F46E9C" w:rsidRPr="00544B79">
        <w:rPr>
          <w:rFonts w:ascii="Arial-BoldMT" w:hAnsi="Arial-BoldMT" w:cs="Arial-BoldMT" w:hint="eastAsia"/>
          <w:bCs/>
          <w:color w:val="FF0000"/>
          <w:sz w:val="24"/>
          <w:szCs w:val="24"/>
          <w:u w:val="single"/>
          <w:lang w:val="en-US" w:eastAsia="zh-CN"/>
        </w:rPr>
        <w:t xml:space="preserve"> no separation between the SPs</w:t>
      </w:r>
      <w:r w:rsidR="00116260">
        <w:rPr>
          <w:rFonts w:ascii="Arial-BoldMT" w:hAnsi="Arial-BoldMT" w:cs="Arial-BoldMT"/>
          <w:bCs/>
          <w:color w:val="FF0000"/>
          <w:sz w:val="24"/>
          <w:szCs w:val="24"/>
          <w:u w:val="single"/>
          <w:lang w:val="en-US" w:eastAsia="zh-CN"/>
        </w:rPr>
        <w:t xml:space="preserve"> (see 10.36..6.2.2)</w:t>
      </w:r>
      <w:r w:rsidR="00F46E9C" w:rsidRPr="00544B79">
        <w:rPr>
          <w:rFonts w:ascii="Arial-BoldMT" w:hAnsi="Arial-BoldMT" w:cs="Arial-BoldMT" w:hint="eastAsia"/>
          <w:bCs/>
          <w:color w:val="FF0000"/>
          <w:sz w:val="24"/>
          <w:szCs w:val="24"/>
          <w:u w:val="single"/>
          <w:lang w:val="en-US" w:eastAsia="zh-CN"/>
        </w:rPr>
        <w:t>.</w:t>
      </w:r>
      <w:r w:rsidR="00F46E9C">
        <w:rPr>
          <w:rFonts w:ascii="Arial-BoldMT" w:hAnsi="Arial-BoldMT" w:cs="Arial-BoldMT"/>
          <w:bCs/>
          <w:color w:val="000000" w:themeColor="text1"/>
          <w:sz w:val="24"/>
          <w:szCs w:val="24"/>
          <w:lang w:val="en-US" w:eastAsia="zh-CN"/>
        </w:rPr>
        <w:t xml:space="preserve"> </w:t>
      </w:r>
    </w:p>
    <w:p w14:paraId="3992AED3" w14:textId="77777777" w:rsidR="000E4006" w:rsidRPr="00A324DD" w:rsidRDefault="000E4006" w:rsidP="000E4006">
      <w:pPr>
        <w:widowControl w:val="0"/>
        <w:autoSpaceDE w:val="0"/>
        <w:autoSpaceDN w:val="0"/>
        <w:adjustRightInd w:val="0"/>
        <w:rPr>
          <w:rFonts w:ascii="Arial-BoldMT" w:hAnsi="Arial-BoldMT" w:cs="Arial-BoldMT"/>
          <w:bCs/>
          <w:color w:val="000000" w:themeColor="text1"/>
          <w:sz w:val="24"/>
          <w:szCs w:val="24"/>
          <w:lang w:val="en-US" w:eastAsia="zh-CN"/>
        </w:rPr>
      </w:pPr>
    </w:p>
    <w:p w14:paraId="2E14F71A" w14:textId="77777777" w:rsidR="00343567" w:rsidRDefault="00343567" w:rsidP="00343567">
      <w:pPr>
        <w:widowControl w:val="0"/>
        <w:autoSpaceDE w:val="0"/>
        <w:autoSpaceDN w:val="0"/>
        <w:adjustRightInd w:val="0"/>
        <w:rPr>
          <w:rFonts w:ascii="Arial-BoldMT" w:hAnsi="Arial-BoldMT" w:cs="Arial-BoldMT"/>
          <w:bCs/>
          <w:color w:val="000000" w:themeColor="text1"/>
          <w:sz w:val="24"/>
          <w:szCs w:val="24"/>
          <w:lang w:val="en-US" w:eastAsia="zh-CN"/>
        </w:rPr>
      </w:pPr>
    </w:p>
    <w:p w14:paraId="755866BA" w14:textId="271F74F0" w:rsidR="00343567" w:rsidRPr="00D73CF2" w:rsidRDefault="00343567" w:rsidP="00B4459F">
      <w:pPr>
        <w:widowControl w:val="0"/>
        <w:autoSpaceDE w:val="0"/>
        <w:autoSpaceDN w:val="0"/>
        <w:adjustRightInd w:val="0"/>
        <w:outlineLvl w:val="0"/>
        <w:rPr>
          <w:rFonts w:ascii="Arial-BoldMT" w:hAnsi="Arial-BoldMT" w:cs="Arial-BoldMT"/>
          <w:bCs/>
          <w:color w:val="000000" w:themeColor="text1"/>
          <w:sz w:val="24"/>
          <w:szCs w:val="24"/>
          <w:lang w:val="en-US" w:eastAsia="zh-CN"/>
        </w:rPr>
      </w:pPr>
      <w:r>
        <w:rPr>
          <w:rFonts w:ascii="Arial-BoldMT" w:hAnsi="Arial-BoldMT" w:cs="Arial-BoldMT"/>
          <w:b/>
          <w:bCs/>
          <w:i/>
          <w:sz w:val="24"/>
          <w:szCs w:val="24"/>
          <w:lang w:val="en-US" w:eastAsia="zh-CN"/>
        </w:rPr>
        <w:t>Insert the following section</w:t>
      </w:r>
      <w:r>
        <w:rPr>
          <w:rFonts w:ascii="Arial-BoldMT" w:hAnsi="Arial-BoldMT" w:cs="Arial-BoldMT"/>
          <w:b/>
          <w:bCs/>
          <w:i/>
          <w:sz w:val="24"/>
          <w:szCs w:val="24"/>
          <w:vertAlign w:val="superscript"/>
          <w:lang w:val="en-US" w:eastAsia="zh-CN"/>
        </w:rPr>
        <w:t xml:space="preserve"> </w:t>
      </w:r>
    </w:p>
    <w:p w14:paraId="1E4ECD1D" w14:textId="74D1BB97" w:rsidR="00F7792D" w:rsidRPr="008961FC" w:rsidRDefault="00F7792D" w:rsidP="00D73CF2">
      <w:pPr>
        <w:widowControl w:val="0"/>
        <w:autoSpaceDE w:val="0"/>
        <w:autoSpaceDN w:val="0"/>
        <w:adjustRightInd w:val="0"/>
        <w:rPr>
          <w:rFonts w:ascii="Arial-BoldMT" w:hAnsi="Arial-BoldMT" w:cs="Arial-BoldMT"/>
          <w:b/>
          <w:bCs/>
          <w:color w:val="000000" w:themeColor="text1"/>
          <w:sz w:val="28"/>
          <w:szCs w:val="28"/>
          <w:lang w:val="en-US" w:eastAsia="zh-CN"/>
        </w:rPr>
      </w:pPr>
      <w:r w:rsidRPr="00055ACF">
        <w:rPr>
          <w:rFonts w:ascii="Arial-BoldMT" w:hAnsi="Arial-BoldMT" w:cs="Arial-BoldMT" w:hint="eastAsia"/>
          <w:b/>
          <w:bCs/>
          <w:color w:val="000000" w:themeColor="text1"/>
          <w:sz w:val="28"/>
          <w:szCs w:val="28"/>
          <w:lang w:val="en-US" w:eastAsia="zh-CN"/>
        </w:rPr>
        <w:t>1</w:t>
      </w:r>
      <w:r w:rsidR="00D40CAD">
        <w:rPr>
          <w:rFonts w:ascii="Arial-BoldMT" w:hAnsi="Arial-BoldMT" w:cs="Arial-BoldMT"/>
          <w:b/>
          <w:bCs/>
          <w:color w:val="000000" w:themeColor="text1"/>
          <w:sz w:val="28"/>
          <w:szCs w:val="28"/>
          <w:lang w:val="en-US" w:eastAsia="zh-CN"/>
        </w:rPr>
        <w:t>0.36.6.2.2</w:t>
      </w:r>
      <w:r w:rsidRPr="00055ACF">
        <w:rPr>
          <w:rFonts w:ascii="Arial-BoldMT" w:hAnsi="Arial-BoldMT" w:cs="Arial-BoldMT"/>
          <w:b/>
          <w:bCs/>
          <w:color w:val="000000" w:themeColor="text1"/>
          <w:sz w:val="28"/>
          <w:szCs w:val="28"/>
          <w:lang w:val="en-US" w:eastAsia="zh-CN"/>
        </w:rPr>
        <w:t xml:space="preserve"> SP with TDD Channel Access</w:t>
      </w:r>
    </w:p>
    <w:p w14:paraId="20C70D1E" w14:textId="77777777" w:rsidR="00947039" w:rsidRDefault="00947039"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2FF56A27" w14:textId="090C691F" w:rsidR="002E0633" w:rsidRDefault="008E73FC" w:rsidP="002E0633">
      <w:pPr>
        <w:widowControl w:val="0"/>
        <w:autoSpaceDE w:val="0"/>
        <w:autoSpaceDN w:val="0"/>
        <w:adjustRightInd w:val="0"/>
        <w:rPr>
          <w:rFonts w:ascii="Arial-BoldMT" w:hAnsi="Arial-BoldMT" w:cs="Arial-BoldMT"/>
          <w:bCs/>
          <w:color w:val="FF0000"/>
          <w:sz w:val="24"/>
          <w:szCs w:val="24"/>
          <w:u w:val="single"/>
          <w:lang w:val="en-US" w:eastAsia="zh-CN"/>
        </w:rPr>
      </w:pPr>
      <w:r w:rsidRPr="00F7792D">
        <w:rPr>
          <w:rFonts w:ascii="Arial-BoldMT" w:hAnsi="Arial-BoldMT" w:cs="Arial-BoldMT"/>
          <w:bCs/>
          <w:color w:val="FF0000"/>
          <w:sz w:val="24"/>
          <w:szCs w:val="24"/>
          <w:u w:val="single"/>
          <w:lang w:val="en-US" w:eastAsia="zh-CN"/>
        </w:rPr>
        <w:t>A DMG</w:t>
      </w:r>
      <w:r w:rsidR="002E0633" w:rsidRPr="00F7792D">
        <w:rPr>
          <w:rFonts w:ascii="Arial-BoldMT" w:hAnsi="Arial-BoldMT" w:cs="Arial-BoldMT"/>
          <w:bCs/>
          <w:color w:val="FF0000"/>
          <w:sz w:val="24"/>
          <w:szCs w:val="24"/>
          <w:u w:val="single"/>
          <w:lang w:val="en-US" w:eastAsia="zh-CN"/>
        </w:rPr>
        <w:t xml:space="preserve"> AP or </w:t>
      </w:r>
      <w:r w:rsidRPr="00F7792D">
        <w:rPr>
          <w:rFonts w:ascii="Arial-BoldMT" w:hAnsi="Arial-BoldMT" w:cs="Arial-BoldMT"/>
          <w:bCs/>
          <w:color w:val="FF0000"/>
          <w:sz w:val="24"/>
          <w:szCs w:val="24"/>
          <w:u w:val="single"/>
          <w:lang w:val="en-US" w:eastAsia="zh-CN"/>
        </w:rPr>
        <w:t xml:space="preserve">DMG </w:t>
      </w:r>
      <w:r w:rsidR="002E0633" w:rsidRPr="00F7792D">
        <w:rPr>
          <w:rFonts w:ascii="Arial-BoldMT" w:hAnsi="Arial-BoldMT" w:cs="Arial-BoldMT"/>
          <w:bCs/>
          <w:color w:val="FF0000"/>
          <w:sz w:val="24"/>
          <w:szCs w:val="24"/>
          <w:u w:val="single"/>
          <w:lang w:val="en-US" w:eastAsia="zh-CN"/>
        </w:rPr>
        <w:t xml:space="preserve">PCP shall set the </w:t>
      </w:r>
      <w:proofErr w:type="spellStart"/>
      <w:r w:rsidR="002E0633" w:rsidRPr="00F7792D">
        <w:rPr>
          <w:rFonts w:ascii="Arial-BoldMT" w:hAnsi="Arial-BoldMT" w:cs="Arial-BoldMT"/>
          <w:bCs/>
          <w:color w:val="FF0000"/>
          <w:sz w:val="24"/>
          <w:szCs w:val="24"/>
          <w:u w:val="single"/>
          <w:lang w:val="en-US" w:eastAsia="zh-CN"/>
        </w:rPr>
        <w:t>AllocationType</w:t>
      </w:r>
      <w:proofErr w:type="spellEnd"/>
      <w:r w:rsidR="002E0633" w:rsidRPr="00F7792D">
        <w:rPr>
          <w:rFonts w:ascii="Arial-BoldMT" w:hAnsi="Arial-BoldMT" w:cs="Arial-BoldMT"/>
          <w:bCs/>
          <w:color w:val="FF0000"/>
          <w:sz w:val="24"/>
          <w:szCs w:val="24"/>
          <w:u w:val="single"/>
          <w:lang w:val="en-US" w:eastAsia="zh-CN"/>
        </w:rPr>
        <w:t xml:space="preserve"> subfield to </w:t>
      </w:r>
      <w:r w:rsidR="00570C31" w:rsidRPr="00F7792D">
        <w:rPr>
          <w:rFonts w:ascii="Arial-BoldMT" w:hAnsi="Arial-BoldMT" w:cs="Arial-BoldMT"/>
          <w:bCs/>
          <w:color w:val="FF0000"/>
          <w:sz w:val="24"/>
          <w:szCs w:val="24"/>
          <w:u w:val="single"/>
          <w:lang w:val="en-US" w:eastAsia="zh-CN"/>
        </w:rPr>
        <w:t>0</w:t>
      </w:r>
      <w:r w:rsidR="002E0633" w:rsidRPr="00F7792D">
        <w:rPr>
          <w:rFonts w:ascii="Arial-BoldMT" w:hAnsi="Arial-BoldMT" w:cs="Arial-BoldMT"/>
          <w:bCs/>
          <w:color w:val="FF0000"/>
          <w:sz w:val="24"/>
          <w:szCs w:val="24"/>
          <w:u w:val="single"/>
          <w:lang w:val="en-US" w:eastAsia="zh-CN"/>
        </w:rPr>
        <w:t xml:space="preserve"> and the </w:t>
      </w:r>
      <w:r w:rsidR="00602C7D">
        <w:rPr>
          <w:rFonts w:ascii="Arial-BoldMT" w:hAnsi="Arial-BoldMT" w:cs="Arial-BoldMT"/>
          <w:bCs/>
          <w:color w:val="FF0000"/>
          <w:sz w:val="24"/>
          <w:szCs w:val="24"/>
          <w:u w:val="single"/>
          <w:lang w:val="en-US" w:eastAsia="zh-CN"/>
        </w:rPr>
        <w:t xml:space="preserve">TDD Applicable SP </w:t>
      </w:r>
      <w:r w:rsidR="002E0633" w:rsidRPr="00F7792D">
        <w:rPr>
          <w:rFonts w:ascii="Arial-BoldMT" w:hAnsi="Arial-BoldMT" w:cs="Arial-BoldMT"/>
          <w:bCs/>
          <w:color w:val="FF0000"/>
          <w:sz w:val="24"/>
          <w:szCs w:val="24"/>
          <w:u w:val="single"/>
          <w:lang w:val="en-US" w:eastAsia="zh-CN"/>
        </w:rPr>
        <w:t xml:space="preserve">subfield </w:t>
      </w:r>
      <w:r w:rsidR="00FE5A47" w:rsidRPr="00F7792D">
        <w:rPr>
          <w:rFonts w:ascii="Arial-BoldMT" w:hAnsi="Arial-BoldMT" w:cs="Arial-BoldMT"/>
          <w:bCs/>
          <w:color w:val="FF0000"/>
          <w:sz w:val="24"/>
          <w:szCs w:val="24"/>
          <w:u w:val="single"/>
          <w:lang w:val="en-US" w:eastAsia="zh-CN"/>
        </w:rPr>
        <w:t xml:space="preserve">to 1 </w:t>
      </w:r>
      <w:r w:rsidR="002E0633" w:rsidRPr="00F7792D">
        <w:rPr>
          <w:rFonts w:ascii="Arial-BoldMT" w:hAnsi="Arial-BoldMT" w:cs="Arial-BoldMT"/>
          <w:bCs/>
          <w:color w:val="FF0000"/>
          <w:sz w:val="24"/>
          <w:szCs w:val="24"/>
          <w:u w:val="single"/>
          <w:lang w:val="en-US" w:eastAsia="zh-CN"/>
        </w:rPr>
        <w:t>in an Allocation fie</w:t>
      </w:r>
      <w:r w:rsidR="00071870">
        <w:rPr>
          <w:rFonts w:ascii="Arial-BoldMT" w:hAnsi="Arial-BoldMT" w:cs="Arial-BoldMT"/>
          <w:bCs/>
          <w:color w:val="FF0000"/>
          <w:sz w:val="24"/>
          <w:szCs w:val="24"/>
          <w:u w:val="single"/>
          <w:lang w:val="en-US" w:eastAsia="zh-CN"/>
        </w:rPr>
        <w:t>l</w:t>
      </w:r>
      <w:r w:rsidR="002E0633" w:rsidRPr="00F7792D">
        <w:rPr>
          <w:rFonts w:ascii="Arial-BoldMT" w:hAnsi="Arial-BoldMT" w:cs="Arial-BoldMT"/>
          <w:bCs/>
          <w:color w:val="FF0000"/>
          <w:sz w:val="24"/>
          <w:szCs w:val="24"/>
          <w:u w:val="single"/>
          <w:lang w:val="en-US" w:eastAsia="zh-CN"/>
        </w:rPr>
        <w:t xml:space="preserve">d within an Extended Schedule element to indicate a </w:t>
      </w:r>
      <w:r w:rsidR="00AF63E8">
        <w:rPr>
          <w:rFonts w:ascii="Arial-BoldMT" w:hAnsi="Arial-BoldMT" w:cs="Arial-BoldMT"/>
          <w:bCs/>
          <w:color w:val="FF0000"/>
          <w:sz w:val="24"/>
          <w:szCs w:val="24"/>
          <w:u w:val="single"/>
          <w:lang w:val="en-US" w:eastAsia="zh-CN"/>
        </w:rPr>
        <w:t xml:space="preserve">TDD </w:t>
      </w:r>
      <w:r w:rsidR="002E0633" w:rsidRPr="00F7792D">
        <w:rPr>
          <w:rFonts w:ascii="Arial-BoldMT" w:hAnsi="Arial-BoldMT" w:cs="Arial-BoldMT"/>
          <w:bCs/>
          <w:color w:val="FF0000"/>
          <w:sz w:val="24"/>
          <w:szCs w:val="24"/>
          <w:u w:val="single"/>
          <w:lang w:val="en-US" w:eastAsia="zh-CN"/>
        </w:rPr>
        <w:t>SP allocation.</w:t>
      </w:r>
    </w:p>
    <w:p w14:paraId="718B8442" w14:textId="77777777" w:rsidR="00D40CAD" w:rsidRDefault="00D40CAD"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771F1DCA" w14:textId="76EB6716" w:rsidR="00D40CAD" w:rsidRDefault="00D40CAD" w:rsidP="00D40CAD">
      <w:pPr>
        <w:widowControl w:val="0"/>
        <w:autoSpaceDE w:val="0"/>
        <w:autoSpaceDN w:val="0"/>
        <w:adjustRightInd w:val="0"/>
        <w:rPr>
          <w:rFonts w:ascii="Arial-BoldMT" w:hAnsi="Arial-BoldMT" w:cs="Arial-BoldMT"/>
          <w:bCs/>
          <w:color w:val="FF0000"/>
          <w:sz w:val="24"/>
          <w:szCs w:val="24"/>
          <w:u w:val="single"/>
          <w:lang w:val="en-US" w:eastAsia="zh-CN"/>
        </w:rPr>
      </w:pPr>
      <w:r w:rsidRPr="00F7792D">
        <w:rPr>
          <w:rFonts w:ascii="Arial-BoldMT" w:hAnsi="Arial-BoldMT" w:cs="Arial-BoldMT"/>
          <w:bCs/>
          <w:color w:val="FF0000"/>
          <w:sz w:val="24"/>
          <w:szCs w:val="24"/>
          <w:u w:val="single"/>
          <w:lang w:val="en-US" w:eastAsia="zh-CN"/>
        </w:rPr>
        <w:t xml:space="preserve">When allocating </w:t>
      </w:r>
      <w:r w:rsidR="00624C2D">
        <w:rPr>
          <w:rFonts w:ascii="Arial-BoldMT" w:hAnsi="Arial-BoldMT" w:cs="Arial-BoldMT"/>
          <w:bCs/>
          <w:color w:val="FF0000"/>
          <w:sz w:val="24"/>
          <w:szCs w:val="24"/>
          <w:u w:val="single"/>
          <w:lang w:val="en-US" w:eastAsia="zh-CN"/>
        </w:rPr>
        <w:t>a TDD SP</w:t>
      </w:r>
      <w:r w:rsidRPr="00F7792D">
        <w:rPr>
          <w:rFonts w:ascii="Arial-BoldMT" w:hAnsi="Arial-BoldMT" w:cs="Arial-BoldMT"/>
          <w:bCs/>
          <w:color w:val="FF0000"/>
          <w:sz w:val="24"/>
          <w:szCs w:val="24"/>
          <w:u w:val="single"/>
          <w:lang w:val="en-US" w:eastAsia="zh-CN"/>
        </w:rPr>
        <w:t>, the AP or PCP shall set both of the Source AID and Destination AID subfields in the corresponding Allocation field to 0.</w:t>
      </w:r>
    </w:p>
    <w:p w14:paraId="3D40284C" w14:textId="77777777" w:rsidR="00071870" w:rsidRDefault="00071870" w:rsidP="00D40CAD">
      <w:pPr>
        <w:widowControl w:val="0"/>
        <w:autoSpaceDE w:val="0"/>
        <w:autoSpaceDN w:val="0"/>
        <w:adjustRightInd w:val="0"/>
        <w:rPr>
          <w:rFonts w:ascii="Arial-BoldMT" w:hAnsi="Arial-BoldMT" w:cs="Arial-BoldMT"/>
          <w:bCs/>
          <w:color w:val="FF0000"/>
          <w:sz w:val="24"/>
          <w:szCs w:val="24"/>
          <w:u w:val="single"/>
          <w:lang w:val="en-US" w:eastAsia="zh-CN"/>
        </w:rPr>
      </w:pPr>
    </w:p>
    <w:p w14:paraId="6156D33C" w14:textId="120ADD44" w:rsidR="00071870" w:rsidRPr="00D40CAD" w:rsidRDefault="00071870" w:rsidP="00D40CAD">
      <w:pPr>
        <w:widowControl w:val="0"/>
        <w:autoSpaceDE w:val="0"/>
        <w:autoSpaceDN w:val="0"/>
        <w:adjustRightInd w:val="0"/>
        <w:rPr>
          <w:rFonts w:ascii="Arial-BoldMT" w:hAnsi="Arial-BoldMT" w:cs="Arial-BoldMT"/>
          <w:bCs/>
          <w:color w:val="FF0000"/>
          <w:sz w:val="24"/>
          <w:szCs w:val="24"/>
          <w:u w:val="single"/>
          <w:lang w:val="en-US" w:eastAsia="zh-CN"/>
        </w:rPr>
      </w:pPr>
      <w:r>
        <w:rPr>
          <w:rFonts w:ascii="Arial-BoldMT" w:hAnsi="Arial-BoldMT" w:cs="Arial-BoldMT"/>
          <w:bCs/>
          <w:color w:val="FF0000"/>
          <w:sz w:val="24"/>
          <w:szCs w:val="24"/>
          <w:u w:val="single"/>
          <w:lang w:val="en-US" w:eastAsia="zh-CN"/>
        </w:rPr>
        <w:t xml:space="preserve">If an Extended Schedule element includes at least one </w:t>
      </w:r>
      <w:r w:rsidR="00624C2D">
        <w:rPr>
          <w:rFonts w:ascii="Arial-BoldMT" w:hAnsi="Arial-BoldMT" w:cs="Arial-BoldMT"/>
          <w:bCs/>
          <w:color w:val="FF0000"/>
          <w:sz w:val="24"/>
          <w:szCs w:val="24"/>
          <w:u w:val="single"/>
          <w:lang w:val="en-US" w:eastAsia="zh-CN"/>
        </w:rPr>
        <w:t xml:space="preserve">TDD </w:t>
      </w:r>
      <w:r>
        <w:rPr>
          <w:rFonts w:ascii="Arial-BoldMT" w:hAnsi="Arial-BoldMT" w:cs="Arial-BoldMT"/>
          <w:bCs/>
          <w:color w:val="FF0000"/>
          <w:sz w:val="24"/>
          <w:szCs w:val="24"/>
          <w:u w:val="single"/>
          <w:lang w:val="en-US" w:eastAsia="zh-CN"/>
        </w:rPr>
        <w:t>SP, a DMG PCP or DMG AP shall include the Extended Schedule element in each transmitted DMG Beacon frame.</w:t>
      </w:r>
    </w:p>
    <w:p w14:paraId="40CB94C5" w14:textId="77777777" w:rsidR="002E0633" w:rsidRPr="00F7792D" w:rsidRDefault="002E0633"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4C377201" w14:textId="6B947EA8" w:rsidR="00F76A4A" w:rsidRDefault="00FE5A47" w:rsidP="002E0633">
      <w:pPr>
        <w:widowControl w:val="0"/>
        <w:autoSpaceDE w:val="0"/>
        <w:autoSpaceDN w:val="0"/>
        <w:adjustRightInd w:val="0"/>
        <w:rPr>
          <w:rFonts w:ascii="Arial-BoldMT" w:hAnsi="Arial-BoldMT" w:cs="Arial-BoldMT"/>
          <w:bCs/>
          <w:color w:val="FF0000"/>
          <w:sz w:val="24"/>
          <w:szCs w:val="24"/>
          <w:u w:val="single"/>
          <w:lang w:val="en-US" w:eastAsia="zh-CN"/>
        </w:rPr>
      </w:pPr>
      <w:r w:rsidRPr="00F7792D">
        <w:rPr>
          <w:rFonts w:ascii="Arial-BoldMT" w:hAnsi="Arial-BoldMT" w:cs="Arial-BoldMT"/>
          <w:bCs/>
          <w:color w:val="FF0000"/>
          <w:sz w:val="24"/>
          <w:szCs w:val="24"/>
          <w:u w:val="single"/>
          <w:lang w:val="en-US" w:eastAsia="zh-CN"/>
        </w:rPr>
        <w:lastRenderedPageBreak/>
        <w:t>The structure of</w:t>
      </w:r>
      <w:r w:rsidR="00624C2D">
        <w:rPr>
          <w:rFonts w:ascii="Arial-BoldMT" w:hAnsi="Arial-BoldMT" w:cs="Arial-BoldMT"/>
          <w:bCs/>
          <w:color w:val="FF0000"/>
          <w:sz w:val="24"/>
          <w:szCs w:val="24"/>
          <w:u w:val="single"/>
          <w:lang w:val="en-US" w:eastAsia="zh-CN"/>
        </w:rPr>
        <w:t xml:space="preserve"> TDD SP</w:t>
      </w:r>
      <w:r w:rsidRPr="00F7792D">
        <w:rPr>
          <w:rFonts w:ascii="Arial-BoldMT" w:hAnsi="Arial-BoldMT" w:cs="Arial-BoldMT"/>
          <w:bCs/>
          <w:color w:val="FF0000"/>
          <w:sz w:val="24"/>
          <w:szCs w:val="24"/>
          <w:u w:val="single"/>
          <w:lang w:val="en-US" w:eastAsia="zh-CN"/>
        </w:rPr>
        <w:t xml:space="preserve"> is shown in Figure 10-xxx</w:t>
      </w:r>
      <w:r w:rsidR="00F76A4A" w:rsidRPr="00F7792D">
        <w:rPr>
          <w:rFonts w:ascii="Arial-BoldMT" w:hAnsi="Arial-BoldMT" w:cs="Arial-BoldMT"/>
          <w:bCs/>
          <w:color w:val="FF0000"/>
          <w:sz w:val="24"/>
          <w:szCs w:val="24"/>
          <w:u w:val="single"/>
          <w:lang w:val="en-US" w:eastAsia="zh-CN"/>
        </w:rPr>
        <w:t>1</w:t>
      </w:r>
      <w:r w:rsidRPr="00F7792D">
        <w:rPr>
          <w:rFonts w:ascii="Arial-BoldMT" w:hAnsi="Arial-BoldMT" w:cs="Arial-BoldMT"/>
          <w:bCs/>
          <w:color w:val="FF0000"/>
          <w:sz w:val="24"/>
          <w:szCs w:val="24"/>
          <w:u w:val="single"/>
          <w:lang w:val="en-US" w:eastAsia="zh-CN"/>
        </w:rPr>
        <w:t xml:space="preserve">. </w:t>
      </w:r>
      <w:r w:rsidR="00624C2D">
        <w:rPr>
          <w:rFonts w:ascii="Arial-BoldMT" w:hAnsi="Arial-BoldMT" w:cs="Arial-BoldMT"/>
          <w:bCs/>
          <w:color w:val="FF0000"/>
          <w:sz w:val="24"/>
          <w:szCs w:val="24"/>
          <w:u w:val="single"/>
          <w:lang w:val="en-US" w:eastAsia="zh-CN"/>
        </w:rPr>
        <w:t>A TDD SP</w:t>
      </w:r>
      <w:r w:rsidR="008E73FC" w:rsidRPr="00F7792D">
        <w:rPr>
          <w:rFonts w:ascii="Arial-BoldMT" w:hAnsi="Arial-BoldMT" w:cs="Arial-BoldMT"/>
          <w:bCs/>
          <w:color w:val="FF0000"/>
          <w:sz w:val="24"/>
          <w:szCs w:val="24"/>
          <w:u w:val="single"/>
          <w:lang w:val="en-US" w:eastAsia="zh-CN"/>
        </w:rPr>
        <w:t xml:space="preserve"> consists of </w:t>
      </w:r>
      <w:r w:rsidR="00071870">
        <w:rPr>
          <w:rFonts w:ascii="Arial-BoldMT" w:hAnsi="Arial-BoldMT" w:cs="Arial-BoldMT"/>
          <w:bCs/>
          <w:color w:val="FF0000"/>
          <w:sz w:val="24"/>
          <w:szCs w:val="24"/>
          <w:u w:val="single"/>
          <w:lang w:val="en-US" w:eastAsia="zh-CN"/>
        </w:rPr>
        <w:t xml:space="preserve">one or more consecutive </w:t>
      </w:r>
      <w:r w:rsidR="006B79ED">
        <w:rPr>
          <w:rFonts w:ascii="Arial-BoldMT" w:hAnsi="Arial-BoldMT" w:cs="Arial-BoldMT"/>
          <w:bCs/>
          <w:color w:val="FF0000"/>
          <w:sz w:val="24"/>
          <w:szCs w:val="24"/>
          <w:u w:val="single"/>
          <w:lang w:val="en-US" w:eastAsia="zh-CN"/>
        </w:rPr>
        <w:t xml:space="preserve">identical </w:t>
      </w:r>
      <w:r w:rsidR="008E73FC" w:rsidRPr="00F7792D">
        <w:rPr>
          <w:rFonts w:ascii="Arial-BoldMT" w:hAnsi="Arial-BoldMT" w:cs="Arial-BoldMT"/>
          <w:bCs/>
          <w:color w:val="FF0000"/>
          <w:sz w:val="24"/>
          <w:szCs w:val="24"/>
          <w:u w:val="single"/>
          <w:lang w:val="en-US" w:eastAsia="zh-CN"/>
        </w:rPr>
        <w:t xml:space="preserve">TDD </w:t>
      </w:r>
      <w:r w:rsidR="00624C2D">
        <w:rPr>
          <w:rFonts w:ascii="Arial-BoldMT" w:hAnsi="Arial-BoldMT" w:cs="Arial-BoldMT"/>
          <w:bCs/>
          <w:color w:val="FF0000"/>
          <w:sz w:val="24"/>
          <w:szCs w:val="24"/>
          <w:u w:val="single"/>
          <w:lang w:val="en-US" w:eastAsia="zh-CN"/>
        </w:rPr>
        <w:t>intervals</w:t>
      </w:r>
      <w:r w:rsidRPr="00F7792D">
        <w:rPr>
          <w:rFonts w:ascii="Arial-BoldMT" w:hAnsi="Arial-BoldMT" w:cs="Arial-BoldMT"/>
          <w:bCs/>
          <w:color w:val="FF0000"/>
          <w:sz w:val="24"/>
          <w:szCs w:val="24"/>
          <w:u w:val="single"/>
          <w:lang w:val="en-US" w:eastAsia="zh-CN"/>
        </w:rPr>
        <w:t xml:space="preserve">. A TDD </w:t>
      </w:r>
      <w:r w:rsidR="00624C2D">
        <w:rPr>
          <w:rFonts w:ascii="Arial-BoldMT" w:hAnsi="Arial-BoldMT" w:cs="Arial-BoldMT"/>
          <w:bCs/>
          <w:color w:val="FF0000"/>
          <w:sz w:val="24"/>
          <w:szCs w:val="24"/>
          <w:u w:val="single"/>
          <w:lang w:val="en-US" w:eastAsia="zh-CN"/>
        </w:rPr>
        <w:t>interval</w:t>
      </w:r>
      <w:r w:rsidR="00624C2D" w:rsidRPr="00F7792D">
        <w:rPr>
          <w:rFonts w:ascii="Arial-BoldMT" w:hAnsi="Arial-BoldMT" w:cs="Arial-BoldMT"/>
          <w:bCs/>
          <w:color w:val="FF0000"/>
          <w:sz w:val="24"/>
          <w:szCs w:val="24"/>
          <w:u w:val="single"/>
          <w:lang w:val="en-US" w:eastAsia="zh-CN"/>
        </w:rPr>
        <w:t xml:space="preserve"> </w:t>
      </w:r>
      <w:r w:rsidR="00624C2D">
        <w:rPr>
          <w:rFonts w:ascii="Arial-BoldMT" w:hAnsi="Arial-BoldMT" w:cs="Arial-BoldMT"/>
          <w:bCs/>
          <w:color w:val="FF0000"/>
          <w:sz w:val="24"/>
          <w:szCs w:val="24"/>
          <w:u w:val="single"/>
          <w:lang w:val="en-US" w:eastAsia="zh-CN"/>
        </w:rPr>
        <w:t>comprises</w:t>
      </w:r>
      <w:r w:rsidR="00071870">
        <w:rPr>
          <w:rFonts w:ascii="Arial-BoldMT" w:hAnsi="Arial-BoldMT" w:cs="Arial-BoldMT"/>
          <w:bCs/>
          <w:color w:val="FF0000"/>
          <w:sz w:val="24"/>
          <w:szCs w:val="24"/>
          <w:u w:val="single"/>
          <w:lang w:val="en-US" w:eastAsia="zh-CN"/>
        </w:rPr>
        <w:t xml:space="preserve"> one or more </w:t>
      </w:r>
      <w:r w:rsidR="001850B4">
        <w:rPr>
          <w:rFonts w:ascii="Arial-BoldMT" w:hAnsi="Arial-BoldMT" w:cs="Arial-BoldMT"/>
          <w:bCs/>
          <w:color w:val="FF0000"/>
          <w:sz w:val="24"/>
          <w:szCs w:val="24"/>
          <w:u w:val="single"/>
          <w:lang w:val="en-US" w:eastAsia="zh-CN"/>
        </w:rPr>
        <w:t>TDD slot</w:t>
      </w:r>
      <w:r w:rsidR="00175BC5">
        <w:rPr>
          <w:rFonts w:ascii="Arial-BoldMT" w:hAnsi="Arial-BoldMT" w:cs="Arial-BoldMT"/>
          <w:bCs/>
          <w:color w:val="FF0000"/>
          <w:sz w:val="24"/>
          <w:szCs w:val="24"/>
          <w:u w:val="single"/>
          <w:lang w:val="en-US" w:eastAsia="zh-CN"/>
        </w:rPr>
        <w:t>s</w:t>
      </w:r>
      <w:r w:rsidRPr="00F7792D">
        <w:rPr>
          <w:rFonts w:ascii="Arial-BoldMT" w:hAnsi="Arial-BoldMT" w:cs="Arial-BoldMT"/>
          <w:bCs/>
          <w:color w:val="FF0000"/>
          <w:sz w:val="24"/>
          <w:szCs w:val="24"/>
          <w:u w:val="single"/>
          <w:lang w:val="en-US" w:eastAsia="zh-CN"/>
        </w:rPr>
        <w:t xml:space="preserve">. </w:t>
      </w:r>
    </w:p>
    <w:p w14:paraId="6C3C5400" w14:textId="77777777" w:rsidR="00251845" w:rsidRDefault="00251845"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4CB662C9" w14:textId="094447F7" w:rsidR="00251845" w:rsidRDefault="007B29A7" w:rsidP="002E0633">
      <w:pPr>
        <w:widowControl w:val="0"/>
        <w:autoSpaceDE w:val="0"/>
        <w:autoSpaceDN w:val="0"/>
        <w:adjustRightInd w:val="0"/>
        <w:rPr>
          <w:rFonts w:ascii="Arial-BoldMT" w:hAnsi="Arial-BoldMT" w:cs="Arial-BoldMT"/>
          <w:bCs/>
          <w:color w:val="FF0000"/>
          <w:sz w:val="24"/>
          <w:szCs w:val="24"/>
          <w:u w:val="single"/>
          <w:lang w:val="en-US" w:eastAsia="zh-CN"/>
        </w:rPr>
      </w:pPr>
      <w:r>
        <w:object w:dxaOrig="10080" w:dyaOrig="5676" w14:anchorId="529BE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3.4pt" o:ole="">
            <v:imagedata r:id="rId8" o:title=""/>
          </v:shape>
          <o:OLEObject Type="Embed" ProgID="Visio.Drawing.15" ShapeID="_x0000_i1025" DrawAspect="Content" ObjectID="_1571450518" r:id="rId9"/>
        </w:object>
      </w:r>
    </w:p>
    <w:p w14:paraId="208FF5B1" w14:textId="52CD2FFC" w:rsidR="00F76A4A" w:rsidRPr="00F7792D" w:rsidRDefault="00F76A4A" w:rsidP="00251845">
      <w:pPr>
        <w:widowControl w:val="0"/>
        <w:autoSpaceDE w:val="0"/>
        <w:autoSpaceDN w:val="0"/>
        <w:adjustRightInd w:val="0"/>
        <w:jc w:val="center"/>
        <w:outlineLvl w:val="0"/>
        <w:rPr>
          <w:rFonts w:ascii="Arial-BoldMT" w:hAnsi="Arial-BoldMT" w:cs="Arial-BoldMT"/>
          <w:bCs/>
          <w:color w:val="FF0000"/>
          <w:sz w:val="24"/>
          <w:szCs w:val="24"/>
          <w:u w:val="single"/>
          <w:lang w:val="en-US" w:eastAsia="zh-CN"/>
        </w:rPr>
      </w:pPr>
      <w:r w:rsidRPr="00F7792D">
        <w:rPr>
          <w:rFonts w:ascii="Arial-BoldMT" w:hAnsi="Arial-BoldMT" w:cs="Arial-BoldMT" w:hint="eastAsia"/>
          <w:b/>
          <w:bCs/>
          <w:color w:val="FF0000"/>
          <w:sz w:val="20"/>
          <w:u w:val="single"/>
          <w:lang w:val="en-US" w:eastAsia="zh-CN"/>
        </w:rPr>
        <w:t>Figure</w:t>
      </w:r>
      <w:r w:rsidR="00570C31" w:rsidRPr="00F7792D">
        <w:rPr>
          <w:rFonts w:ascii="Arial-BoldMT" w:hAnsi="Arial-BoldMT" w:cs="Arial-BoldMT"/>
          <w:b/>
          <w:bCs/>
          <w:color w:val="FF0000"/>
          <w:sz w:val="20"/>
          <w:u w:val="single"/>
          <w:lang w:val="en-US" w:eastAsia="zh-CN"/>
        </w:rPr>
        <w:t xml:space="preserve"> 10-xxx1---Example</w:t>
      </w:r>
      <w:r w:rsidRPr="00F7792D">
        <w:rPr>
          <w:rFonts w:ascii="Arial-BoldMT" w:hAnsi="Arial-BoldMT" w:cs="Arial-BoldMT"/>
          <w:b/>
          <w:bCs/>
          <w:color w:val="FF0000"/>
          <w:sz w:val="20"/>
          <w:u w:val="single"/>
          <w:lang w:val="en-US" w:eastAsia="zh-CN"/>
        </w:rPr>
        <w:t xml:space="preserve"> of </w:t>
      </w:r>
      <w:r w:rsidR="007B29A7">
        <w:rPr>
          <w:rFonts w:ascii="Arial-BoldMT" w:hAnsi="Arial-BoldMT" w:cs="Arial-BoldMT"/>
          <w:b/>
          <w:bCs/>
          <w:color w:val="FF0000"/>
          <w:sz w:val="20"/>
          <w:u w:val="single"/>
          <w:lang w:val="en-US" w:eastAsia="zh-CN"/>
        </w:rPr>
        <w:t xml:space="preserve">a </w:t>
      </w:r>
      <w:r w:rsidR="005536D3">
        <w:rPr>
          <w:rFonts w:ascii="Arial-BoldMT" w:hAnsi="Arial-BoldMT" w:cs="Arial-BoldMT"/>
          <w:b/>
          <w:bCs/>
          <w:color w:val="FF0000"/>
          <w:sz w:val="20"/>
          <w:u w:val="single"/>
          <w:lang w:val="en-US" w:eastAsia="zh-CN"/>
        </w:rPr>
        <w:t xml:space="preserve">TDD </w:t>
      </w:r>
      <w:r w:rsidRPr="00F7792D">
        <w:rPr>
          <w:rFonts w:ascii="Arial-BoldMT" w:hAnsi="Arial-BoldMT" w:cs="Arial-BoldMT"/>
          <w:b/>
          <w:bCs/>
          <w:color w:val="FF0000"/>
          <w:sz w:val="20"/>
          <w:u w:val="single"/>
          <w:lang w:val="en-US" w:eastAsia="zh-CN"/>
        </w:rPr>
        <w:t>SP</w:t>
      </w:r>
    </w:p>
    <w:p w14:paraId="46664B01" w14:textId="77777777" w:rsidR="008E73FC" w:rsidRPr="00F7792D" w:rsidRDefault="008E73FC"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5D585229" w14:textId="27DF944A" w:rsidR="008E73FC" w:rsidRDefault="00602C7D" w:rsidP="00C819A0">
      <w:pPr>
        <w:widowControl w:val="0"/>
        <w:autoSpaceDE w:val="0"/>
        <w:autoSpaceDN w:val="0"/>
        <w:adjustRightInd w:val="0"/>
        <w:rPr>
          <w:rFonts w:ascii="Arial-BoldMT" w:hAnsi="Arial-BoldMT" w:cs="Arial-BoldMT"/>
          <w:bCs/>
          <w:color w:val="FF0000"/>
          <w:sz w:val="24"/>
          <w:szCs w:val="24"/>
          <w:u w:val="single"/>
          <w:lang w:val="en-US" w:eastAsia="zh-CN"/>
        </w:rPr>
      </w:pPr>
      <w:r w:rsidRPr="00602C7D">
        <w:rPr>
          <w:rFonts w:ascii="Arial-BoldMT" w:hAnsi="Arial-BoldMT" w:cs="Arial-BoldMT"/>
          <w:bCs/>
          <w:color w:val="FF0000"/>
          <w:sz w:val="24"/>
          <w:szCs w:val="24"/>
          <w:u w:val="single"/>
          <w:lang w:val="en-US" w:eastAsia="zh-CN"/>
        </w:rPr>
        <w:t xml:space="preserve">The parameters of the TDD </w:t>
      </w:r>
      <w:r w:rsidR="008B29FB">
        <w:rPr>
          <w:rFonts w:ascii="Arial-BoldMT" w:hAnsi="Arial-BoldMT" w:cs="Arial-BoldMT"/>
          <w:bCs/>
          <w:color w:val="FF0000"/>
          <w:sz w:val="24"/>
          <w:szCs w:val="24"/>
          <w:u w:val="single"/>
          <w:lang w:val="en-US" w:eastAsia="zh-CN"/>
        </w:rPr>
        <w:t>s</w:t>
      </w:r>
      <w:r w:rsidRPr="00602C7D">
        <w:rPr>
          <w:rFonts w:ascii="Arial-BoldMT" w:hAnsi="Arial-BoldMT" w:cs="Arial-BoldMT"/>
          <w:bCs/>
          <w:color w:val="FF0000"/>
          <w:sz w:val="24"/>
          <w:szCs w:val="24"/>
          <w:u w:val="single"/>
          <w:lang w:val="en-US" w:eastAsia="zh-CN"/>
        </w:rPr>
        <w:t xml:space="preserve">tructure </w:t>
      </w:r>
      <w:r w:rsidR="00B919D8">
        <w:rPr>
          <w:rFonts w:ascii="Arial-BoldMT" w:hAnsi="Arial-BoldMT" w:cs="Arial-BoldMT"/>
          <w:bCs/>
          <w:color w:val="FF0000"/>
          <w:sz w:val="24"/>
          <w:szCs w:val="24"/>
          <w:u w:val="single"/>
          <w:lang w:val="en-US" w:eastAsia="zh-CN"/>
        </w:rPr>
        <w:t xml:space="preserve">and guard times </w:t>
      </w:r>
      <w:r w:rsidRPr="00602C7D">
        <w:rPr>
          <w:rFonts w:ascii="Arial-BoldMT" w:hAnsi="Arial-BoldMT" w:cs="Arial-BoldMT"/>
          <w:bCs/>
          <w:color w:val="FF0000"/>
          <w:sz w:val="24"/>
          <w:szCs w:val="24"/>
          <w:u w:val="single"/>
          <w:lang w:val="en-US" w:eastAsia="zh-CN"/>
        </w:rPr>
        <w:t xml:space="preserve">that </w:t>
      </w:r>
      <w:r w:rsidR="00B919D8">
        <w:rPr>
          <w:rFonts w:ascii="Arial-BoldMT" w:hAnsi="Arial-BoldMT" w:cs="Arial-BoldMT"/>
          <w:bCs/>
          <w:color w:val="FF0000"/>
          <w:sz w:val="24"/>
          <w:szCs w:val="24"/>
          <w:u w:val="single"/>
          <w:lang w:val="en-US" w:eastAsia="zh-CN"/>
        </w:rPr>
        <w:t>are</w:t>
      </w:r>
      <w:r w:rsidR="00B919D8" w:rsidRPr="00602C7D">
        <w:rPr>
          <w:rFonts w:ascii="Arial-BoldMT" w:hAnsi="Arial-BoldMT" w:cs="Arial-BoldMT"/>
          <w:bCs/>
          <w:color w:val="FF0000"/>
          <w:sz w:val="24"/>
          <w:szCs w:val="24"/>
          <w:u w:val="single"/>
          <w:lang w:val="en-US" w:eastAsia="zh-CN"/>
        </w:rPr>
        <w:t xml:space="preserve"> </w:t>
      </w:r>
      <w:r w:rsidRPr="00602C7D">
        <w:rPr>
          <w:rFonts w:ascii="Arial-BoldMT" w:hAnsi="Arial-BoldMT" w:cs="Arial-BoldMT"/>
          <w:bCs/>
          <w:color w:val="FF0000"/>
          <w:sz w:val="24"/>
          <w:szCs w:val="24"/>
          <w:u w:val="single"/>
          <w:lang w:val="en-US" w:eastAsia="zh-CN"/>
        </w:rPr>
        <w:t xml:space="preserve">used within </w:t>
      </w:r>
      <w:r w:rsidR="007027F1">
        <w:rPr>
          <w:rFonts w:ascii="Arial-BoldMT" w:hAnsi="Arial-BoldMT" w:cs="Arial-BoldMT"/>
          <w:bCs/>
          <w:color w:val="FF0000"/>
          <w:sz w:val="24"/>
          <w:szCs w:val="24"/>
          <w:u w:val="single"/>
          <w:lang w:val="en-US" w:eastAsia="zh-CN"/>
        </w:rPr>
        <w:t>a TDD</w:t>
      </w:r>
      <w:r w:rsidR="007027F1" w:rsidRPr="00602C7D">
        <w:rPr>
          <w:rFonts w:ascii="Arial-BoldMT" w:hAnsi="Arial-BoldMT" w:cs="Arial-BoldMT"/>
          <w:bCs/>
          <w:color w:val="FF0000"/>
          <w:sz w:val="24"/>
          <w:szCs w:val="24"/>
          <w:u w:val="single"/>
          <w:lang w:val="en-US" w:eastAsia="zh-CN"/>
        </w:rPr>
        <w:t xml:space="preserve"> </w:t>
      </w:r>
      <w:r w:rsidRPr="00602C7D">
        <w:rPr>
          <w:rFonts w:ascii="Arial-BoldMT" w:hAnsi="Arial-BoldMT" w:cs="Arial-BoldMT"/>
          <w:bCs/>
          <w:color w:val="FF0000"/>
          <w:sz w:val="24"/>
          <w:szCs w:val="24"/>
          <w:u w:val="single"/>
          <w:lang w:val="en-US" w:eastAsia="zh-CN"/>
        </w:rPr>
        <w:t xml:space="preserve">SP </w:t>
      </w:r>
      <w:r w:rsidR="00B919D8">
        <w:rPr>
          <w:rFonts w:ascii="Arial-BoldMT" w:hAnsi="Arial-BoldMT" w:cs="Arial-BoldMT"/>
          <w:bCs/>
          <w:color w:val="FF0000"/>
          <w:sz w:val="24"/>
          <w:szCs w:val="24"/>
          <w:u w:val="single"/>
          <w:lang w:val="en-US" w:eastAsia="zh-CN"/>
        </w:rPr>
        <w:t>are</w:t>
      </w:r>
      <w:r w:rsidR="00B919D8" w:rsidRPr="00602C7D">
        <w:rPr>
          <w:rFonts w:ascii="Arial-BoldMT" w:hAnsi="Arial-BoldMT" w:cs="Arial-BoldMT"/>
          <w:bCs/>
          <w:color w:val="FF0000"/>
          <w:sz w:val="24"/>
          <w:szCs w:val="24"/>
          <w:u w:val="single"/>
          <w:lang w:val="en-US" w:eastAsia="zh-CN"/>
        </w:rPr>
        <w:t xml:space="preserve"> </w:t>
      </w:r>
      <w:r w:rsidRPr="00602C7D">
        <w:rPr>
          <w:rFonts w:ascii="Arial-BoldMT" w:hAnsi="Arial-BoldMT" w:cs="Arial-BoldMT"/>
          <w:bCs/>
          <w:color w:val="FF0000"/>
          <w:sz w:val="24"/>
          <w:szCs w:val="24"/>
          <w:u w:val="single"/>
          <w:lang w:val="en-US" w:eastAsia="zh-CN"/>
        </w:rPr>
        <w:t xml:space="preserve">defined </w:t>
      </w:r>
      <w:r w:rsidR="008B29FB">
        <w:rPr>
          <w:rFonts w:ascii="Arial-BoldMT" w:hAnsi="Arial-BoldMT" w:cs="Arial-BoldMT"/>
          <w:bCs/>
          <w:color w:val="FF0000"/>
          <w:sz w:val="24"/>
          <w:szCs w:val="24"/>
          <w:u w:val="single"/>
          <w:lang w:val="en-US" w:eastAsia="zh-CN"/>
        </w:rPr>
        <w:t>by the</w:t>
      </w:r>
      <w:r w:rsidRPr="00602C7D">
        <w:rPr>
          <w:rFonts w:ascii="Arial-BoldMT" w:hAnsi="Arial-BoldMT" w:cs="Arial-BoldMT"/>
          <w:bCs/>
          <w:color w:val="FF0000"/>
          <w:sz w:val="24"/>
          <w:szCs w:val="24"/>
          <w:u w:val="single"/>
          <w:lang w:val="en-US" w:eastAsia="zh-CN"/>
        </w:rPr>
        <w:t xml:space="preserve"> TDD Slot Structure </w:t>
      </w:r>
      <w:r w:rsidR="008B29FB">
        <w:rPr>
          <w:rFonts w:ascii="Arial-BoldMT" w:hAnsi="Arial-BoldMT" w:cs="Arial-BoldMT"/>
          <w:bCs/>
          <w:color w:val="FF0000"/>
          <w:sz w:val="24"/>
          <w:szCs w:val="24"/>
          <w:u w:val="single"/>
          <w:lang w:val="en-US" w:eastAsia="zh-CN"/>
        </w:rPr>
        <w:t>e</w:t>
      </w:r>
      <w:r w:rsidRPr="00602C7D">
        <w:rPr>
          <w:rFonts w:ascii="Arial-BoldMT" w:hAnsi="Arial-BoldMT" w:cs="Arial-BoldMT"/>
          <w:bCs/>
          <w:color w:val="FF0000"/>
          <w:sz w:val="24"/>
          <w:szCs w:val="24"/>
          <w:u w:val="single"/>
          <w:lang w:val="en-US" w:eastAsia="zh-CN"/>
        </w:rPr>
        <w:t>lement (9.4.2.xxx1)</w:t>
      </w:r>
      <w:r w:rsidR="00477D1F" w:rsidRPr="00F7792D">
        <w:rPr>
          <w:rFonts w:ascii="Arial-BoldMT" w:hAnsi="Arial-BoldMT" w:cs="Arial-BoldMT"/>
          <w:bCs/>
          <w:color w:val="FF0000"/>
          <w:sz w:val="24"/>
          <w:szCs w:val="24"/>
          <w:u w:val="single"/>
          <w:lang w:val="en-US" w:eastAsia="zh-CN"/>
        </w:rPr>
        <w:t xml:space="preserve">. </w:t>
      </w:r>
      <w:r w:rsidR="00071870">
        <w:rPr>
          <w:rFonts w:ascii="Arial-BoldMT" w:hAnsi="Arial-BoldMT" w:cs="Arial-BoldMT"/>
          <w:bCs/>
          <w:color w:val="FF0000"/>
          <w:sz w:val="24"/>
          <w:szCs w:val="24"/>
          <w:u w:val="single"/>
          <w:lang w:val="en-US" w:eastAsia="zh-CN"/>
        </w:rPr>
        <w:t>A</w:t>
      </w:r>
      <w:r w:rsidR="00071870" w:rsidRPr="00F7792D">
        <w:rPr>
          <w:rFonts w:ascii="Arial-BoldMT" w:hAnsi="Arial-BoldMT" w:cs="Arial-BoldMT"/>
          <w:bCs/>
          <w:color w:val="FF0000"/>
          <w:sz w:val="24"/>
          <w:szCs w:val="24"/>
          <w:u w:val="single"/>
          <w:lang w:val="en-US" w:eastAsia="zh-CN"/>
        </w:rPr>
        <w:t xml:space="preserve"> </w:t>
      </w:r>
      <w:r w:rsidR="00477D1F" w:rsidRPr="00F7792D">
        <w:rPr>
          <w:rFonts w:ascii="Arial-BoldMT" w:hAnsi="Arial-BoldMT" w:cs="Arial-BoldMT"/>
          <w:bCs/>
          <w:color w:val="FF0000"/>
          <w:sz w:val="24"/>
          <w:szCs w:val="24"/>
          <w:u w:val="single"/>
          <w:lang w:val="en-US" w:eastAsia="zh-CN"/>
        </w:rPr>
        <w:t xml:space="preserve">DMG AP or DMG PCP shall </w:t>
      </w:r>
      <w:r w:rsidR="00C61DE6">
        <w:rPr>
          <w:rFonts w:ascii="Arial-BoldMT" w:hAnsi="Arial-BoldMT" w:cs="Arial-BoldMT"/>
          <w:bCs/>
          <w:color w:val="FF0000"/>
          <w:sz w:val="24"/>
          <w:szCs w:val="24"/>
          <w:u w:val="single"/>
          <w:lang w:val="en-US" w:eastAsia="zh-CN"/>
        </w:rPr>
        <w:t xml:space="preserve">transmit a </w:t>
      </w:r>
      <w:r w:rsidR="00477D1F" w:rsidRPr="00F7792D">
        <w:rPr>
          <w:rFonts w:ascii="Arial-BoldMT" w:hAnsi="Arial-BoldMT" w:cs="Arial-BoldMT"/>
          <w:bCs/>
          <w:color w:val="FF0000"/>
          <w:sz w:val="24"/>
          <w:szCs w:val="24"/>
          <w:u w:val="single"/>
          <w:lang w:val="en-US" w:eastAsia="zh-CN"/>
        </w:rPr>
        <w:t xml:space="preserve">TDD Slot Structure </w:t>
      </w:r>
      <w:r w:rsidR="00C61DE6">
        <w:rPr>
          <w:rFonts w:ascii="Arial-BoldMT" w:hAnsi="Arial-BoldMT" w:cs="Arial-BoldMT"/>
          <w:bCs/>
          <w:color w:val="FF0000"/>
          <w:sz w:val="24"/>
          <w:szCs w:val="24"/>
          <w:u w:val="single"/>
          <w:lang w:val="en-US" w:eastAsia="zh-CN"/>
        </w:rPr>
        <w:t>element</w:t>
      </w:r>
      <w:r w:rsidR="00C61DE6" w:rsidRPr="00F7792D">
        <w:rPr>
          <w:rFonts w:ascii="Arial-BoldMT" w:hAnsi="Arial-BoldMT" w:cs="Arial-BoldMT"/>
          <w:bCs/>
          <w:color w:val="FF0000"/>
          <w:sz w:val="24"/>
          <w:szCs w:val="24"/>
          <w:u w:val="single"/>
          <w:lang w:val="en-US" w:eastAsia="zh-CN"/>
        </w:rPr>
        <w:t xml:space="preserve"> </w:t>
      </w:r>
      <w:r w:rsidR="00477D1F" w:rsidRPr="00F7792D">
        <w:rPr>
          <w:rFonts w:ascii="Arial-BoldMT" w:hAnsi="Arial-BoldMT" w:cs="Arial-BoldMT"/>
          <w:bCs/>
          <w:color w:val="FF0000"/>
          <w:sz w:val="24"/>
          <w:szCs w:val="24"/>
          <w:u w:val="single"/>
          <w:lang w:val="en-US" w:eastAsia="zh-CN"/>
        </w:rPr>
        <w:t xml:space="preserve">to </w:t>
      </w:r>
      <w:r w:rsidR="00C61DE6">
        <w:rPr>
          <w:rFonts w:ascii="Arial-BoldMT" w:hAnsi="Arial-BoldMT" w:cs="Arial-BoldMT"/>
          <w:bCs/>
          <w:color w:val="FF0000"/>
          <w:sz w:val="24"/>
          <w:szCs w:val="24"/>
          <w:u w:val="single"/>
          <w:lang w:val="en-US" w:eastAsia="zh-CN"/>
        </w:rPr>
        <w:t xml:space="preserve">each </w:t>
      </w:r>
      <w:r w:rsidR="00477D1F" w:rsidRPr="00F7792D">
        <w:rPr>
          <w:rFonts w:ascii="Arial-BoldMT" w:hAnsi="Arial-BoldMT" w:cs="Arial-BoldMT"/>
          <w:bCs/>
          <w:color w:val="FF0000"/>
          <w:sz w:val="24"/>
          <w:szCs w:val="24"/>
          <w:u w:val="single"/>
          <w:lang w:val="en-US" w:eastAsia="zh-CN"/>
        </w:rPr>
        <w:t xml:space="preserve">DMG STA that </w:t>
      </w:r>
      <w:r w:rsidR="00C61DE6">
        <w:rPr>
          <w:rFonts w:ascii="Arial-BoldMT" w:hAnsi="Arial-BoldMT" w:cs="Arial-BoldMT"/>
          <w:bCs/>
          <w:color w:val="FF0000"/>
          <w:sz w:val="24"/>
          <w:szCs w:val="24"/>
          <w:u w:val="single"/>
          <w:lang w:val="en-US" w:eastAsia="zh-CN"/>
        </w:rPr>
        <w:t xml:space="preserve">is expected to transmit or receive during </w:t>
      </w:r>
      <w:r w:rsidR="00A06CAD">
        <w:rPr>
          <w:rFonts w:ascii="Arial-BoldMT" w:hAnsi="Arial-BoldMT" w:cs="Arial-BoldMT"/>
          <w:bCs/>
          <w:color w:val="FF0000"/>
          <w:sz w:val="24"/>
          <w:szCs w:val="24"/>
          <w:u w:val="single"/>
          <w:lang w:val="en-US" w:eastAsia="zh-CN"/>
        </w:rPr>
        <w:t>a TDD SP</w:t>
      </w:r>
      <w:r w:rsidR="00C61DE6">
        <w:rPr>
          <w:rFonts w:ascii="Arial-BoldMT" w:hAnsi="Arial-BoldMT" w:cs="Arial-BoldMT"/>
          <w:bCs/>
          <w:color w:val="FF0000"/>
          <w:sz w:val="24"/>
          <w:szCs w:val="24"/>
          <w:u w:val="single"/>
          <w:lang w:val="en-US" w:eastAsia="zh-CN"/>
        </w:rPr>
        <w:t>. The TDD Slot Structure element may be included in DMG Beacon</w:t>
      </w:r>
      <w:r w:rsidR="00B54CDD">
        <w:rPr>
          <w:rFonts w:ascii="Arial-BoldMT" w:hAnsi="Arial-BoldMT" w:cs="Arial-BoldMT"/>
          <w:bCs/>
          <w:color w:val="FF0000"/>
          <w:sz w:val="24"/>
          <w:szCs w:val="24"/>
          <w:u w:val="single"/>
          <w:lang w:val="en-US" w:eastAsia="zh-CN"/>
        </w:rPr>
        <w:t xml:space="preserve"> </w:t>
      </w:r>
      <w:r w:rsidR="00A16597">
        <w:rPr>
          <w:rFonts w:ascii="Arial-BoldMT" w:hAnsi="Arial-BoldMT" w:cs="Arial-BoldMT"/>
          <w:bCs/>
          <w:color w:val="FF0000"/>
          <w:sz w:val="24"/>
          <w:szCs w:val="24"/>
          <w:u w:val="single"/>
          <w:lang w:val="en-US" w:eastAsia="zh-CN"/>
        </w:rPr>
        <w:t>or</w:t>
      </w:r>
      <w:r w:rsidR="00A06CAD">
        <w:rPr>
          <w:rFonts w:ascii="Arial-BoldMT" w:hAnsi="Arial-BoldMT" w:cs="Arial-BoldMT"/>
          <w:bCs/>
          <w:color w:val="FF0000"/>
          <w:sz w:val="24"/>
          <w:szCs w:val="24"/>
          <w:u w:val="single"/>
          <w:lang w:val="en-US" w:eastAsia="zh-CN"/>
        </w:rPr>
        <w:t xml:space="preserve"> Announce </w:t>
      </w:r>
      <w:r w:rsidR="00C61DE6">
        <w:rPr>
          <w:rFonts w:ascii="Arial-BoldMT" w:hAnsi="Arial-BoldMT" w:cs="Arial-BoldMT"/>
          <w:bCs/>
          <w:color w:val="FF0000"/>
          <w:sz w:val="24"/>
          <w:szCs w:val="24"/>
          <w:u w:val="single"/>
          <w:lang w:val="en-US" w:eastAsia="zh-CN"/>
        </w:rPr>
        <w:t>frames transmitted by the DMG AP or DMG PCP.</w:t>
      </w:r>
      <w:r w:rsidR="00BB00B0">
        <w:rPr>
          <w:rFonts w:ascii="Arial-BoldMT" w:hAnsi="Arial-BoldMT" w:cs="Arial-BoldMT"/>
          <w:bCs/>
          <w:color w:val="FF0000"/>
          <w:sz w:val="24"/>
          <w:szCs w:val="24"/>
          <w:u w:val="single"/>
          <w:lang w:val="en-US" w:eastAsia="zh-CN"/>
        </w:rPr>
        <w:t xml:space="preserve"> </w:t>
      </w:r>
      <w:r w:rsidR="00BB00B0" w:rsidRPr="00C819A0">
        <w:rPr>
          <w:rFonts w:ascii="Arial-BoldMT" w:hAnsi="Arial-BoldMT" w:cs="Arial-BoldMT"/>
          <w:bCs/>
          <w:color w:val="FF0000"/>
          <w:sz w:val="24"/>
          <w:szCs w:val="24"/>
          <w:u w:val="single"/>
          <w:lang w:val="en-US" w:eastAsia="zh-CN"/>
        </w:rPr>
        <w:t xml:space="preserve">Upon reception of a TDD Slot </w:t>
      </w:r>
      <w:r w:rsidR="00C819A0" w:rsidRPr="00C819A0">
        <w:rPr>
          <w:rFonts w:ascii="Arial-BoldMT" w:hAnsi="Arial-BoldMT" w:cs="Arial-BoldMT"/>
          <w:bCs/>
          <w:color w:val="FF0000"/>
          <w:sz w:val="24"/>
          <w:szCs w:val="24"/>
          <w:u w:val="single"/>
          <w:lang w:val="en-US" w:eastAsia="zh-CN"/>
        </w:rPr>
        <w:t>Structure</w:t>
      </w:r>
      <w:r w:rsidR="00BB00B0" w:rsidRPr="00C819A0">
        <w:rPr>
          <w:rFonts w:ascii="Arial-BoldMT" w:hAnsi="Arial-BoldMT" w:cs="Arial-BoldMT"/>
          <w:bCs/>
          <w:color w:val="FF0000"/>
          <w:sz w:val="24"/>
          <w:szCs w:val="24"/>
          <w:u w:val="single"/>
          <w:lang w:val="en-US" w:eastAsia="zh-CN"/>
        </w:rPr>
        <w:t xml:space="preserve"> element</w:t>
      </w:r>
      <w:r w:rsidR="0096045C">
        <w:rPr>
          <w:rFonts w:ascii="Arial-BoldMT" w:hAnsi="Arial-BoldMT" w:cs="Arial-BoldMT"/>
          <w:bCs/>
          <w:color w:val="FF0000"/>
          <w:sz w:val="24"/>
          <w:szCs w:val="24"/>
          <w:u w:val="single"/>
          <w:lang w:val="en-US" w:eastAsia="zh-CN"/>
        </w:rPr>
        <w:t xml:space="preserve"> corresponding to allocations identified by the Allocation ID subfield value within the element</w:t>
      </w:r>
      <w:r w:rsidR="00BB00B0" w:rsidRPr="00C819A0">
        <w:rPr>
          <w:rFonts w:ascii="Arial-BoldMT" w:hAnsi="Arial-BoldMT" w:cs="Arial-BoldMT"/>
          <w:bCs/>
          <w:color w:val="FF0000"/>
          <w:sz w:val="24"/>
          <w:szCs w:val="24"/>
          <w:u w:val="single"/>
          <w:lang w:val="en-US" w:eastAsia="zh-CN"/>
        </w:rPr>
        <w:t xml:space="preserve">, a DMG STA shall adopt the </w:t>
      </w:r>
      <w:r w:rsidR="0096045C">
        <w:rPr>
          <w:rFonts w:ascii="Arial-BoldMT" w:hAnsi="Arial-BoldMT" w:cs="Arial-BoldMT"/>
          <w:bCs/>
          <w:color w:val="FF0000"/>
          <w:sz w:val="24"/>
          <w:szCs w:val="24"/>
          <w:u w:val="single"/>
          <w:lang w:val="en-US" w:eastAsia="zh-CN"/>
        </w:rPr>
        <w:t xml:space="preserve">TDD </w:t>
      </w:r>
      <w:r w:rsidR="00C819A0" w:rsidRPr="00C819A0">
        <w:rPr>
          <w:rFonts w:ascii="Arial-BoldMT" w:hAnsi="Arial-BoldMT" w:cs="Arial-BoldMT"/>
          <w:bCs/>
          <w:color w:val="FF0000"/>
          <w:sz w:val="24"/>
          <w:szCs w:val="24"/>
          <w:u w:val="single"/>
          <w:lang w:val="en-US" w:eastAsia="zh-CN"/>
        </w:rPr>
        <w:t xml:space="preserve">structure </w:t>
      </w:r>
      <w:r w:rsidR="00BB00B0" w:rsidRPr="00C819A0">
        <w:rPr>
          <w:rFonts w:ascii="Arial-BoldMT" w:hAnsi="Arial-BoldMT" w:cs="Arial-BoldMT"/>
          <w:bCs/>
          <w:color w:val="FF0000"/>
          <w:sz w:val="24"/>
          <w:szCs w:val="24"/>
          <w:u w:val="single"/>
          <w:lang w:val="en-US" w:eastAsia="zh-CN"/>
        </w:rPr>
        <w:t xml:space="preserve">within the </w:t>
      </w:r>
      <w:r w:rsidR="00C819A0" w:rsidRPr="00C819A0">
        <w:rPr>
          <w:rFonts w:ascii="Arial-BoldMT" w:hAnsi="Arial-BoldMT" w:cs="Arial-BoldMT"/>
          <w:bCs/>
          <w:color w:val="FF0000"/>
          <w:sz w:val="24"/>
          <w:szCs w:val="24"/>
          <w:u w:val="single"/>
          <w:lang w:val="en-US" w:eastAsia="zh-CN"/>
        </w:rPr>
        <w:t xml:space="preserve">element </w:t>
      </w:r>
      <w:r w:rsidR="0096045C">
        <w:rPr>
          <w:rFonts w:ascii="Arial-BoldMT" w:hAnsi="Arial-BoldMT" w:cs="Arial-BoldMT"/>
          <w:bCs/>
          <w:color w:val="FF0000"/>
          <w:sz w:val="24"/>
          <w:szCs w:val="24"/>
          <w:u w:val="single"/>
          <w:lang w:val="en-US" w:eastAsia="zh-CN"/>
        </w:rPr>
        <w:t xml:space="preserve">for all the TDD SPs identified by the same Allocation ID subfield value until </w:t>
      </w:r>
      <w:r w:rsidR="00C819A0" w:rsidRPr="00C819A0">
        <w:rPr>
          <w:rFonts w:ascii="Arial-BoldMT" w:hAnsi="Arial-BoldMT" w:cs="Arial-BoldMT"/>
          <w:bCs/>
          <w:color w:val="FF0000"/>
          <w:sz w:val="24"/>
          <w:szCs w:val="24"/>
          <w:u w:val="single"/>
          <w:lang w:val="en-US" w:eastAsia="zh-CN"/>
        </w:rPr>
        <w:t>the time it receives an updated TDD Slot Structure element from the DMG AP or DMG PCP</w:t>
      </w:r>
      <w:r w:rsidR="0096045C">
        <w:rPr>
          <w:rFonts w:ascii="Arial-BoldMT" w:hAnsi="Arial-BoldMT" w:cs="Arial-BoldMT"/>
          <w:bCs/>
          <w:color w:val="FF0000"/>
          <w:sz w:val="24"/>
          <w:szCs w:val="24"/>
          <w:u w:val="single"/>
          <w:lang w:val="en-US" w:eastAsia="zh-CN"/>
        </w:rPr>
        <w:t xml:space="preserve"> for the allocation</w:t>
      </w:r>
      <w:r w:rsidR="00C819A0" w:rsidRPr="00C819A0">
        <w:rPr>
          <w:rFonts w:ascii="Arial-BoldMT" w:hAnsi="Arial-BoldMT" w:cs="Arial-BoldMT"/>
          <w:bCs/>
          <w:color w:val="FF0000"/>
          <w:sz w:val="24"/>
          <w:szCs w:val="24"/>
          <w:u w:val="single"/>
          <w:lang w:val="en-US" w:eastAsia="zh-CN"/>
        </w:rPr>
        <w:t>.</w:t>
      </w:r>
      <w:r w:rsidR="00D35ED8">
        <w:rPr>
          <w:rFonts w:ascii="Arial-BoldMT" w:hAnsi="Arial-BoldMT" w:cs="Arial-BoldMT"/>
          <w:bCs/>
          <w:color w:val="FF0000"/>
          <w:sz w:val="24"/>
          <w:szCs w:val="24"/>
          <w:u w:val="single"/>
          <w:lang w:val="en-US" w:eastAsia="zh-CN"/>
        </w:rPr>
        <w:t xml:space="preserve"> The TDD structure shall be adopted at the time indicated by the value of the </w:t>
      </w:r>
      <w:r w:rsidR="00D35ED8" w:rsidRPr="00544B79">
        <w:rPr>
          <w:rFonts w:ascii="Arial-BoldMT" w:hAnsi="Arial-BoldMT" w:cs="Arial-BoldMT"/>
          <w:bCs/>
          <w:color w:val="FF0000"/>
          <w:sz w:val="24"/>
          <w:szCs w:val="24"/>
          <w:u w:val="single"/>
          <w:lang w:val="en-US" w:eastAsia="zh-CN"/>
        </w:rPr>
        <w:t xml:space="preserve">Slot </w:t>
      </w:r>
      <w:r w:rsidR="00D35ED8">
        <w:rPr>
          <w:rFonts w:ascii="Arial-BoldMT" w:hAnsi="Arial-BoldMT" w:cs="Arial-BoldMT"/>
          <w:bCs/>
          <w:color w:val="FF0000"/>
          <w:sz w:val="24"/>
          <w:szCs w:val="24"/>
          <w:u w:val="single"/>
          <w:lang w:val="en-US" w:eastAsia="zh-CN"/>
        </w:rPr>
        <w:t xml:space="preserve">Structure </w:t>
      </w:r>
      <w:r w:rsidR="00D35ED8" w:rsidRPr="00544B79">
        <w:rPr>
          <w:rFonts w:ascii="Arial-BoldMT" w:hAnsi="Arial-BoldMT" w:cs="Arial-BoldMT"/>
          <w:bCs/>
          <w:color w:val="FF0000"/>
          <w:sz w:val="24"/>
          <w:szCs w:val="24"/>
          <w:u w:val="single"/>
          <w:lang w:val="en-US" w:eastAsia="zh-CN"/>
        </w:rPr>
        <w:t>Start Time</w:t>
      </w:r>
      <w:r w:rsidR="00D35ED8">
        <w:rPr>
          <w:rFonts w:ascii="Arial-BoldMT" w:hAnsi="Arial-BoldMT" w:cs="Arial-BoldMT"/>
          <w:bCs/>
          <w:color w:val="FF0000"/>
          <w:sz w:val="24"/>
          <w:szCs w:val="24"/>
          <w:u w:val="single"/>
          <w:lang w:val="en-US" w:eastAsia="zh-CN"/>
        </w:rPr>
        <w:t xml:space="preserve"> subfield within the element.</w:t>
      </w:r>
    </w:p>
    <w:p w14:paraId="65D1EC7A" w14:textId="77777777" w:rsidR="00C37E40" w:rsidRDefault="00C37E40"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4169E9C6" w14:textId="0E3AB1E2" w:rsidR="00C37E40" w:rsidRPr="00C37E40" w:rsidRDefault="00C37E40" w:rsidP="002E0633">
      <w:pPr>
        <w:widowControl w:val="0"/>
        <w:autoSpaceDE w:val="0"/>
        <w:autoSpaceDN w:val="0"/>
        <w:adjustRightInd w:val="0"/>
        <w:rPr>
          <w:rFonts w:ascii="Arial-BoldMT" w:hAnsi="Arial-BoldMT" w:cs="Arial-BoldMT"/>
          <w:bCs/>
          <w:color w:val="FF0000"/>
          <w:sz w:val="24"/>
          <w:szCs w:val="24"/>
          <w:u w:val="single"/>
          <w:lang w:val="en-US" w:eastAsia="zh-CN"/>
        </w:rPr>
      </w:pPr>
      <w:r w:rsidRPr="00F7792D">
        <w:rPr>
          <w:rFonts w:ascii="Arial-BoldMT" w:hAnsi="Arial-BoldMT" w:cs="Arial-BoldMT"/>
          <w:bCs/>
          <w:color w:val="FF0000"/>
          <w:sz w:val="24"/>
          <w:szCs w:val="24"/>
          <w:u w:val="single"/>
          <w:lang w:val="en-US" w:eastAsia="zh-CN"/>
        </w:rPr>
        <w:t xml:space="preserve">A DMG STA shall not </w:t>
      </w:r>
      <w:r w:rsidR="00A06CAD">
        <w:rPr>
          <w:rFonts w:ascii="Arial-BoldMT" w:hAnsi="Arial-BoldMT" w:cs="Arial-BoldMT"/>
          <w:bCs/>
          <w:color w:val="FF0000"/>
          <w:sz w:val="24"/>
          <w:szCs w:val="24"/>
          <w:u w:val="single"/>
          <w:lang w:val="en-US" w:eastAsia="zh-CN"/>
        </w:rPr>
        <w:t>transmit during a TDD SP</w:t>
      </w:r>
      <w:r w:rsidR="00C61DE6">
        <w:rPr>
          <w:rFonts w:ascii="Arial-BoldMT" w:hAnsi="Arial-BoldMT" w:cs="Arial-BoldMT"/>
          <w:bCs/>
          <w:color w:val="FF0000"/>
          <w:sz w:val="24"/>
          <w:szCs w:val="24"/>
          <w:u w:val="single"/>
          <w:lang w:val="en-US" w:eastAsia="zh-CN"/>
        </w:rPr>
        <w:t xml:space="preserve"> </w:t>
      </w:r>
      <w:r w:rsidRPr="00F7792D">
        <w:rPr>
          <w:rFonts w:ascii="Arial-BoldMT" w:hAnsi="Arial-BoldMT" w:cs="Arial-BoldMT"/>
          <w:bCs/>
          <w:color w:val="FF0000"/>
          <w:sz w:val="24"/>
          <w:szCs w:val="24"/>
          <w:u w:val="single"/>
          <w:lang w:val="en-US" w:eastAsia="zh-CN"/>
        </w:rPr>
        <w:t xml:space="preserve">unless it </w:t>
      </w:r>
      <w:r w:rsidR="00C61DE6">
        <w:rPr>
          <w:rFonts w:ascii="Arial-BoldMT" w:hAnsi="Arial-BoldMT" w:cs="Arial-BoldMT"/>
          <w:bCs/>
          <w:color w:val="FF0000"/>
          <w:sz w:val="24"/>
          <w:szCs w:val="24"/>
          <w:u w:val="single"/>
          <w:lang w:val="en-US" w:eastAsia="zh-CN"/>
        </w:rPr>
        <w:t>receives</w:t>
      </w:r>
      <w:r w:rsidR="009C56D6">
        <w:rPr>
          <w:rFonts w:ascii="Arial-BoldMT" w:hAnsi="Arial-BoldMT" w:cs="Arial-BoldMT"/>
          <w:bCs/>
          <w:color w:val="FF0000"/>
          <w:sz w:val="24"/>
          <w:szCs w:val="24"/>
          <w:u w:val="single"/>
          <w:lang w:val="en-US" w:eastAsia="zh-CN"/>
        </w:rPr>
        <w:t xml:space="preserve"> a TDD </w:t>
      </w:r>
      <w:r w:rsidR="00A06CAD">
        <w:rPr>
          <w:rFonts w:ascii="Arial-BoldMT" w:hAnsi="Arial-BoldMT" w:cs="Arial-BoldMT"/>
          <w:bCs/>
          <w:color w:val="FF0000"/>
          <w:sz w:val="24"/>
          <w:szCs w:val="24"/>
          <w:u w:val="single"/>
          <w:lang w:val="en-US" w:eastAsia="zh-CN"/>
        </w:rPr>
        <w:t xml:space="preserve">Slot </w:t>
      </w:r>
      <w:r w:rsidR="009C56D6">
        <w:rPr>
          <w:rFonts w:ascii="Arial-BoldMT" w:hAnsi="Arial-BoldMT" w:cs="Arial-BoldMT"/>
          <w:bCs/>
          <w:color w:val="FF0000"/>
          <w:sz w:val="24"/>
          <w:szCs w:val="24"/>
          <w:u w:val="single"/>
          <w:lang w:val="en-US" w:eastAsia="zh-CN"/>
        </w:rPr>
        <w:t xml:space="preserve">Schedule element </w:t>
      </w:r>
      <w:r w:rsidR="00A06CAD">
        <w:rPr>
          <w:rFonts w:ascii="Arial-BoldMT" w:hAnsi="Arial-BoldMT" w:cs="Arial-BoldMT"/>
          <w:bCs/>
          <w:color w:val="FF0000"/>
          <w:sz w:val="24"/>
          <w:szCs w:val="24"/>
          <w:u w:val="single"/>
          <w:lang w:val="en-US" w:eastAsia="zh-CN"/>
        </w:rPr>
        <w:t xml:space="preserve">that </w:t>
      </w:r>
      <w:r w:rsidR="009C56D6">
        <w:rPr>
          <w:rFonts w:ascii="Arial-BoldMT" w:hAnsi="Arial-BoldMT" w:cs="Arial-BoldMT"/>
          <w:bCs/>
          <w:color w:val="FF0000"/>
          <w:sz w:val="24"/>
          <w:szCs w:val="24"/>
          <w:u w:val="single"/>
          <w:lang w:val="en-US" w:eastAsia="zh-CN"/>
        </w:rPr>
        <w:t xml:space="preserve">indicates it is assigned to at least one </w:t>
      </w:r>
      <w:r w:rsidR="00A06CAD">
        <w:rPr>
          <w:rFonts w:ascii="Arial-BoldMT" w:hAnsi="Arial-BoldMT" w:cs="Arial-BoldMT"/>
          <w:bCs/>
          <w:color w:val="FF0000"/>
          <w:sz w:val="24"/>
          <w:szCs w:val="24"/>
          <w:u w:val="single"/>
          <w:lang w:val="en-US" w:eastAsia="zh-CN"/>
        </w:rPr>
        <w:t>TDD slot</w:t>
      </w:r>
      <w:r w:rsidR="009C56D6">
        <w:rPr>
          <w:rFonts w:ascii="Arial-BoldMT" w:hAnsi="Arial-BoldMT" w:cs="Arial-BoldMT"/>
          <w:bCs/>
          <w:color w:val="FF0000"/>
          <w:sz w:val="24"/>
          <w:szCs w:val="24"/>
          <w:u w:val="single"/>
          <w:lang w:val="en-US" w:eastAsia="zh-CN"/>
        </w:rPr>
        <w:t xml:space="preserve"> within the </w:t>
      </w:r>
      <w:r w:rsidR="00A06CAD">
        <w:rPr>
          <w:rFonts w:ascii="Arial-BoldMT" w:hAnsi="Arial-BoldMT" w:cs="Arial-BoldMT"/>
          <w:bCs/>
          <w:color w:val="FF0000"/>
          <w:sz w:val="24"/>
          <w:szCs w:val="24"/>
          <w:u w:val="single"/>
          <w:lang w:val="en-US" w:eastAsia="zh-CN"/>
        </w:rPr>
        <w:t>TDD</w:t>
      </w:r>
      <w:r w:rsidR="0050606D">
        <w:rPr>
          <w:rFonts w:ascii="Arial-BoldMT" w:hAnsi="Arial-BoldMT" w:cs="Arial-BoldMT"/>
          <w:bCs/>
          <w:color w:val="FF0000"/>
          <w:sz w:val="24"/>
          <w:szCs w:val="24"/>
          <w:u w:val="single"/>
          <w:lang w:val="en-US" w:eastAsia="zh-CN"/>
        </w:rPr>
        <w:t xml:space="preserve"> </w:t>
      </w:r>
      <w:r w:rsidR="009C56D6">
        <w:rPr>
          <w:rFonts w:ascii="Arial-BoldMT" w:hAnsi="Arial-BoldMT" w:cs="Arial-BoldMT"/>
          <w:bCs/>
          <w:color w:val="FF0000"/>
          <w:sz w:val="24"/>
          <w:szCs w:val="24"/>
          <w:u w:val="single"/>
          <w:lang w:val="en-US" w:eastAsia="zh-CN"/>
        </w:rPr>
        <w:t xml:space="preserve">SP </w:t>
      </w:r>
      <w:r w:rsidR="00AE02EA">
        <w:rPr>
          <w:rFonts w:ascii="Arial-BoldMT" w:hAnsi="Arial-BoldMT" w:cs="Arial-BoldMT"/>
          <w:bCs/>
          <w:color w:val="FF0000"/>
          <w:sz w:val="24"/>
          <w:szCs w:val="24"/>
          <w:u w:val="single"/>
          <w:lang w:val="en-US" w:eastAsia="zh-CN"/>
        </w:rPr>
        <w:t>by the DMG</w:t>
      </w:r>
      <w:r w:rsidR="00AE02EA">
        <w:rPr>
          <w:rFonts w:ascii="Arial-BoldMT" w:hAnsi="Arial-BoldMT" w:cs="Arial-BoldMT" w:hint="eastAsia"/>
          <w:bCs/>
          <w:color w:val="FF0000"/>
          <w:sz w:val="24"/>
          <w:szCs w:val="24"/>
          <w:u w:val="single"/>
          <w:lang w:val="en-US" w:eastAsia="zh-CN"/>
        </w:rPr>
        <w:t xml:space="preserve"> AP</w:t>
      </w:r>
      <w:r w:rsidR="00AE02EA">
        <w:rPr>
          <w:rFonts w:ascii="Arial-BoldMT" w:hAnsi="Arial-BoldMT" w:cs="Arial-BoldMT"/>
          <w:bCs/>
          <w:color w:val="FF0000"/>
          <w:sz w:val="24"/>
          <w:szCs w:val="24"/>
          <w:u w:val="single"/>
          <w:lang w:val="en-US" w:eastAsia="zh-CN"/>
        </w:rPr>
        <w:t xml:space="preserve"> or DMG PCP.</w:t>
      </w:r>
      <w:r w:rsidR="00C61DE6">
        <w:rPr>
          <w:rFonts w:ascii="Arial-BoldMT" w:hAnsi="Arial-BoldMT" w:cs="Arial-BoldMT"/>
          <w:bCs/>
          <w:color w:val="FF0000"/>
          <w:sz w:val="24"/>
          <w:szCs w:val="24"/>
          <w:u w:val="single"/>
          <w:lang w:val="en-US" w:eastAsia="zh-CN"/>
        </w:rPr>
        <w:t xml:space="preserve"> </w:t>
      </w:r>
      <w:r w:rsidRPr="00F7792D">
        <w:rPr>
          <w:rFonts w:ascii="Arial-BoldMT" w:hAnsi="Arial-BoldMT" w:cs="Arial-BoldMT"/>
          <w:bCs/>
          <w:color w:val="FF0000"/>
          <w:sz w:val="24"/>
          <w:szCs w:val="24"/>
          <w:u w:val="single"/>
          <w:lang w:val="en-US" w:eastAsia="zh-CN"/>
        </w:rPr>
        <w:t xml:space="preserve"> The DMG AP or DMG PCP shall transmit the TDD </w:t>
      </w:r>
      <w:r w:rsidR="0050606D">
        <w:rPr>
          <w:rFonts w:ascii="Arial-BoldMT" w:hAnsi="Arial-BoldMT" w:cs="Arial-BoldMT"/>
          <w:bCs/>
          <w:color w:val="FF0000"/>
          <w:sz w:val="24"/>
          <w:szCs w:val="24"/>
          <w:u w:val="single"/>
          <w:lang w:val="en-US" w:eastAsia="zh-CN"/>
        </w:rPr>
        <w:t>Slot</w:t>
      </w:r>
      <w:r w:rsidR="0050606D" w:rsidRPr="00F7792D">
        <w:rPr>
          <w:rFonts w:ascii="Arial-BoldMT" w:hAnsi="Arial-BoldMT" w:cs="Arial-BoldMT"/>
          <w:bCs/>
          <w:color w:val="FF0000"/>
          <w:sz w:val="24"/>
          <w:szCs w:val="24"/>
          <w:u w:val="single"/>
          <w:lang w:val="en-US" w:eastAsia="zh-CN"/>
        </w:rPr>
        <w:t xml:space="preserve"> </w:t>
      </w:r>
      <w:r w:rsidRPr="00F7792D">
        <w:rPr>
          <w:rFonts w:ascii="Arial-BoldMT" w:hAnsi="Arial-BoldMT" w:cs="Arial-BoldMT"/>
          <w:bCs/>
          <w:color w:val="FF0000"/>
          <w:sz w:val="24"/>
          <w:szCs w:val="24"/>
          <w:u w:val="single"/>
          <w:lang w:val="en-US" w:eastAsia="zh-CN"/>
        </w:rPr>
        <w:t xml:space="preserve">Schedule </w:t>
      </w:r>
      <w:r w:rsidR="00C61DE6">
        <w:rPr>
          <w:rFonts w:ascii="Arial-BoldMT" w:hAnsi="Arial-BoldMT" w:cs="Arial-BoldMT"/>
          <w:bCs/>
          <w:color w:val="FF0000"/>
          <w:sz w:val="24"/>
          <w:szCs w:val="24"/>
          <w:u w:val="single"/>
          <w:lang w:val="en-US" w:eastAsia="zh-CN"/>
        </w:rPr>
        <w:t>element</w:t>
      </w:r>
      <w:r w:rsidR="00C61DE6" w:rsidRPr="00F7792D">
        <w:rPr>
          <w:rFonts w:ascii="Arial-BoldMT" w:hAnsi="Arial-BoldMT" w:cs="Arial-BoldMT"/>
          <w:bCs/>
          <w:color w:val="FF0000"/>
          <w:sz w:val="24"/>
          <w:szCs w:val="24"/>
          <w:u w:val="single"/>
          <w:lang w:val="en-US" w:eastAsia="zh-CN"/>
        </w:rPr>
        <w:t xml:space="preserve"> </w:t>
      </w:r>
      <w:r w:rsidRPr="00F7792D">
        <w:rPr>
          <w:rFonts w:ascii="Arial-BoldMT" w:hAnsi="Arial-BoldMT" w:cs="Arial-BoldMT"/>
          <w:bCs/>
          <w:color w:val="FF0000"/>
          <w:sz w:val="24"/>
          <w:szCs w:val="24"/>
          <w:u w:val="single"/>
          <w:lang w:val="en-US" w:eastAsia="zh-CN"/>
        </w:rPr>
        <w:t xml:space="preserve">to each DMG STA that </w:t>
      </w:r>
      <w:r w:rsidR="00C61DE6">
        <w:rPr>
          <w:rFonts w:ascii="Arial-BoldMT" w:hAnsi="Arial-BoldMT" w:cs="Arial-BoldMT"/>
          <w:bCs/>
          <w:color w:val="FF0000"/>
          <w:sz w:val="24"/>
          <w:szCs w:val="24"/>
          <w:u w:val="single"/>
          <w:lang w:val="en-US" w:eastAsia="zh-CN"/>
        </w:rPr>
        <w:t xml:space="preserve">is </w:t>
      </w:r>
      <w:r w:rsidR="00AE02EA">
        <w:rPr>
          <w:rFonts w:ascii="Arial-BoldMT" w:hAnsi="Arial-BoldMT" w:cs="Arial-BoldMT"/>
          <w:bCs/>
          <w:color w:val="FF0000"/>
          <w:sz w:val="24"/>
          <w:szCs w:val="24"/>
          <w:u w:val="single"/>
          <w:lang w:val="en-US" w:eastAsia="zh-CN"/>
        </w:rPr>
        <w:t xml:space="preserve">assigned </w:t>
      </w:r>
      <w:r w:rsidR="00C61DE6">
        <w:rPr>
          <w:rFonts w:ascii="Arial-BoldMT" w:hAnsi="Arial-BoldMT" w:cs="Arial-BoldMT"/>
          <w:bCs/>
          <w:color w:val="FF0000"/>
          <w:sz w:val="24"/>
          <w:szCs w:val="24"/>
          <w:u w:val="single"/>
          <w:lang w:val="en-US" w:eastAsia="zh-CN"/>
        </w:rPr>
        <w:t>to</w:t>
      </w:r>
      <w:r w:rsidR="00C61DE6" w:rsidRPr="00F7792D">
        <w:rPr>
          <w:rFonts w:ascii="Arial-BoldMT" w:hAnsi="Arial-BoldMT" w:cs="Arial-BoldMT"/>
          <w:bCs/>
          <w:color w:val="FF0000"/>
          <w:sz w:val="24"/>
          <w:szCs w:val="24"/>
          <w:u w:val="single"/>
          <w:lang w:val="en-US" w:eastAsia="zh-CN"/>
        </w:rPr>
        <w:t xml:space="preserve"> </w:t>
      </w:r>
      <w:r w:rsidRPr="00F7792D">
        <w:rPr>
          <w:rFonts w:ascii="Arial-BoldMT" w:hAnsi="Arial-BoldMT" w:cs="Arial-BoldMT"/>
          <w:bCs/>
          <w:color w:val="FF0000"/>
          <w:sz w:val="24"/>
          <w:szCs w:val="24"/>
          <w:u w:val="single"/>
          <w:lang w:val="en-US" w:eastAsia="zh-CN"/>
        </w:rPr>
        <w:t xml:space="preserve">access the </w:t>
      </w:r>
      <w:r w:rsidR="0050606D">
        <w:rPr>
          <w:rFonts w:ascii="Arial-BoldMT" w:hAnsi="Arial-BoldMT" w:cs="Arial-BoldMT"/>
          <w:bCs/>
          <w:color w:val="FF0000"/>
          <w:sz w:val="24"/>
          <w:szCs w:val="24"/>
          <w:u w:val="single"/>
          <w:lang w:val="en-US" w:eastAsia="zh-CN"/>
        </w:rPr>
        <w:t xml:space="preserve">TDD </w:t>
      </w:r>
      <w:r w:rsidRPr="00F7792D">
        <w:rPr>
          <w:rFonts w:ascii="Arial-BoldMT" w:hAnsi="Arial-BoldMT" w:cs="Arial-BoldMT"/>
          <w:bCs/>
          <w:color w:val="FF0000"/>
          <w:sz w:val="24"/>
          <w:szCs w:val="24"/>
          <w:u w:val="single"/>
          <w:lang w:val="en-US" w:eastAsia="zh-CN"/>
        </w:rPr>
        <w:t xml:space="preserve">SP </w:t>
      </w:r>
      <w:r w:rsidR="00C61DE6">
        <w:rPr>
          <w:rFonts w:ascii="Arial-BoldMT" w:hAnsi="Arial-BoldMT" w:cs="Arial-BoldMT"/>
          <w:bCs/>
          <w:color w:val="FF0000"/>
          <w:sz w:val="24"/>
          <w:szCs w:val="24"/>
          <w:u w:val="single"/>
          <w:lang w:val="en-US" w:eastAsia="zh-CN"/>
        </w:rPr>
        <w:t xml:space="preserve">through </w:t>
      </w:r>
      <w:r w:rsidRPr="00F7792D">
        <w:rPr>
          <w:rFonts w:ascii="Arial-BoldMT" w:hAnsi="Arial-BoldMT" w:cs="Arial-BoldMT"/>
          <w:bCs/>
          <w:color w:val="FF0000"/>
          <w:sz w:val="24"/>
          <w:szCs w:val="24"/>
          <w:u w:val="single"/>
          <w:lang w:val="en-US" w:eastAsia="zh-CN"/>
        </w:rPr>
        <w:t>a</w:t>
      </w:r>
      <w:r w:rsidR="006473C2">
        <w:rPr>
          <w:rFonts w:ascii="Arial-BoldMT" w:hAnsi="Arial-BoldMT" w:cs="Arial-BoldMT"/>
          <w:bCs/>
          <w:color w:val="FF0000"/>
          <w:sz w:val="24"/>
          <w:szCs w:val="24"/>
          <w:u w:val="single"/>
          <w:lang w:val="en-US" w:eastAsia="zh-CN"/>
        </w:rPr>
        <w:t>n</w:t>
      </w:r>
      <w:r w:rsidRPr="00F7792D">
        <w:rPr>
          <w:rFonts w:ascii="Arial-BoldMT" w:hAnsi="Arial-BoldMT" w:cs="Arial-BoldMT"/>
          <w:bCs/>
          <w:color w:val="FF0000"/>
          <w:sz w:val="24"/>
          <w:szCs w:val="24"/>
          <w:u w:val="single"/>
          <w:lang w:val="en-US" w:eastAsia="zh-CN"/>
        </w:rPr>
        <w:t xml:space="preserve"> Announce frame </w:t>
      </w:r>
      <w:r w:rsidR="00AE02EA">
        <w:rPr>
          <w:rFonts w:ascii="Arial-BoldMT" w:hAnsi="Arial-BoldMT" w:cs="Arial-BoldMT"/>
          <w:bCs/>
          <w:color w:val="FF0000"/>
          <w:sz w:val="24"/>
          <w:szCs w:val="24"/>
          <w:u w:val="single"/>
          <w:lang w:val="en-US" w:eastAsia="zh-CN"/>
        </w:rPr>
        <w:t xml:space="preserve">or </w:t>
      </w:r>
      <w:r w:rsidRPr="00F7792D">
        <w:rPr>
          <w:rFonts w:ascii="Arial-BoldMT" w:hAnsi="Arial-BoldMT" w:cs="Arial-BoldMT"/>
          <w:bCs/>
          <w:color w:val="FF0000"/>
          <w:sz w:val="24"/>
          <w:szCs w:val="24"/>
          <w:u w:val="single"/>
          <w:lang w:val="en-US" w:eastAsia="zh-CN"/>
        </w:rPr>
        <w:t>Association Response frame</w:t>
      </w:r>
      <w:r w:rsidR="00AE02EA">
        <w:rPr>
          <w:rFonts w:ascii="Arial-BoldMT" w:hAnsi="Arial-BoldMT" w:cs="Arial-BoldMT"/>
          <w:bCs/>
          <w:color w:val="FF0000"/>
          <w:sz w:val="24"/>
          <w:szCs w:val="24"/>
          <w:u w:val="single"/>
          <w:lang w:val="en-US" w:eastAsia="zh-CN"/>
        </w:rPr>
        <w:t xml:space="preserve"> before the time indicated by the value of the Slot </w:t>
      </w:r>
      <w:r w:rsidR="0050606D">
        <w:rPr>
          <w:rFonts w:ascii="Arial-BoldMT" w:hAnsi="Arial-BoldMT" w:cs="Arial-BoldMT"/>
          <w:bCs/>
          <w:color w:val="FF0000"/>
          <w:sz w:val="24"/>
          <w:szCs w:val="24"/>
          <w:u w:val="single"/>
          <w:lang w:val="en-US" w:eastAsia="zh-CN"/>
        </w:rPr>
        <w:t xml:space="preserve">Schedule </w:t>
      </w:r>
      <w:r w:rsidR="00AE02EA">
        <w:rPr>
          <w:rFonts w:ascii="Arial-BoldMT" w:hAnsi="Arial-BoldMT" w:cs="Arial-BoldMT"/>
          <w:bCs/>
          <w:color w:val="FF0000"/>
          <w:sz w:val="24"/>
          <w:szCs w:val="24"/>
          <w:u w:val="single"/>
          <w:lang w:val="en-US" w:eastAsia="zh-CN"/>
        </w:rPr>
        <w:t>Start Time within the element</w:t>
      </w:r>
      <w:r w:rsidRPr="00F7792D">
        <w:rPr>
          <w:rFonts w:ascii="Arial-BoldMT" w:hAnsi="Arial-BoldMT" w:cs="Arial-BoldMT"/>
          <w:bCs/>
          <w:color w:val="FF0000"/>
          <w:sz w:val="24"/>
          <w:szCs w:val="24"/>
          <w:u w:val="single"/>
          <w:lang w:val="en-US" w:eastAsia="zh-CN"/>
        </w:rPr>
        <w:t xml:space="preserve">. </w:t>
      </w:r>
      <w:r w:rsidR="006473C2">
        <w:rPr>
          <w:rFonts w:ascii="Arial-BoldMT" w:hAnsi="Arial-BoldMT" w:cs="Arial-BoldMT"/>
          <w:bCs/>
          <w:color w:val="FF0000"/>
          <w:sz w:val="24"/>
          <w:szCs w:val="24"/>
          <w:u w:val="single"/>
          <w:lang w:val="en-US" w:eastAsia="zh-CN"/>
        </w:rPr>
        <w:t xml:space="preserve">Upon reception of a </w:t>
      </w:r>
      <w:r>
        <w:rPr>
          <w:rFonts w:ascii="Arial-BoldMT" w:hAnsi="Arial-BoldMT" w:cs="Arial-BoldMT"/>
          <w:bCs/>
          <w:color w:val="FF0000"/>
          <w:sz w:val="24"/>
          <w:szCs w:val="24"/>
          <w:u w:val="single"/>
          <w:lang w:val="en-US" w:eastAsia="zh-CN"/>
        </w:rPr>
        <w:t xml:space="preserve">TDD </w:t>
      </w:r>
      <w:r w:rsidR="0050606D">
        <w:rPr>
          <w:rFonts w:ascii="Arial-BoldMT" w:hAnsi="Arial-BoldMT" w:cs="Arial-BoldMT"/>
          <w:bCs/>
          <w:color w:val="FF0000"/>
          <w:sz w:val="24"/>
          <w:szCs w:val="24"/>
          <w:u w:val="single"/>
          <w:lang w:val="en-US" w:eastAsia="zh-CN"/>
        </w:rPr>
        <w:t xml:space="preserve">Slot </w:t>
      </w:r>
      <w:r>
        <w:rPr>
          <w:rFonts w:ascii="Arial-BoldMT" w:hAnsi="Arial-BoldMT" w:cs="Arial-BoldMT"/>
          <w:bCs/>
          <w:color w:val="FF0000"/>
          <w:sz w:val="24"/>
          <w:szCs w:val="24"/>
          <w:u w:val="single"/>
          <w:lang w:val="en-US" w:eastAsia="zh-CN"/>
        </w:rPr>
        <w:t xml:space="preserve">Schedule </w:t>
      </w:r>
      <w:r w:rsidR="006473C2">
        <w:rPr>
          <w:rFonts w:ascii="Arial-BoldMT" w:hAnsi="Arial-BoldMT" w:cs="Arial-BoldMT"/>
          <w:bCs/>
          <w:color w:val="FF0000"/>
          <w:sz w:val="24"/>
          <w:szCs w:val="24"/>
          <w:u w:val="single"/>
          <w:lang w:val="en-US" w:eastAsia="zh-CN"/>
        </w:rPr>
        <w:t>element</w:t>
      </w:r>
      <w:r w:rsidR="0096045C">
        <w:rPr>
          <w:rFonts w:ascii="Arial-BoldMT" w:hAnsi="Arial-BoldMT" w:cs="Arial-BoldMT"/>
          <w:bCs/>
          <w:color w:val="FF0000"/>
          <w:sz w:val="24"/>
          <w:szCs w:val="24"/>
          <w:u w:val="single"/>
          <w:lang w:val="en-US" w:eastAsia="zh-CN"/>
        </w:rPr>
        <w:t xml:space="preserve"> corresponding to allocations identified by the Allocation ID subfield value within the element</w:t>
      </w:r>
      <w:r>
        <w:rPr>
          <w:rFonts w:ascii="Arial-BoldMT" w:hAnsi="Arial-BoldMT" w:cs="Arial-BoldMT"/>
          <w:bCs/>
          <w:color w:val="FF0000"/>
          <w:sz w:val="24"/>
          <w:szCs w:val="24"/>
          <w:u w:val="single"/>
          <w:lang w:val="en-US" w:eastAsia="zh-CN"/>
        </w:rPr>
        <w:t xml:space="preserve">, a DMG STA shall adopt the schedule </w:t>
      </w:r>
      <w:r w:rsidR="006473C2">
        <w:rPr>
          <w:rFonts w:ascii="Arial-BoldMT" w:hAnsi="Arial-BoldMT" w:cs="Arial-BoldMT"/>
          <w:bCs/>
          <w:color w:val="FF0000"/>
          <w:sz w:val="24"/>
          <w:szCs w:val="24"/>
          <w:u w:val="single"/>
          <w:lang w:val="en-US" w:eastAsia="zh-CN"/>
        </w:rPr>
        <w:t xml:space="preserve">within the element at the time indicated by the value of the </w:t>
      </w:r>
      <w:r w:rsidR="006473C2" w:rsidRPr="00544B79">
        <w:rPr>
          <w:rFonts w:ascii="Arial-BoldMT" w:hAnsi="Arial-BoldMT" w:cs="Arial-BoldMT"/>
          <w:bCs/>
          <w:color w:val="FF0000"/>
          <w:sz w:val="24"/>
          <w:szCs w:val="24"/>
          <w:u w:val="single"/>
          <w:lang w:val="en-US" w:eastAsia="zh-CN"/>
        </w:rPr>
        <w:t xml:space="preserve">Slot </w:t>
      </w:r>
      <w:r w:rsidR="0050606D">
        <w:rPr>
          <w:rFonts w:ascii="Arial-BoldMT" w:hAnsi="Arial-BoldMT" w:cs="Arial-BoldMT"/>
          <w:bCs/>
          <w:color w:val="FF0000"/>
          <w:sz w:val="24"/>
          <w:szCs w:val="24"/>
          <w:u w:val="single"/>
          <w:lang w:val="en-US" w:eastAsia="zh-CN"/>
        </w:rPr>
        <w:t xml:space="preserve">Schedule </w:t>
      </w:r>
      <w:r w:rsidR="006473C2" w:rsidRPr="00544B79">
        <w:rPr>
          <w:rFonts w:ascii="Arial-BoldMT" w:hAnsi="Arial-BoldMT" w:cs="Arial-BoldMT"/>
          <w:bCs/>
          <w:color w:val="FF0000"/>
          <w:sz w:val="24"/>
          <w:szCs w:val="24"/>
          <w:u w:val="single"/>
          <w:lang w:val="en-US" w:eastAsia="zh-CN"/>
        </w:rPr>
        <w:t>Start Time</w:t>
      </w:r>
      <w:r w:rsidR="006473C2">
        <w:rPr>
          <w:rFonts w:ascii="Arial-BoldMT" w:hAnsi="Arial-BoldMT" w:cs="Arial-BoldMT"/>
          <w:bCs/>
          <w:color w:val="FF0000"/>
          <w:sz w:val="24"/>
          <w:szCs w:val="24"/>
          <w:u w:val="single"/>
          <w:lang w:val="en-US" w:eastAsia="zh-CN"/>
        </w:rPr>
        <w:t xml:space="preserve"> subfield within the element</w:t>
      </w:r>
      <w:r>
        <w:rPr>
          <w:rFonts w:ascii="Arial-BoldMT" w:hAnsi="Arial-BoldMT" w:cs="Arial-BoldMT"/>
          <w:bCs/>
          <w:color w:val="FF0000"/>
          <w:sz w:val="24"/>
          <w:szCs w:val="24"/>
          <w:u w:val="single"/>
          <w:lang w:val="en-US" w:eastAsia="zh-CN"/>
        </w:rPr>
        <w:t>.</w:t>
      </w:r>
    </w:p>
    <w:p w14:paraId="7413ECA0" w14:textId="77777777" w:rsidR="00374A31" w:rsidRPr="00F7792D" w:rsidRDefault="00374A31"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1C446A0E" w14:textId="309560A2" w:rsidR="00CA6807" w:rsidRDefault="0004589F" w:rsidP="00C37E40">
      <w:pPr>
        <w:widowControl w:val="0"/>
        <w:autoSpaceDE w:val="0"/>
        <w:autoSpaceDN w:val="0"/>
        <w:adjustRightInd w:val="0"/>
        <w:rPr>
          <w:rFonts w:ascii="Arial-BoldMT" w:hAnsi="Arial-BoldMT" w:cs="Arial-BoldMT"/>
          <w:bCs/>
          <w:color w:val="FF0000"/>
          <w:sz w:val="24"/>
          <w:szCs w:val="24"/>
          <w:u w:val="single"/>
          <w:lang w:val="en-US" w:eastAsia="zh-CN"/>
        </w:rPr>
      </w:pPr>
      <w:r>
        <w:rPr>
          <w:rFonts w:ascii="Arial-BoldMT" w:hAnsi="Arial-BoldMT" w:cs="Arial-BoldMT"/>
          <w:bCs/>
          <w:color w:val="FF0000"/>
          <w:sz w:val="24"/>
          <w:szCs w:val="24"/>
          <w:u w:val="single"/>
          <w:lang w:val="en-US" w:eastAsia="zh-CN"/>
        </w:rPr>
        <w:t>The type of a</w:t>
      </w:r>
      <w:r w:rsidRPr="00F7792D">
        <w:rPr>
          <w:rFonts w:ascii="Arial-BoldMT" w:hAnsi="Arial-BoldMT" w:cs="Arial-BoldMT"/>
          <w:bCs/>
          <w:color w:val="FF0000"/>
          <w:sz w:val="24"/>
          <w:szCs w:val="24"/>
          <w:u w:val="single"/>
          <w:lang w:val="en-US" w:eastAsia="zh-CN"/>
        </w:rPr>
        <w:t xml:space="preserve"> </w:t>
      </w:r>
      <w:r w:rsidR="001850B4">
        <w:rPr>
          <w:rFonts w:ascii="Arial-BoldMT" w:hAnsi="Arial-BoldMT" w:cs="Arial-BoldMT"/>
          <w:bCs/>
          <w:color w:val="FF0000"/>
          <w:sz w:val="24"/>
          <w:szCs w:val="24"/>
          <w:u w:val="single"/>
          <w:lang w:val="en-US" w:eastAsia="zh-CN"/>
        </w:rPr>
        <w:t>TDD slot</w:t>
      </w:r>
      <w:r w:rsidR="00374A31" w:rsidRPr="00F7792D">
        <w:rPr>
          <w:rFonts w:ascii="Arial-BoldMT" w:hAnsi="Arial-BoldMT" w:cs="Arial-BoldMT"/>
          <w:bCs/>
          <w:color w:val="FF0000"/>
          <w:sz w:val="24"/>
          <w:szCs w:val="24"/>
          <w:u w:val="single"/>
          <w:lang w:val="en-US" w:eastAsia="zh-CN"/>
        </w:rPr>
        <w:t xml:space="preserve"> can be </w:t>
      </w:r>
      <w:r>
        <w:rPr>
          <w:rFonts w:ascii="Arial-BoldMT" w:hAnsi="Arial-BoldMT" w:cs="Arial-BoldMT"/>
          <w:bCs/>
          <w:color w:val="FF0000"/>
          <w:sz w:val="24"/>
          <w:szCs w:val="24"/>
          <w:u w:val="single"/>
          <w:lang w:val="en-US" w:eastAsia="zh-CN"/>
        </w:rPr>
        <w:t xml:space="preserve">one of </w:t>
      </w:r>
      <w:r w:rsidR="00374A31" w:rsidRPr="00F7792D">
        <w:rPr>
          <w:rFonts w:ascii="Arial-BoldMT" w:hAnsi="Arial-BoldMT" w:cs="Arial-BoldMT"/>
          <w:bCs/>
          <w:color w:val="FF0000"/>
          <w:sz w:val="24"/>
          <w:szCs w:val="24"/>
          <w:u w:val="single"/>
          <w:lang w:val="en-US" w:eastAsia="zh-CN"/>
        </w:rPr>
        <w:t>simplex TX</w:t>
      </w:r>
      <w:r>
        <w:rPr>
          <w:rFonts w:ascii="Arial-BoldMT" w:hAnsi="Arial-BoldMT" w:cs="Arial-BoldMT"/>
          <w:bCs/>
          <w:color w:val="FF0000"/>
          <w:sz w:val="24"/>
          <w:szCs w:val="24"/>
          <w:u w:val="single"/>
          <w:lang w:val="en-US" w:eastAsia="zh-CN"/>
        </w:rPr>
        <w:t>,</w:t>
      </w:r>
      <w:r w:rsidR="00374A31" w:rsidRPr="00F7792D">
        <w:rPr>
          <w:rFonts w:ascii="Arial-BoldMT" w:hAnsi="Arial-BoldMT" w:cs="Arial-BoldMT"/>
          <w:bCs/>
          <w:color w:val="FF0000"/>
          <w:sz w:val="24"/>
          <w:szCs w:val="24"/>
          <w:u w:val="single"/>
          <w:lang w:val="en-US" w:eastAsia="zh-CN"/>
        </w:rPr>
        <w:t xml:space="preserve"> simplex RX</w:t>
      </w:r>
      <w:r>
        <w:rPr>
          <w:rFonts w:ascii="Arial-BoldMT" w:hAnsi="Arial-BoldMT" w:cs="Arial-BoldMT"/>
          <w:bCs/>
          <w:color w:val="FF0000"/>
          <w:sz w:val="24"/>
          <w:szCs w:val="24"/>
          <w:u w:val="single"/>
          <w:lang w:val="en-US" w:eastAsia="zh-CN"/>
        </w:rPr>
        <w:t xml:space="preserve"> or unassigned</w:t>
      </w:r>
      <w:r w:rsidR="00374A31" w:rsidRPr="00F7792D">
        <w:rPr>
          <w:rFonts w:ascii="Arial-BoldMT" w:hAnsi="Arial-BoldMT" w:cs="Arial-BoldMT"/>
          <w:bCs/>
          <w:color w:val="FF0000"/>
          <w:sz w:val="24"/>
          <w:szCs w:val="24"/>
          <w:u w:val="single"/>
          <w:lang w:val="en-US" w:eastAsia="zh-CN"/>
        </w:rPr>
        <w:t>.</w:t>
      </w:r>
      <w:r w:rsidR="00570C31" w:rsidRPr="00F7792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 xml:space="preserve">Except for an unassigned </w:t>
      </w:r>
      <w:r w:rsidR="001850B4">
        <w:rPr>
          <w:rFonts w:ascii="Arial-BoldMT" w:hAnsi="Arial-BoldMT" w:cs="Arial-BoldMT"/>
          <w:bCs/>
          <w:color w:val="FF0000"/>
          <w:sz w:val="24"/>
          <w:szCs w:val="24"/>
          <w:u w:val="single"/>
          <w:lang w:val="en-US" w:eastAsia="zh-CN"/>
        </w:rPr>
        <w:t>TDD slot</w:t>
      </w:r>
      <w:r>
        <w:rPr>
          <w:rFonts w:ascii="Arial-BoldMT" w:hAnsi="Arial-BoldMT" w:cs="Arial-BoldMT"/>
          <w:bCs/>
          <w:color w:val="FF0000"/>
          <w:sz w:val="24"/>
          <w:szCs w:val="24"/>
          <w:u w:val="single"/>
          <w:lang w:val="en-US" w:eastAsia="zh-CN"/>
        </w:rPr>
        <w:t xml:space="preserve"> where no transmissions shall occur, t</w:t>
      </w:r>
      <w:r w:rsidRPr="00F7792D">
        <w:rPr>
          <w:rFonts w:ascii="Arial-BoldMT" w:hAnsi="Arial-BoldMT" w:cs="Arial-BoldMT"/>
          <w:bCs/>
          <w:color w:val="FF0000"/>
          <w:sz w:val="24"/>
          <w:szCs w:val="24"/>
          <w:u w:val="single"/>
          <w:lang w:val="en-US" w:eastAsia="zh-CN"/>
        </w:rPr>
        <w:t xml:space="preserve">he </w:t>
      </w:r>
      <w:r w:rsidR="00570C31" w:rsidRPr="00F7792D">
        <w:rPr>
          <w:rFonts w:ascii="Arial-BoldMT" w:hAnsi="Arial-BoldMT" w:cs="Arial-BoldMT"/>
          <w:bCs/>
          <w:color w:val="FF0000"/>
          <w:sz w:val="24"/>
          <w:szCs w:val="24"/>
          <w:u w:val="single"/>
          <w:lang w:val="en-US" w:eastAsia="zh-CN"/>
        </w:rPr>
        <w:t xml:space="preserve">behavior of a </w:t>
      </w:r>
      <w:r>
        <w:rPr>
          <w:rFonts w:ascii="Arial-BoldMT" w:hAnsi="Arial-BoldMT" w:cs="Arial-BoldMT"/>
          <w:bCs/>
          <w:color w:val="FF0000"/>
          <w:sz w:val="24"/>
          <w:szCs w:val="24"/>
          <w:u w:val="single"/>
          <w:lang w:val="en-US" w:eastAsia="zh-CN"/>
        </w:rPr>
        <w:t xml:space="preserve">DMG </w:t>
      </w:r>
      <w:r w:rsidR="00570C31" w:rsidRPr="00F7792D">
        <w:rPr>
          <w:rFonts w:ascii="Arial-BoldMT" w:hAnsi="Arial-BoldMT" w:cs="Arial-BoldMT"/>
          <w:bCs/>
          <w:color w:val="FF0000"/>
          <w:sz w:val="24"/>
          <w:szCs w:val="24"/>
          <w:u w:val="single"/>
          <w:lang w:val="en-US" w:eastAsia="zh-CN"/>
        </w:rPr>
        <w:t xml:space="preserve">AP </w:t>
      </w:r>
      <w:r w:rsidR="00570C31" w:rsidRPr="00F7792D">
        <w:rPr>
          <w:rFonts w:ascii="Arial-BoldMT" w:hAnsi="Arial-BoldMT" w:cs="Arial-BoldMT"/>
          <w:bCs/>
          <w:color w:val="FF0000"/>
          <w:sz w:val="24"/>
          <w:szCs w:val="24"/>
          <w:u w:val="single"/>
          <w:lang w:val="en-US" w:eastAsia="zh-CN"/>
        </w:rPr>
        <w:lastRenderedPageBreak/>
        <w:t xml:space="preserve">or </w:t>
      </w:r>
      <w:r>
        <w:rPr>
          <w:rFonts w:ascii="Arial-BoldMT" w:hAnsi="Arial-BoldMT" w:cs="Arial-BoldMT"/>
          <w:bCs/>
          <w:color w:val="FF0000"/>
          <w:sz w:val="24"/>
          <w:szCs w:val="24"/>
          <w:u w:val="single"/>
          <w:lang w:val="en-US" w:eastAsia="zh-CN"/>
        </w:rPr>
        <w:t xml:space="preserve">DMG </w:t>
      </w:r>
      <w:r w:rsidR="00570C31" w:rsidRPr="00F7792D">
        <w:rPr>
          <w:rFonts w:ascii="Arial-BoldMT" w:hAnsi="Arial-BoldMT" w:cs="Arial-BoldMT"/>
          <w:bCs/>
          <w:color w:val="FF0000"/>
          <w:sz w:val="24"/>
          <w:szCs w:val="24"/>
          <w:u w:val="single"/>
          <w:lang w:val="en-US" w:eastAsia="zh-CN"/>
        </w:rPr>
        <w:t xml:space="preserve">PCP in a </w:t>
      </w:r>
      <w:r w:rsidR="001850B4">
        <w:rPr>
          <w:rFonts w:ascii="Arial-BoldMT" w:hAnsi="Arial-BoldMT" w:cs="Arial-BoldMT"/>
          <w:bCs/>
          <w:color w:val="FF0000"/>
          <w:sz w:val="24"/>
          <w:szCs w:val="24"/>
          <w:u w:val="single"/>
          <w:lang w:val="en-US" w:eastAsia="zh-CN"/>
        </w:rPr>
        <w:t>TDD slot</w:t>
      </w:r>
      <w:r w:rsidR="00570C31" w:rsidRPr="00F7792D">
        <w:rPr>
          <w:rFonts w:ascii="Arial-BoldMT" w:hAnsi="Arial-BoldMT" w:cs="Arial-BoldMT"/>
          <w:bCs/>
          <w:color w:val="FF0000"/>
          <w:sz w:val="24"/>
          <w:szCs w:val="24"/>
          <w:u w:val="single"/>
          <w:lang w:val="en-US" w:eastAsia="zh-CN"/>
        </w:rPr>
        <w:t xml:space="preserve"> is different </w:t>
      </w:r>
      <w:r w:rsidR="001850B4">
        <w:rPr>
          <w:rFonts w:ascii="Arial-BoldMT" w:hAnsi="Arial-BoldMT" w:cs="Arial-BoldMT"/>
          <w:bCs/>
          <w:color w:val="FF0000"/>
          <w:sz w:val="24"/>
          <w:szCs w:val="24"/>
          <w:u w:val="single"/>
          <w:lang w:val="en-US" w:eastAsia="zh-CN"/>
        </w:rPr>
        <w:t>from</w:t>
      </w:r>
      <w:r w:rsidR="001850B4" w:rsidRPr="00F7792D">
        <w:rPr>
          <w:rFonts w:ascii="Arial-BoldMT" w:hAnsi="Arial-BoldMT" w:cs="Arial-BoldMT"/>
          <w:bCs/>
          <w:color w:val="FF0000"/>
          <w:sz w:val="24"/>
          <w:szCs w:val="24"/>
          <w:u w:val="single"/>
          <w:lang w:val="en-US" w:eastAsia="zh-CN"/>
        </w:rPr>
        <w:t xml:space="preserve"> </w:t>
      </w:r>
      <w:r w:rsidR="00570C31" w:rsidRPr="00F7792D">
        <w:rPr>
          <w:rFonts w:ascii="Arial-BoldMT" w:hAnsi="Arial-BoldMT" w:cs="Arial-BoldMT"/>
          <w:bCs/>
          <w:color w:val="FF0000"/>
          <w:sz w:val="24"/>
          <w:szCs w:val="24"/>
          <w:u w:val="single"/>
          <w:lang w:val="en-US" w:eastAsia="zh-CN"/>
        </w:rPr>
        <w:t xml:space="preserve">the behavior of a non-AP and non-PCP STA depending </w:t>
      </w:r>
      <w:r>
        <w:rPr>
          <w:rFonts w:ascii="Arial-BoldMT" w:hAnsi="Arial-BoldMT" w:cs="Arial-BoldMT"/>
          <w:bCs/>
          <w:color w:val="FF0000"/>
          <w:sz w:val="24"/>
          <w:szCs w:val="24"/>
          <w:u w:val="single"/>
          <w:lang w:val="en-US" w:eastAsia="zh-CN"/>
        </w:rPr>
        <w:t>if</w:t>
      </w:r>
      <w:r w:rsidR="00570C31" w:rsidRPr="00F7792D">
        <w:rPr>
          <w:rFonts w:ascii="Arial-BoldMT" w:hAnsi="Arial-BoldMT" w:cs="Arial-BoldMT"/>
          <w:bCs/>
          <w:color w:val="FF0000"/>
          <w:sz w:val="24"/>
          <w:szCs w:val="24"/>
          <w:u w:val="single"/>
          <w:lang w:val="en-US" w:eastAsia="zh-CN"/>
        </w:rPr>
        <w:t xml:space="preserve"> the </w:t>
      </w:r>
      <w:r w:rsidR="001850B4">
        <w:rPr>
          <w:rFonts w:ascii="Arial-BoldMT" w:hAnsi="Arial-BoldMT" w:cs="Arial-BoldMT"/>
          <w:bCs/>
          <w:color w:val="FF0000"/>
          <w:sz w:val="24"/>
          <w:szCs w:val="24"/>
          <w:u w:val="single"/>
          <w:lang w:val="en-US" w:eastAsia="zh-CN"/>
        </w:rPr>
        <w:t>TDD slot</w:t>
      </w:r>
      <w:r>
        <w:rPr>
          <w:rFonts w:ascii="Arial-BoldMT" w:hAnsi="Arial-BoldMT" w:cs="Arial-BoldMT"/>
          <w:bCs/>
          <w:color w:val="FF0000"/>
          <w:sz w:val="24"/>
          <w:szCs w:val="24"/>
          <w:u w:val="single"/>
          <w:lang w:val="en-US" w:eastAsia="zh-CN"/>
        </w:rPr>
        <w:t xml:space="preserve"> is simplex TX or simplex RX</w:t>
      </w:r>
      <w:r w:rsidR="001742DF">
        <w:rPr>
          <w:rFonts w:ascii="Arial-BoldMT" w:hAnsi="Arial-BoldMT" w:cs="Arial-BoldMT"/>
          <w:bCs/>
          <w:color w:val="FF0000"/>
          <w:sz w:val="24"/>
          <w:szCs w:val="24"/>
          <w:u w:val="single"/>
          <w:lang w:val="en-US" w:eastAsia="zh-CN"/>
        </w:rPr>
        <w:t>:</w:t>
      </w:r>
    </w:p>
    <w:p w14:paraId="00473C09" w14:textId="084FCF2F" w:rsidR="00CA6807" w:rsidRDefault="00C37E40" w:rsidP="00544B79">
      <w:pPr>
        <w:pStyle w:val="ListParagraph"/>
        <w:widowControl w:val="0"/>
        <w:numPr>
          <w:ilvl w:val="0"/>
          <w:numId w:val="24"/>
        </w:numPr>
        <w:autoSpaceDE w:val="0"/>
        <w:autoSpaceDN w:val="0"/>
        <w:adjustRightInd w:val="0"/>
        <w:rPr>
          <w:rFonts w:ascii="Arial-BoldMT" w:hAnsi="Arial-BoldMT" w:cs="Arial-BoldMT"/>
          <w:bCs/>
          <w:color w:val="FF0000"/>
          <w:sz w:val="24"/>
          <w:szCs w:val="24"/>
          <w:u w:val="single"/>
          <w:lang w:val="en-US" w:eastAsia="zh-CN"/>
        </w:rPr>
      </w:pPr>
      <w:r w:rsidRPr="00544B79">
        <w:rPr>
          <w:rFonts w:ascii="Arial-BoldMT" w:hAnsi="Arial-BoldMT" w:cs="Arial-BoldMT"/>
          <w:bCs/>
          <w:color w:val="FF0000"/>
          <w:sz w:val="24"/>
          <w:szCs w:val="24"/>
          <w:u w:val="single"/>
          <w:lang w:val="en-US" w:eastAsia="zh-CN"/>
        </w:rPr>
        <w:t xml:space="preserve">At the start of a simplex TX </w:t>
      </w:r>
      <w:r w:rsidR="001850B4">
        <w:rPr>
          <w:rFonts w:ascii="Arial-BoldMT" w:hAnsi="Arial-BoldMT" w:cs="Arial-BoldMT"/>
          <w:bCs/>
          <w:color w:val="FF0000"/>
          <w:sz w:val="24"/>
          <w:szCs w:val="24"/>
          <w:u w:val="single"/>
          <w:lang w:val="en-US" w:eastAsia="zh-CN"/>
        </w:rPr>
        <w:t>TDD slot</w:t>
      </w:r>
      <w:r w:rsidRPr="00544B79">
        <w:rPr>
          <w:rFonts w:ascii="Arial-BoldMT" w:hAnsi="Arial-BoldMT" w:cs="Arial-BoldMT"/>
          <w:bCs/>
          <w:color w:val="FF0000"/>
          <w:sz w:val="24"/>
          <w:szCs w:val="24"/>
          <w:u w:val="single"/>
          <w:lang w:val="en-US" w:eastAsia="zh-CN"/>
        </w:rPr>
        <w:t xml:space="preserve">, the DMG AP or DMG PCP </w:t>
      </w:r>
      <w:r w:rsidR="006B79ED">
        <w:rPr>
          <w:rFonts w:ascii="Arial-BoldMT" w:hAnsi="Arial-BoldMT" w:cs="Arial-BoldMT"/>
          <w:bCs/>
          <w:color w:val="FF0000"/>
          <w:sz w:val="24"/>
          <w:szCs w:val="24"/>
          <w:u w:val="single"/>
          <w:lang w:val="en-US" w:eastAsia="zh-CN"/>
        </w:rPr>
        <w:t>should</w:t>
      </w:r>
      <w:r w:rsidR="008B29FB">
        <w:rPr>
          <w:rFonts w:ascii="Arial-BoldMT" w:hAnsi="Arial-BoldMT" w:cs="Arial-BoldMT"/>
          <w:bCs/>
          <w:color w:val="FF0000"/>
          <w:sz w:val="24"/>
          <w:szCs w:val="24"/>
          <w:u w:val="single"/>
          <w:lang w:val="en-US" w:eastAsia="zh-CN"/>
        </w:rPr>
        <w:t xml:space="preserve"> </w:t>
      </w:r>
      <w:r w:rsidRPr="00544B79">
        <w:rPr>
          <w:rFonts w:ascii="Arial-BoldMT" w:hAnsi="Arial-BoldMT" w:cs="Arial-BoldMT"/>
          <w:bCs/>
          <w:color w:val="FF0000"/>
          <w:sz w:val="24"/>
          <w:szCs w:val="24"/>
          <w:u w:val="single"/>
          <w:lang w:val="en-US" w:eastAsia="zh-CN"/>
        </w:rPr>
        <w:t xml:space="preserve">initiate transmissions </w:t>
      </w:r>
      <w:r w:rsidR="00CA6807" w:rsidRPr="00544B79">
        <w:rPr>
          <w:rFonts w:ascii="Arial-BoldMT" w:hAnsi="Arial-BoldMT" w:cs="Arial-BoldMT"/>
          <w:bCs/>
          <w:color w:val="FF0000"/>
          <w:sz w:val="24"/>
          <w:szCs w:val="24"/>
          <w:u w:val="single"/>
          <w:lang w:val="en-US" w:eastAsia="zh-CN"/>
        </w:rPr>
        <w:t xml:space="preserve">addressed to the non-AP and non-PCP STA </w:t>
      </w:r>
      <w:r w:rsidR="00CA6807">
        <w:rPr>
          <w:rFonts w:ascii="Arial-BoldMT" w:hAnsi="Arial-BoldMT" w:cs="Arial-BoldMT"/>
          <w:bCs/>
          <w:color w:val="FF0000"/>
          <w:sz w:val="24"/>
          <w:szCs w:val="24"/>
          <w:u w:val="single"/>
          <w:lang w:val="en-US" w:eastAsia="zh-CN"/>
        </w:rPr>
        <w:t xml:space="preserve">assigned to the </w:t>
      </w:r>
      <w:r w:rsidR="001850B4">
        <w:rPr>
          <w:rFonts w:ascii="Arial-BoldMT" w:hAnsi="Arial-BoldMT" w:cs="Arial-BoldMT"/>
          <w:bCs/>
          <w:color w:val="FF0000"/>
          <w:sz w:val="24"/>
          <w:szCs w:val="24"/>
          <w:u w:val="single"/>
          <w:lang w:val="en-US" w:eastAsia="zh-CN"/>
        </w:rPr>
        <w:t>TDD slot</w:t>
      </w:r>
      <w:r w:rsidRPr="00DB0401">
        <w:rPr>
          <w:rFonts w:ascii="Arial-BoldMT" w:hAnsi="Arial-BoldMT" w:cs="Arial-BoldMT"/>
          <w:bCs/>
          <w:color w:val="FF0000"/>
          <w:sz w:val="24"/>
          <w:szCs w:val="24"/>
          <w:u w:val="single"/>
          <w:lang w:val="en-US" w:eastAsia="zh-CN"/>
        </w:rPr>
        <w:t xml:space="preserve">, and the </w:t>
      </w:r>
      <w:r w:rsidR="0004589F" w:rsidRPr="00DB0401">
        <w:rPr>
          <w:rFonts w:ascii="Arial-BoldMT" w:hAnsi="Arial-BoldMT" w:cs="Arial-BoldMT"/>
          <w:bCs/>
          <w:color w:val="FF0000"/>
          <w:sz w:val="24"/>
          <w:szCs w:val="24"/>
          <w:u w:val="single"/>
          <w:lang w:val="en-US" w:eastAsia="zh-CN"/>
        </w:rPr>
        <w:t xml:space="preserve">non-AP and non-PCP </w:t>
      </w:r>
      <w:r w:rsidRPr="00DB0401">
        <w:rPr>
          <w:rFonts w:ascii="Arial-BoldMT" w:hAnsi="Arial-BoldMT" w:cs="Arial-BoldMT"/>
          <w:bCs/>
          <w:color w:val="FF0000"/>
          <w:sz w:val="24"/>
          <w:szCs w:val="24"/>
          <w:u w:val="single"/>
          <w:lang w:val="en-US" w:eastAsia="zh-CN"/>
        </w:rPr>
        <w:t xml:space="preserve">STA that is </w:t>
      </w:r>
      <w:r w:rsidR="0004589F" w:rsidRPr="00DB0401">
        <w:rPr>
          <w:rFonts w:ascii="Arial-BoldMT" w:hAnsi="Arial-BoldMT" w:cs="Arial-BoldMT"/>
          <w:bCs/>
          <w:color w:val="FF0000"/>
          <w:sz w:val="24"/>
          <w:szCs w:val="24"/>
          <w:u w:val="single"/>
          <w:lang w:val="en-US" w:eastAsia="zh-CN"/>
        </w:rPr>
        <w:t xml:space="preserve">assigned to this </w:t>
      </w:r>
      <w:r w:rsidR="001850B4">
        <w:rPr>
          <w:rFonts w:ascii="Arial-BoldMT" w:hAnsi="Arial-BoldMT" w:cs="Arial-BoldMT"/>
          <w:bCs/>
          <w:color w:val="FF0000"/>
          <w:sz w:val="24"/>
          <w:szCs w:val="24"/>
          <w:u w:val="single"/>
          <w:lang w:val="en-US" w:eastAsia="zh-CN"/>
        </w:rPr>
        <w:t>TDD slot</w:t>
      </w:r>
      <w:r w:rsidR="0004589F" w:rsidRPr="00DB0401">
        <w:rPr>
          <w:rFonts w:ascii="Arial-BoldMT" w:hAnsi="Arial-BoldMT" w:cs="Arial-BoldMT"/>
          <w:bCs/>
          <w:color w:val="FF0000"/>
          <w:sz w:val="24"/>
          <w:szCs w:val="24"/>
          <w:u w:val="single"/>
          <w:lang w:val="en-US" w:eastAsia="zh-CN"/>
        </w:rPr>
        <w:t xml:space="preserve"> </w:t>
      </w:r>
      <w:r w:rsidRPr="00DB0401">
        <w:rPr>
          <w:rFonts w:ascii="Arial-BoldMT" w:hAnsi="Arial-BoldMT" w:cs="Arial-BoldMT"/>
          <w:bCs/>
          <w:color w:val="FF0000"/>
          <w:sz w:val="24"/>
          <w:szCs w:val="24"/>
          <w:u w:val="single"/>
          <w:lang w:val="en-US" w:eastAsia="zh-CN"/>
        </w:rPr>
        <w:t xml:space="preserve">shall be </w:t>
      </w:r>
      <w:proofErr w:type="spellStart"/>
      <w:r w:rsidR="0004589F" w:rsidRPr="00DB0401">
        <w:rPr>
          <w:rFonts w:ascii="Arial-BoldMT" w:hAnsi="Arial-BoldMT" w:cs="Arial-BoldMT"/>
          <w:bCs/>
          <w:color w:val="FF0000"/>
          <w:sz w:val="24"/>
          <w:szCs w:val="24"/>
          <w:u w:val="single"/>
          <w:lang w:val="en-US" w:eastAsia="zh-CN"/>
        </w:rPr>
        <w:t>beamformed</w:t>
      </w:r>
      <w:proofErr w:type="spellEnd"/>
      <w:r w:rsidR="0004589F" w:rsidRPr="00DB0401">
        <w:rPr>
          <w:rFonts w:ascii="Arial-BoldMT" w:hAnsi="Arial-BoldMT" w:cs="Arial-BoldMT"/>
          <w:bCs/>
          <w:color w:val="FF0000"/>
          <w:sz w:val="24"/>
          <w:szCs w:val="24"/>
          <w:u w:val="single"/>
          <w:lang w:val="en-US" w:eastAsia="zh-CN"/>
        </w:rPr>
        <w:t xml:space="preserve"> towards the AP or PCP and remain </w:t>
      </w:r>
      <w:r w:rsidRPr="00DB0401">
        <w:rPr>
          <w:rFonts w:ascii="Arial-BoldMT" w:hAnsi="Arial-BoldMT" w:cs="Arial-BoldMT"/>
          <w:bCs/>
          <w:color w:val="FF0000"/>
          <w:sz w:val="24"/>
          <w:szCs w:val="24"/>
          <w:u w:val="single"/>
          <w:lang w:val="en-US" w:eastAsia="zh-CN"/>
        </w:rPr>
        <w:t xml:space="preserve">in the receive state for the duration of the </w:t>
      </w:r>
      <w:r w:rsidR="001850B4">
        <w:rPr>
          <w:rFonts w:ascii="Arial-BoldMT" w:hAnsi="Arial-BoldMT" w:cs="Arial-BoldMT"/>
          <w:bCs/>
          <w:color w:val="FF0000"/>
          <w:sz w:val="24"/>
          <w:szCs w:val="24"/>
          <w:u w:val="single"/>
          <w:lang w:val="en-US" w:eastAsia="zh-CN"/>
        </w:rPr>
        <w:t>TDD slot</w:t>
      </w:r>
      <w:r w:rsidRPr="00DB0401">
        <w:rPr>
          <w:rFonts w:ascii="Arial-BoldMT" w:hAnsi="Arial-BoldMT" w:cs="Arial-BoldMT"/>
          <w:bCs/>
          <w:color w:val="FF0000"/>
          <w:sz w:val="24"/>
          <w:szCs w:val="24"/>
          <w:u w:val="single"/>
          <w:lang w:val="en-US" w:eastAsia="zh-CN"/>
        </w:rPr>
        <w:t xml:space="preserve"> in order to receive transmissions from the AP or PCP. </w:t>
      </w:r>
    </w:p>
    <w:p w14:paraId="6A4D3F75" w14:textId="41329496" w:rsidR="00C37E40" w:rsidRPr="00DB0401" w:rsidRDefault="00C37E40" w:rsidP="00544B79">
      <w:pPr>
        <w:pStyle w:val="ListParagraph"/>
        <w:widowControl w:val="0"/>
        <w:numPr>
          <w:ilvl w:val="0"/>
          <w:numId w:val="24"/>
        </w:numPr>
        <w:autoSpaceDE w:val="0"/>
        <w:autoSpaceDN w:val="0"/>
        <w:adjustRightInd w:val="0"/>
        <w:rPr>
          <w:rFonts w:ascii="Arial-BoldMT" w:hAnsi="Arial-BoldMT" w:cs="Arial-BoldMT"/>
          <w:bCs/>
          <w:color w:val="FF0000"/>
          <w:sz w:val="24"/>
          <w:szCs w:val="24"/>
          <w:u w:val="single"/>
          <w:lang w:val="en-US" w:eastAsia="zh-CN"/>
        </w:rPr>
      </w:pPr>
      <w:r w:rsidRPr="00DB0401">
        <w:rPr>
          <w:rFonts w:ascii="Arial-BoldMT" w:hAnsi="Arial-BoldMT" w:cs="Arial-BoldMT"/>
          <w:bCs/>
          <w:color w:val="FF0000"/>
          <w:sz w:val="24"/>
          <w:szCs w:val="24"/>
          <w:u w:val="single"/>
          <w:lang w:val="en-US" w:eastAsia="zh-CN"/>
        </w:rPr>
        <w:t xml:space="preserve">At the start of a simplex RX </w:t>
      </w:r>
      <w:r w:rsidR="001850B4">
        <w:rPr>
          <w:rFonts w:ascii="Arial-BoldMT" w:hAnsi="Arial-BoldMT" w:cs="Arial-BoldMT"/>
          <w:bCs/>
          <w:color w:val="FF0000"/>
          <w:sz w:val="24"/>
          <w:szCs w:val="24"/>
          <w:u w:val="single"/>
          <w:lang w:val="en-US" w:eastAsia="zh-CN"/>
        </w:rPr>
        <w:t>TDD slot</w:t>
      </w:r>
      <w:r w:rsidRPr="00DB0401">
        <w:rPr>
          <w:rFonts w:ascii="Arial-BoldMT" w:hAnsi="Arial-BoldMT" w:cs="Arial-BoldMT"/>
          <w:bCs/>
          <w:color w:val="FF0000"/>
          <w:sz w:val="24"/>
          <w:szCs w:val="24"/>
          <w:u w:val="single"/>
          <w:lang w:val="en-US" w:eastAsia="zh-CN"/>
        </w:rPr>
        <w:t xml:space="preserve">, </w:t>
      </w:r>
      <w:r w:rsidR="00CA6807" w:rsidRPr="00DB0401">
        <w:rPr>
          <w:rFonts w:ascii="Arial-BoldMT" w:hAnsi="Arial-BoldMT" w:cs="Arial-BoldMT"/>
          <w:bCs/>
          <w:color w:val="FF0000"/>
          <w:sz w:val="24"/>
          <w:szCs w:val="24"/>
          <w:u w:val="single"/>
          <w:lang w:val="en-US" w:eastAsia="zh-CN"/>
        </w:rPr>
        <w:t xml:space="preserve">a non-AP and non-PCP </w:t>
      </w:r>
      <w:r w:rsidRPr="00DB0401">
        <w:rPr>
          <w:rFonts w:ascii="Arial-BoldMT" w:hAnsi="Arial-BoldMT" w:cs="Arial-BoldMT"/>
          <w:bCs/>
          <w:color w:val="FF0000"/>
          <w:sz w:val="24"/>
          <w:szCs w:val="24"/>
          <w:u w:val="single"/>
          <w:lang w:val="en-US" w:eastAsia="zh-CN"/>
        </w:rPr>
        <w:t xml:space="preserve">STA that is </w:t>
      </w:r>
      <w:r w:rsidR="00CA6807" w:rsidRPr="00DB0401">
        <w:rPr>
          <w:rFonts w:ascii="Arial-BoldMT" w:hAnsi="Arial-BoldMT" w:cs="Arial-BoldMT"/>
          <w:bCs/>
          <w:color w:val="FF0000"/>
          <w:sz w:val="24"/>
          <w:szCs w:val="24"/>
          <w:u w:val="single"/>
          <w:lang w:val="en-US" w:eastAsia="zh-CN"/>
        </w:rPr>
        <w:t>assigned to the</w:t>
      </w:r>
      <w:r w:rsidRPr="00DB0401">
        <w:rPr>
          <w:rFonts w:ascii="Arial-BoldMT" w:hAnsi="Arial-BoldMT" w:cs="Arial-BoldMT"/>
          <w:bCs/>
          <w:color w:val="FF0000"/>
          <w:sz w:val="24"/>
          <w:szCs w:val="24"/>
          <w:u w:val="single"/>
          <w:lang w:val="en-US" w:eastAsia="zh-CN"/>
        </w:rPr>
        <w:t xml:space="preserve"> </w:t>
      </w:r>
      <w:r w:rsidR="001850B4">
        <w:rPr>
          <w:rFonts w:ascii="Arial-BoldMT" w:hAnsi="Arial-BoldMT" w:cs="Arial-BoldMT"/>
          <w:bCs/>
          <w:color w:val="FF0000"/>
          <w:sz w:val="24"/>
          <w:szCs w:val="24"/>
          <w:u w:val="single"/>
          <w:lang w:val="en-US" w:eastAsia="zh-CN"/>
        </w:rPr>
        <w:t>TDD slot</w:t>
      </w:r>
      <w:r w:rsidRPr="00DB0401">
        <w:rPr>
          <w:rFonts w:ascii="Arial-BoldMT" w:hAnsi="Arial-BoldMT" w:cs="Arial-BoldMT"/>
          <w:bCs/>
          <w:color w:val="FF0000"/>
          <w:sz w:val="24"/>
          <w:szCs w:val="24"/>
          <w:u w:val="single"/>
          <w:lang w:val="en-US" w:eastAsia="zh-CN"/>
        </w:rPr>
        <w:t xml:space="preserve"> shall initiate transmissions </w:t>
      </w:r>
      <w:r w:rsidR="00CA6807" w:rsidRPr="00DB0401">
        <w:rPr>
          <w:rFonts w:ascii="Arial-BoldMT" w:hAnsi="Arial-BoldMT" w:cs="Arial-BoldMT"/>
          <w:bCs/>
          <w:color w:val="FF0000"/>
          <w:sz w:val="24"/>
          <w:szCs w:val="24"/>
          <w:u w:val="single"/>
          <w:lang w:val="en-US" w:eastAsia="zh-CN"/>
        </w:rPr>
        <w:t>addressed to the AP or PCP</w:t>
      </w:r>
      <w:r w:rsidRPr="00DB0401">
        <w:rPr>
          <w:rFonts w:ascii="Arial-BoldMT" w:hAnsi="Arial-BoldMT" w:cs="Arial-BoldMT"/>
          <w:bCs/>
          <w:color w:val="FF0000"/>
          <w:sz w:val="24"/>
          <w:szCs w:val="24"/>
          <w:u w:val="single"/>
          <w:lang w:val="en-US" w:eastAsia="zh-CN"/>
        </w:rPr>
        <w:t xml:space="preserve">, and the DMG AP or DMG PCP shall be </w:t>
      </w:r>
      <w:proofErr w:type="spellStart"/>
      <w:r w:rsidR="0063199E">
        <w:rPr>
          <w:rFonts w:ascii="Arial-BoldMT" w:hAnsi="Arial-BoldMT" w:cs="Arial-BoldMT"/>
          <w:bCs/>
          <w:color w:val="FF0000"/>
          <w:sz w:val="24"/>
          <w:szCs w:val="24"/>
          <w:u w:val="single"/>
          <w:lang w:val="en-US" w:eastAsia="zh-CN"/>
        </w:rPr>
        <w:t>beamformed</w:t>
      </w:r>
      <w:proofErr w:type="spellEnd"/>
      <w:r w:rsidR="0063199E">
        <w:rPr>
          <w:rFonts w:ascii="Arial-BoldMT" w:hAnsi="Arial-BoldMT" w:cs="Arial-BoldMT"/>
          <w:bCs/>
          <w:color w:val="FF0000"/>
          <w:sz w:val="24"/>
          <w:szCs w:val="24"/>
          <w:u w:val="single"/>
          <w:lang w:val="en-US" w:eastAsia="zh-CN"/>
        </w:rPr>
        <w:t xml:space="preserve"> towards the assigned STA and remain </w:t>
      </w:r>
      <w:r w:rsidRPr="00DB0401">
        <w:rPr>
          <w:rFonts w:ascii="Arial-BoldMT" w:hAnsi="Arial-BoldMT" w:cs="Arial-BoldMT"/>
          <w:bCs/>
          <w:color w:val="FF0000"/>
          <w:sz w:val="24"/>
          <w:szCs w:val="24"/>
          <w:u w:val="single"/>
          <w:lang w:val="en-US" w:eastAsia="zh-CN"/>
        </w:rPr>
        <w:t xml:space="preserve">in receive state for the duration of the </w:t>
      </w:r>
      <w:r w:rsidR="001850B4">
        <w:rPr>
          <w:rFonts w:ascii="Arial-BoldMT" w:hAnsi="Arial-BoldMT" w:cs="Arial-BoldMT"/>
          <w:bCs/>
          <w:color w:val="FF0000"/>
          <w:sz w:val="24"/>
          <w:szCs w:val="24"/>
          <w:u w:val="single"/>
          <w:lang w:val="en-US" w:eastAsia="zh-CN"/>
        </w:rPr>
        <w:t>TDD slot</w:t>
      </w:r>
      <w:r w:rsidRPr="00DB0401">
        <w:rPr>
          <w:rFonts w:ascii="Arial-BoldMT" w:hAnsi="Arial-BoldMT" w:cs="Arial-BoldMT"/>
          <w:bCs/>
          <w:color w:val="FF0000"/>
          <w:sz w:val="24"/>
          <w:szCs w:val="24"/>
          <w:u w:val="single"/>
          <w:lang w:val="en-US" w:eastAsia="zh-CN"/>
        </w:rPr>
        <w:t xml:space="preserve"> in order to receive transmissions from the STA.</w:t>
      </w:r>
    </w:p>
    <w:p w14:paraId="09A9D422" w14:textId="77777777" w:rsidR="00CF2E83" w:rsidRDefault="00CF2E83" w:rsidP="00374A31">
      <w:pPr>
        <w:widowControl w:val="0"/>
        <w:autoSpaceDE w:val="0"/>
        <w:autoSpaceDN w:val="0"/>
        <w:adjustRightInd w:val="0"/>
        <w:rPr>
          <w:rFonts w:ascii="Arial-BoldMT" w:hAnsi="Arial-BoldMT" w:cs="Arial-BoldMT"/>
          <w:bCs/>
          <w:color w:val="FF0000"/>
          <w:sz w:val="24"/>
          <w:szCs w:val="24"/>
          <w:u w:val="single"/>
          <w:lang w:val="en-US" w:eastAsia="zh-CN"/>
        </w:rPr>
      </w:pPr>
    </w:p>
    <w:p w14:paraId="3003FFC6" w14:textId="77777777" w:rsidR="009C1204" w:rsidRDefault="009C1204" w:rsidP="00374A31">
      <w:pPr>
        <w:widowControl w:val="0"/>
        <w:autoSpaceDE w:val="0"/>
        <w:autoSpaceDN w:val="0"/>
        <w:adjustRightInd w:val="0"/>
        <w:rPr>
          <w:rFonts w:ascii="Arial-BoldMT" w:hAnsi="Arial-BoldMT" w:cs="Arial-BoldMT"/>
          <w:bCs/>
          <w:color w:val="FF0000"/>
          <w:sz w:val="24"/>
          <w:szCs w:val="24"/>
          <w:u w:val="single"/>
          <w:lang w:val="en-US" w:eastAsia="zh-CN"/>
        </w:rPr>
      </w:pPr>
    </w:p>
    <w:p w14:paraId="7B921EFF" w14:textId="51512E2E" w:rsidR="00CA6807" w:rsidRDefault="00CA6807" w:rsidP="009C1204">
      <w:pPr>
        <w:widowControl w:val="0"/>
        <w:autoSpaceDE w:val="0"/>
        <w:autoSpaceDN w:val="0"/>
        <w:adjustRightInd w:val="0"/>
        <w:rPr>
          <w:rFonts w:ascii="Arial-BoldMT" w:hAnsi="Arial-BoldMT" w:cs="Arial-BoldMT"/>
          <w:bCs/>
          <w:color w:val="FF0000"/>
          <w:sz w:val="24"/>
          <w:szCs w:val="24"/>
          <w:u w:val="single"/>
          <w:lang w:val="en-US" w:eastAsia="zh-CN"/>
        </w:rPr>
      </w:pPr>
      <w:r>
        <w:rPr>
          <w:rFonts w:ascii="Arial-BoldMT" w:hAnsi="Arial-BoldMT" w:cs="Arial-BoldMT"/>
          <w:bCs/>
          <w:color w:val="FF0000"/>
          <w:sz w:val="24"/>
          <w:szCs w:val="24"/>
          <w:u w:val="single"/>
          <w:lang w:val="en-US" w:eastAsia="zh-CN"/>
        </w:rPr>
        <w:t xml:space="preserve">Adjacent </w:t>
      </w:r>
      <w:r w:rsidR="001850B4">
        <w:rPr>
          <w:rFonts w:ascii="Arial-BoldMT" w:hAnsi="Arial-BoldMT" w:cs="Arial-BoldMT"/>
          <w:bCs/>
          <w:color w:val="FF0000"/>
          <w:sz w:val="24"/>
          <w:szCs w:val="24"/>
          <w:u w:val="single"/>
          <w:lang w:val="en-US" w:eastAsia="zh-CN"/>
        </w:rPr>
        <w:t>TDD slot</w:t>
      </w:r>
      <w:r>
        <w:rPr>
          <w:rFonts w:ascii="Arial-BoldMT" w:hAnsi="Arial-BoldMT" w:cs="Arial-BoldMT"/>
          <w:bCs/>
          <w:color w:val="FF0000"/>
          <w:sz w:val="24"/>
          <w:szCs w:val="24"/>
          <w:u w:val="single"/>
          <w:lang w:val="en-US" w:eastAsia="zh-CN"/>
        </w:rPr>
        <w:t xml:space="preserve">s shall be separated in time by the </w:t>
      </w:r>
      <w:r w:rsidR="00D95D67">
        <w:rPr>
          <w:rFonts w:ascii="Arial-BoldMT" w:hAnsi="Arial-BoldMT" w:cs="Arial-BoldMT"/>
          <w:bCs/>
          <w:color w:val="FF0000"/>
          <w:sz w:val="24"/>
          <w:szCs w:val="24"/>
          <w:u w:val="single"/>
          <w:lang w:val="en-US" w:eastAsia="zh-CN"/>
        </w:rPr>
        <w:t>guard time</w:t>
      </w:r>
      <w:r w:rsidR="00DB2BD4">
        <w:rPr>
          <w:rFonts w:ascii="Arial-BoldMT" w:hAnsi="Arial-BoldMT" w:cs="Arial-BoldMT"/>
          <w:bCs/>
          <w:color w:val="FF0000"/>
          <w:sz w:val="24"/>
          <w:szCs w:val="24"/>
          <w:u w:val="single"/>
          <w:lang w:val="en-US" w:eastAsia="zh-CN"/>
        </w:rPr>
        <w:t>s</w:t>
      </w:r>
      <w:r w:rsidR="00D95D67">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identified in Figure 10-xxx1 and defined in the TDD Slot Structure element</w:t>
      </w:r>
      <w:r w:rsidR="00DB2BD4">
        <w:rPr>
          <w:rFonts w:ascii="Arial-BoldMT" w:hAnsi="Arial-BoldMT" w:cs="Arial-BoldMT"/>
          <w:bCs/>
          <w:color w:val="FF0000"/>
          <w:sz w:val="24"/>
          <w:szCs w:val="24"/>
          <w:u w:val="single"/>
          <w:lang w:val="en-US" w:eastAsia="zh-CN"/>
        </w:rPr>
        <w:t>.</w:t>
      </w:r>
    </w:p>
    <w:p w14:paraId="2FBC2622" w14:textId="77777777" w:rsidR="00CA6807" w:rsidRDefault="00CA6807" w:rsidP="00374A31">
      <w:pPr>
        <w:widowControl w:val="0"/>
        <w:autoSpaceDE w:val="0"/>
        <w:autoSpaceDN w:val="0"/>
        <w:adjustRightInd w:val="0"/>
        <w:rPr>
          <w:rFonts w:ascii="Arial-BoldMT" w:hAnsi="Arial-BoldMT" w:cs="Arial-BoldMT"/>
          <w:bCs/>
          <w:color w:val="FF0000"/>
          <w:sz w:val="24"/>
          <w:szCs w:val="24"/>
          <w:u w:val="single"/>
          <w:lang w:val="en-US" w:eastAsia="zh-CN"/>
        </w:rPr>
      </w:pPr>
    </w:p>
    <w:p w14:paraId="3A0AF965" w14:textId="66222369" w:rsidR="00CF2E83" w:rsidRPr="00CF2E83" w:rsidRDefault="006473C2" w:rsidP="00CF2E83">
      <w:pPr>
        <w:widowControl w:val="0"/>
        <w:autoSpaceDE w:val="0"/>
        <w:autoSpaceDN w:val="0"/>
        <w:adjustRightInd w:val="0"/>
        <w:rPr>
          <w:rFonts w:ascii="Arial-BoldMT" w:hAnsi="Arial-BoldMT" w:cs="Arial-BoldMT"/>
          <w:bCs/>
          <w:color w:val="FF0000"/>
          <w:sz w:val="24"/>
          <w:szCs w:val="24"/>
          <w:u w:val="single"/>
          <w:lang w:val="en-US" w:eastAsia="zh-CN"/>
        </w:rPr>
      </w:pPr>
      <w:r>
        <w:rPr>
          <w:rFonts w:ascii="Arial-BoldMT" w:hAnsi="Arial-BoldMT" w:cs="Arial-BoldMT"/>
          <w:bCs/>
          <w:color w:val="FF0000"/>
          <w:sz w:val="24"/>
          <w:szCs w:val="24"/>
          <w:u w:val="single"/>
          <w:lang w:val="en-US" w:eastAsia="zh-CN"/>
        </w:rPr>
        <w:t>The reverse direction protocol</w:t>
      </w:r>
      <w:r w:rsidR="007B29A7">
        <w:rPr>
          <w:rFonts w:ascii="Arial-BoldMT" w:hAnsi="Arial-BoldMT" w:cs="Arial-BoldMT"/>
          <w:bCs/>
          <w:color w:val="FF0000"/>
          <w:sz w:val="24"/>
          <w:szCs w:val="24"/>
          <w:u w:val="single"/>
          <w:lang w:val="en-US" w:eastAsia="zh-CN"/>
        </w:rPr>
        <w:t xml:space="preserve"> (see 10.28)</w:t>
      </w:r>
      <w:r w:rsidRPr="00CF2E83">
        <w:rPr>
          <w:rFonts w:ascii="Arial-BoldMT" w:hAnsi="Arial-BoldMT" w:cs="Arial-BoldMT"/>
          <w:bCs/>
          <w:color w:val="FF0000"/>
          <w:sz w:val="24"/>
          <w:szCs w:val="24"/>
          <w:u w:val="single"/>
          <w:lang w:val="en-US" w:eastAsia="zh-CN"/>
        </w:rPr>
        <w:t xml:space="preserve"> </w:t>
      </w:r>
      <w:r w:rsidR="00CF2E83">
        <w:rPr>
          <w:rFonts w:ascii="Arial-BoldMT" w:hAnsi="Arial-BoldMT" w:cs="Arial-BoldMT"/>
          <w:bCs/>
          <w:color w:val="FF0000"/>
          <w:sz w:val="24"/>
          <w:szCs w:val="24"/>
          <w:u w:val="single"/>
          <w:lang w:val="en-US" w:eastAsia="zh-CN"/>
        </w:rPr>
        <w:t xml:space="preserve">shall </w:t>
      </w:r>
      <w:r w:rsidR="00F05A4A">
        <w:rPr>
          <w:rFonts w:ascii="Arial-BoldMT" w:hAnsi="Arial-BoldMT" w:cs="Arial-BoldMT"/>
          <w:bCs/>
          <w:color w:val="FF0000"/>
          <w:sz w:val="24"/>
          <w:szCs w:val="24"/>
          <w:u w:val="single"/>
          <w:lang w:val="en-US" w:eastAsia="zh-CN"/>
        </w:rPr>
        <w:t>not</w:t>
      </w:r>
      <w:r w:rsidR="00CF2E83" w:rsidRPr="00CF2E83">
        <w:rPr>
          <w:rFonts w:ascii="Arial-BoldMT" w:hAnsi="Arial-BoldMT" w:cs="Arial-BoldMT"/>
          <w:bCs/>
          <w:color w:val="FF0000"/>
          <w:sz w:val="24"/>
          <w:szCs w:val="24"/>
          <w:u w:val="single"/>
          <w:lang w:val="en-US" w:eastAsia="zh-CN"/>
        </w:rPr>
        <w:t xml:space="preserve"> be used in </w:t>
      </w:r>
      <w:r w:rsidR="00CF2E83">
        <w:rPr>
          <w:rFonts w:ascii="Arial-BoldMT" w:hAnsi="Arial-BoldMT" w:cs="Arial-BoldMT"/>
          <w:bCs/>
          <w:color w:val="FF0000"/>
          <w:sz w:val="24"/>
          <w:szCs w:val="24"/>
          <w:u w:val="single"/>
          <w:lang w:val="en-US" w:eastAsia="zh-CN"/>
        </w:rPr>
        <w:t xml:space="preserve">a </w:t>
      </w:r>
      <w:r w:rsidR="008606D7">
        <w:rPr>
          <w:rFonts w:ascii="Arial-BoldMT" w:hAnsi="Arial-BoldMT" w:cs="Arial-BoldMT"/>
          <w:bCs/>
          <w:color w:val="FF0000"/>
          <w:sz w:val="24"/>
          <w:szCs w:val="24"/>
          <w:u w:val="single"/>
          <w:lang w:val="en-US" w:eastAsia="zh-CN"/>
        </w:rPr>
        <w:t xml:space="preserve">TDD </w:t>
      </w:r>
      <w:r w:rsidR="00CF2E83" w:rsidRPr="00CF2E83">
        <w:rPr>
          <w:rFonts w:ascii="Arial-BoldMT" w:hAnsi="Arial-BoldMT" w:cs="Arial-BoldMT"/>
          <w:bCs/>
          <w:color w:val="FF0000"/>
          <w:sz w:val="24"/>
          <w:szCs w:val="24"/>
          <w:u w:val="single"/>
          <w:lang w:val="en-US" w:eastAsia="zh-CN"/>
        </w:rPr>
        <w:t>SP</w:t>
      </w:r>
      <w:r w:rsidR="00CF2E83">
        <w:rPr>
          <w:rFonts w:ascii="Arial-BoldMT" w:hAnsi="Arial-BoldMT" w:cs="Arial-BoldMT"/>
          <w:bCs/>
          <w:color w:val="FF0000"/>
          <w:sz w:val="24"/>
          <w:szCs w:val="24"/>
          <w:u w:val="single"/>
          <w:lang w:val="en-US" w:eastAsia="zh-CN"/>
        </w:rPr>
        <w:t>.</w:t>
      </w:r>
    </w:p>
    <w:p w14:paraId="25A1BAC3" w14:textId="77777777" w:rsidR="006B749D" w:rsidRPr="00F7792D" w:rsidRDefault="006B749D"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4B29974C" w14:textId="77777777" w:rsidR="0063701C" w:rsidRDefault="0063701C" w:rsidP="002E0633">
      <w:pPr>
        <w:widowControl w:val="0"/>
        <w:autoSpaceDE w:val="0"/>
        <w:autoSpaceDN w:val="0"/>
        <w:adjustRightInd w:val="0"/>
        <w:rPr>
          <w:rFonts w:ascii="Arial-BoldMT" w:hAnsi="Arial-BoldMT" w:cs="Arial-BoldMT"/>
          <w:bCs/>
          <w:color w:val="FF0000"/>
          <w:sz w:val="24"/>
          <w:szCs w:val="24"/>
          <w:u w:val="single"/>
          <w:lang w:val="en-US" w:eastAsia="zh-CN"/>
        </w:rPr>
      </w:pPr>
    </w:p>
    <w:p w14:paraId="0102FC8B" w14:textId="77777777" w:rsidR="000E5825" w:rsidRDefault="000E5825" w:rsidP="002E0633">
      <w:pPr>
        <w:widowControl w:val="0"/>
        <w:autoSpaceDE w:val="0"/>
        <w:autoSpaceDN w:val="0"/>
        <w:adjustRightInd w:val="0"/>
        <w:rPr>
          <w:rFonts w:ascii="Arial-BoldMT" w:hAnsi="Arial-BoldMT" w:cs="Arial-BoldMT"/>
          <w:b/>
          <w:bCs/>
          <w:color w:val="FF0000"/>
          <w:sz w:val="24"/>
          <w:szCs w:val="24"/>
          <w:u w:val="single"/>
          <w:lang w:val="en-US" w:eastAsia="zh-CN"/>
        </w:rPr>
      </w:pPr>
    </w:p>
    <w:p w14:paraId="6B005DC3" w14:textId="54C786DC" w:rsidR="0063701C"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9.4</w:t>
      </w:r>
      <w:r>
        <w:rPr>
          <w:rFonts w:ascii="Arial-BoldMT" w:hAnsi="Arial-BoldMT" w:cs="Arial-BoldMT"/>
          <w:b/>
          <w:bCs/>
          <w:sz w:val="28"/>
          <w:szCs w:val="28"/>
          <w:lang w:val="en-US" w:eastAsia="zh-CN"/>
        </w:rPr>
        <w:t>.2.</w:t>
      </w:r>
      <w:r w:rsidR="00C1615F">
        <w:rPr>
          <w:rFonts w:ascii="Arial-BoldMT" w:hAnsi="Arial-BoldMT" w:cs="Arial-BoldMT"/>
          <w:b/>
          <w:bCs/>
          <w:sz w:val="28"/>
          <w:szCs w:val="28"/>
          <w:lang w:val="en-US" w:eastAsia="zh-CN"/>
        </w:rPr>
        <w:t xml:space="preserve">128 </w:t>
      </w:r>
      <w:r>
        <w:rPr>
          <w:rFonts w:ascii="Arial-BoldMT" w:hAnsi="Arial-BoldMT" w:cs="Arial-BoldMT"/>
          <w:b/>
          <w:bCs/>
          <w:sz w:val="28"/>
          <w:szCs w:val="28"/>
          <w:lang w:val="en-US" w:eastAsia="zh-CN"/>
        </w:rPr>
        <w:t>DMG Capabilities element</w:t>
      </w:r>
    </w:p>
    <w:p w14:paraId="52CC3B63" w14:textId="77777777" w:rsidR="0063701C" w:rsidRDefault="0063701C" w:rsidP="0063701C">
      <w:pPr>
        <w:widowControl w:val="0"/>
        <w:autoSpaceDE w:val="0"/>
        <w:autoSpaceDN w:val="0"/>
        <w:adjustRightInd w:val="0"/>
        <w:rPr>
          <w:rFonts w:ascii="Arial-BoldMT" w:hAnsi="Arial-BoldMT" w:cs="Arial-BoldMT"/>
          <w:b/>
          <w:bCs/>
          <w:sz w:val="28"/>
          <w:szCs w:val="28"/>
          <w:lang w:val="en-US" w:eastAsia="zh-CN"/>
        </w:rPr>
      </w:pPr>
    </w:p>
    <w:p w14:paraId="000F3476" w14:textId="63FB7E2C" w:rsidR="0063701C" w:rsidRDefault="0063701C" w:rsidP="0063701C">
      <w:pPr>
        <w:widowControl w:val="0"/>
        <w:autoSpaceDE w:val="0"/>
        <w:autoSpaceDN w:val="0"/>
        <w:adjustRightInd w:val="0"/>
        <w:rPr>
          <w:rFonts w:ascii="Arial-BoldMT" w:hAnsi="Arial-BoldMT" w:cs="Arial-BoldMT"/>
          <w:b/>
          <w:bCs/>
          <w:i/>
          <w:sz w:val="24"/>
          <w:szCs w:val="24"/>
          <w:lang w:val="en-US" w:eastAsia="zh-CN"/>
        </w:rPr>
      </w:pPr>
    </w:p>
    <w:p w14:paraId="625C5121" w14:textId="44BD0832" w:rsidR="0063701C"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w:t>
      </w:r>
      <w:r w:rsidR="00C1615F">
        <w:rPr>
          <w:rFonts w:ascii="Arial-BoldMT" w:hAnsi="Arial-BoldMT" w:cs="Arial-BoldMT"/>
          <w:b/>
          <w:bCs/>
          <w:sz w:val="28"/>
          <w:szCs w:val="28"/>
          <w:lang w:val="en-US" w:eastAsia="zh-CN"/>
        </w:rPr>
        <w:t>128</w:t>
      </w:r>
      <w:r>
        <w:rPr>
          <w:rFonts w:ascii="Arial-BoldMT" w:hAnsi="Arial-BoldMT" w:cs="Arial-BoldMT"/>
          <w:b/>
          <w:bCs/>
          <w:sz w:val="28"/>
          <w:szCs w:val="28"/>
          <w:lang w:val="en-US" w:eastAsia="zh-CN"/>
        </w:rPr>
        <w:t>.</w:t>
      </w:r>
      <w:r w:rsidR="00C1615F">
        <w:rPr>
          <w:rFonts w:ascii="Arial-BoldMT" w:hAnsi="Arial-BoldMT" w:cs="Arial-BoldMT"/>
          <w:b/>
          <w:bCs/>
          <w:sz w:val="28"/>
          <w:szCs w:val="28"/>
          <w:lang w:val="en-US" w:eastAsia="zh-CN"/>
        </w:rPr>
        <w:t>2 DMG STA Capability Information field</w:t>
      </w:r>
    </w:p>
    <w:p w14:paraId="1DF2C44E" w14:textId="77777777" w:rsidR="00CF2E11" w:rsidRDefault="00CF2E11"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4161FD4" w14:textId="3CAD4509" w:rsidR="00CF2E11" w:rsidRPr="00DB0401" w:rsidRDefault="00CF2E11" w:rsidP="0063701C">
      <w:pPr>
        <w:widowControl w:val="0"/>
        <w:autoSpaceDE w:val="0"/>
        <w:autoSpaceDN w:val="0"/>
        <w:adjustRightInd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Insert a 1 bit field named</w:t>
      </w:r>
      <w:r w:rsidRPr="00116260">
        <w:rPr>
          <w:rFonts w:ascii="Arial-BoldMT" w:hAnsi="Arial-BoldMT" w:cs="Arial-BoldMT" w:hint="eastAsia"/>
          <w:bCs/>
          <w:sz w:val="24"/>
          <w:szCs w:val="24"/>
          <w:lang w:val="en-US" w:eastAsia="zh-CN"/>
        </w:rPr>
        <w:t>“</w:t>
      </w:r>
      <w:r w:rsidRPr="00116260">
        <w:rPr>
          <w:rFonts w:ascii="Arial-BoldMT" w:hAnsi="Arial-BoldMT" w:cs="Arial-BoldMT" w:hint="eastAsia"/>
          <w:bCs/>
          <w:sz w:val="24"/>
          <w:szCs w:val="24"/>
          <w:lang w:val="en-US" w:eastAsia="zh-CN"/>
        </w:rPr>
        <w:t>TDD Channel Access Supported</w:t>
      </w:r>
      <w:r w:rsidR="00116260">
        <w:rPr>
          <w:rFonts w:ascii="Arial-BoldMT" w:hAnsi="Arial-BoldMT" w:cs="Arial-BoldMT"/>
          <w:bCs/>
          <w:sz w:val="24"/>
          <w:szCs w:val="24"/>
          <w:lang w:val="en-US" w:eastAsia="zh-CN"/>
        </w:rPr>
        <w:t>”</w:t>
      </w:r>
      <w:r w:rsidRPr="00DB0401">
        <w:rPr>
          <w:rFonts w:ascii="Arial-BoldMT" w:hAnsi="Arial-BoldMT" w:cs="Arial-BoldMT" w:hint="eastAsia"/>
          <w:b/>
          <w:bCs/>
          <w:i/>
          <w:sz w:val="24"/>
          <w:szCs w:val="24"/>
          <w:lang w:val="en-US" w:eastAsia="zh-CN"/>
        </w:rPr>
        <w:t xml:space="preserve"> in </w:t>
      </w:r>
      <w:r w:rsidR="00C1615F">
        <w:rPr>
          <w:rFonts w:ascii="Arial-BoldMT" w:hAnsi="Arial-BoldMT" w:cs="Arial-BoldMT"/>
          <w:b/>
          <w:bCs/>
          <w:i/>
          <w:sz w:val="24"/>
          <w:szCs w:val="24"/>
          <w:lang w:val="en-US" w:eastAsia="zh-CN"/>
        </w:rPr>
        <w:t>Figure 9-504</w:t>
      </w:r>
    </w:p>
    <w:p w14:paraId="338BB7F8" w14:textId="77777777" w:rsidR="00CF2E11" w:rsidRPr="00DB0401" w:rsidRDefault="00CF2E11" w:rsidP="0063701C">
      <w:pPr>
        <w:widowControl w:val="0"/>
        <w:autoSpaceDE w:val="0"/>
        <w:autoSpaceDN w:val="0"/>
        <w:adjustRightInd w:val="0"/>
        <w:rPr>
          <w:rFonts w:ascii="Arial-BoldMT" w:hAnsi="Arial-BoldMT" w:cs="Arial-BoldMT"/>
          <w:b/>
          <w:bCs/>
          <w:i/>
          <w:sz w:val="24"/>
          <w:szCs w:val="24"/>
          <w:lang w:val="en-US" w:eastAsia="zh-CN"/>
        </w:rPr>
      </w:pPr>
    </w:p>
    <w:p w14:paraId="121D7472" w14:textId="4C3464D1" w:rsidR="00CF2E11" w:rsidRPr="00DB0401" w:rsidRDefault="00CF2E11" w:rsidP="00B4459F">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at the end of the </w:t>
      </w:r>
      <w:proofErr w:type="spellStart"/>
      <w:r w:rsidRPr="00DB0401">
        <w:rPr>
          <w:rFonts w:ascii="Arial-BoldMT" w:hAnsi="Arial-BoldMT" w:cs="Arial-BoldMT" w:hint="eastAsia"/>
          <w:b/>
          <w:bCs/>
          <w:i/>
          <w:sz w:val="24"/>
          <w:szCs w:val="24"/>
          <w:lang w:val="en-US" w:eastAsia="zh-CN"/>
        </w:rPr>
        <w:t>subclause</w:t>
      </w:r>
      <w:proofErr w:type="spellEnd"/>
    </w:p>
    <w:p w14:paraId="2D21A4D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7EBCBC2A" w14:textId="36C70C29" w:rsidR="0063701C" w:rsidRPr="002E7394"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2E7394">
        <w:rPr>
          <w:rFonts w:ascii="Arial-BoldMT" w:hAnsi="Arial-BoldMT" w:cs="Arial-BoldMT" w:hint="eastAsia"/>
          <w:bCs/>
          <w:color w:val="FF0000"/>
          <w:sz w:val="24"/>
          <w:szCs w:val="24"/>
          <w:u w:val="single"/>
          <w:lang w:val="en-US" w:eastAsia="zh-CN"/>
        </w:rPr>
        <w:t xml:space="preserve">The TDD Channel Access </w:t>
      </w:r>
      <w:r w:rsidR="00CF2E11" w:rsidRPr="002E7394">
        <w:rPr>
          <w:rFonts w:ascii="Arial-BoldMT" w:hAnsi="Arial-BoldMT" w:cs="Arial-BoldMT" w:hint="eastAsia"/>
          <w:bCs/>
          <w:color w:val="FF0000"/>
          <w:sz w:val="24"/>
          <w:szCs w:val="24"/>
          <w:u w:val="single"/>
          <w:lang w:val="en-US" w:eastAsia="zh-CN"/>
        </w:rPr>
        <w:t xml:space="preserve">Supported </w:t>
      </w:r>
      <w:r w:rsidRPr="002E7394">
        <w:rPr>
          <w:rFonts w:ascii="Arial-BoldMT" w:hAnsi="Arial-BoldMT" w:cs="Arial-BoldMT" w:hint="eastAsia"/>
          <w:bCs/>
          <w:color w:val="FF0000"/>
          <w:sz w:val="24"/>
          <w:szCs w:val="24"/>
          <w:u w:val="single"/>
          <w:lang w:val="en-US" w:eastAsia="zh-CN"/>
        </w:rPr>
        <w:t xml:space="preserve">subfield is set to </w:t>
      </w:r>
      <w:r w:rsidR="007B29A7">
        <w:rPr>
          <w:rFonts w:ascii="Arial-BoldMT" w:hAnsi="Arial-BoldMT" w:cs="Arial-BoldMT"/>
          <w:bCs/>
          <w:color w:val="FF0000"/>
          <w:sz w:val="24"/>
          <w:szCs w:val="24"/>
          <w:u w:val="single"/>
          <w:lang w:val="en-US" w:eastAsia="zh-CN"/>
        </w:rPr>
        <w:t>1</w:t>
      </w:r>
      <w:r w:rsidRPr="002E7394">
        <w:rPr>
          <w:rFonts w:ascii="Arial-BoldMT" w:hAnsi="Arial-BoldMT" w:cs="Arial-BoldMT" w:hint="eastAsia"/>
          <w:bCs/>
          <w:color w:val="FF0000"/>
          <w:sz w:val="24"/>
          <w:szCs w:val="24"/>
          <w:u w:val="single"/>
          <w:lang w:val="en-US" w:eastAsia="zh-CN"/>
        </w:rPr>
        <w:t xml:space="preserve"> to indicate that the STA supports the TDD channel access described in 10.36.6.2.</w:t>
      </w:r>
      <w:r w:rsidR="00CF2E11" w:rsidRPr="002E7394">
        <w:rPr>
          <w:rFonts w:ascii="Arial-BoldMT" w:hAnsi="Arial-BoldMT" w:cs="Arial-BoldMT" w:hint="eastAsia"/>
          <w:bCs/>
          <w:color w:val="FF0000"/>
          <w:sz w:val="24"/>
          <w:szCs w:val="24"/>
          <w:u w:val="single"/>
          <w:lang w:val="en-US" w:eastAsia="zh-CN"/>
        </w:rPr>
        <w:t>2</w:t>
      </w:r>
      <w:r w:rsidRPr="002E7394">
        <w:rPr>
          <w:rFonts w:ascii="Arial-BoldMT" w:hAnsi="Arial-BoldMT" w:cs="Arial-BoldMT" w:hint="eastAsia"/>
          <w:bCs/>
          <w:color w:val="FF0000"/>
          <w:sz w:val="24"/>
          <w:szCs w:val="24"/>
          <w:u w:val="single"/>
          <w:lang w:val="en-US" w:eastAsia="zh-CN"/>
        </w:rPr>
        <w:t>. The subfield is set to 0 otherwise.</w:t>
      </w:r>
    </w:p>
    <w:p w14:paraId="298B9A16" w14:textId="77777777" w:rsidR="0063701C" w:rsidRDefault="0063701C" w:rsidP="0063701C">
      <w:pPr>
        <w:widowControl w:val="0"/>
        <w:autoSpaceDE w:val="0"/>
        <w:autoSpaceDN w:val="0"/>
        <w:adjustRightInd w:val="0"/>
        <w:rPr>
          <w:rFonts w:ascii="Arial-BoldMT" w:hAnsi="Arial-BoldMT" w:cs="Arial-BoldMT"/>
          <w:b/>
          <w:bCs/>
          <w:sz w:val="28"/>
          <w:szCs w:val="28"/>
          <w:lang w:val="en-US" w:eastAsia="zh-CN"/>
        </w:rPr>
      </w:pPr>
    </w:p>
    <w:p w14:paraId="6BA2F729" w14:textId="77777777" w:rsidR="0063701C" w:rsidRDefault="0063701C" w:rsidP="0063701C">
      <w:pPr>
        <w:widowControl w:val="0"/>
        <w:autoSpaceDE w:val="0"/>
        <w:autoSpaceDN w:val="0"/>
        <w:adjustRightInd w:val="0"/>
        <w:rPr>
          <w:rFonts w:ascii="Arial-BoldMT" w:hAnsi="Arial-BoldMT" w:cs="Arial-BoldMT"/>
          <w:b/>
          <w:bCs/>
          <w:sz w:val="28"/>
          <w:szCs w:val="28"/>
          <w:lang w:val="en-US" w:eastAsia="zh-CN"/>
        </w:rPr>
      </w:pPr>
    </w:p>
    <w:p w14:paraId="65F0D06F" w14:textId="77777777" w:rsidR="0063701C"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9.4.2.132</w:t>
      </w:r>
      <w:r w:rsidRPr="004D3C38">
        <w:rPr>
          <w:rFonts w:ascii="Arial-BoldMT" w:hAnsi="Arial-BoldMT" w:cs="Arial-BoldMT"/>
          <w:b/>
          <w:bCs/>
          <w:sz w:val="28"/>
          <w:szCs w:val="28"/>
          <w:lang w:val="en-US" w:eastAsia="zh-CN"/>
        </w:rPr>
        <w:t xml:space="preserve"> </w:t>
      </w:r>
      <w:r>
        <w:rPr>
          <w:rFonts w:ascii="Arial-BoldMT" w:hAnsi="Arial-BoldMT" w:cs="Arial-BoldMT"/>
          <w:b/>
          <w:bCs/>
          <w:sz w:val="28"/>
          <w:szCs w:val="28"/>
          <w:lang w:val="en-US" w:eastAsia="zh-CN"/>
        </w:rPr>
        <w:t>Extended Schedule element</w:t>
      </w:r>
    </w:p>
    <w:p w14:paraId="62792BEE" w14:textId="77777777" w:rsidR="0063701C" w:rsidRDefault="0063701C" w:rsidP="00B4459F">
      <w:pPr>
        <w:widowControl w:val="0"/>
        <w:autoSpaceDE w:val="0"/>
        <w:autoSpaceDN w:val="0"/>
        <w:adjustRightInd w:val="0"/>
        <w:outlineLvl w:val="0"/>
        <w:rPr>
          <w:rFonts w:ascii="Arial-BoldMT" w:hAnsi="Arial-BoldMT" w:cs="Arial-BoldMT"/>
          <w:b/>
          <w:bCs/>
          <w:i/>
          <w:sz w:val="24"/>
          <w:szCs w:val="24"/>
          <w:lang w:val="en-US" w:eastAsia="zh-CN"/>
        </w:rPr>
      </w:pPr>
      <w:r w:rsidRPr="004D3C38">
        <w:rPr>
          <w:rFonts w:ascii="Arial-BoldMT" w:hAnsi="Arial-BoldMT" w:cs="Arial-BoldMT"/>
          <w:b/>
          <w:bCs/>
          <w:i/>
          <w:sz w:val="24"/>
          <w:szCs w:val="24"/>
          <w:lang w:val="en-US" w:eastAsia="zh-CN"/>
        </w:rPr>
        <w:t>Change</w:t>
      </w:r>
      <w:r>
        <w:rPr>
          <w:rFonts w:ascii="Arial-BoldMT" w:hAnsi="Arial-BoldMT" w:cs="Arial-BoldMT"/>
          <w:b/>
          <w:bCs/>
          <w:i/>
          <w:sz w:val="24"/>
          <w:szCs w:val="24"/>
          <w:lang w:val="en-US" w:eastAsia="zh-CN"/>
        </w:rPr>
        <w:t xml:space="preserve"> Figure 9-518 as follows:</w:t>
      </w:r>
    </w:p>
    <w:p w14:paraId="5D974218" w14:textId="77777777" w:rsidR="0063701C" w:rsidRDefault="0063701C" w:rsidP="0063701C">
      <w:pPr>
        <w:widowControl w:val="0"/>
        <w:autoSpaceDE w:val="0"/>
        <w:autoSpaceDN w:val="0"/>
        <w:adjustRightInd w:val="0"/>
        <w:rPr>
          <w:rFonts w:ascii="Arial-BoldMT" w:hAnsi="Arial-BoldMT" w:cs="Arial-BoldMT"/>
          <w:b/>
          <w:bCs/>
          <w:i/>
          <w:sz w:val="24"/>
          <w:szCs w:val="24"/>
          <w:lang w:val="en-US" w:eastAsia="zh-CN"/>
        </w:rPr>
      </w:pPr>
    </w:p>
    <w:tbl>
      <w:tblPr>
        <w:tblW w:w="5000" w:type="pct"/>
        <w:jc w:val="center"/>
        <w:tblLook w:val="04A0" w:firstRow="1" w:lastRow="0" w:firstColumn="1" w:lastColumn="0" w:noHBand="0" w:noVBand="1"/>
      </w:tblPr>
      <w:tblGrid>
        <w:gridCol w:w="557"/>
        <w:gridCol w:w="976"/>
        <w:gridCol w:w="976"/>
        <w:gridCol w:w="938"/>
        <w:gridCol w:w="1076"/>
        <w:gridCol w:w="1495"/>
        <w:gridCol w:w="847"/>
        <w:gridCol w:w="603"/>
        <w:gridCol w:w="1006"/>
        <w:gridCol w:w="886"/>
      </w:tblGrid>
      <w:tr w:rsidR="0063701C" w:rsidRPr="000D69D7" w14:paraId="1CFF21E1" w14:textId="77777777" w:rsidTr="00055ACF">
        <w:trPr>
          <w:jc w:val="center"/>
        </w:trPr>
        <w:tc>
          <w:tcPr>
            <w:tcW w:w="298" w:type="pct"/>
            <w:shd w:val="clear" w:color="auto" w:fill="auto"/>
          </w:tcPr>
          <w:p w14:paraId="0ECF7D7F" w14:textId="77777777" w:rsidR="0063701C" w:rsidRDefault="0063701C" w:rsidP="00055ACF">
            <w:pPr>
              <w:pStyle w:val="IEEEStdsTableData-Center"/>
            </w:pPr>
          </w:p>
        </w:tc>
        <w:tc>
          <w:tcPr>
            <w:tcW w:w="521" w:type="pct"/>
            <w:tcBorders>
              <w:bottom w:val="single" w:sz="4" w:space="0" w:color="auto"/>
            </w:tcBorders>
          </w:tcPr>
          <w:p w14:paraId="490E1E65" w14:textId="77777777" w:rsidR="0063701C" w:rsidRDefault="0063701C" w:rsidP="00055ACF">
            <w:pPr>
              <w:pStyle w:val="IEEEStdsTableData-Center"/>
            </w:pPr>
            <w:r>
              <w:t>B0       B3</w:t>
            </w:r>
          </w:p>
        </w:tc>
        <w:tc>
          <w:tcPr>
            <w:tcW w:w="521" w:type="pct"/>
            <w:tcBorders>
              <w:bottom w:val="single" w:sz="4" w:space="0" w:color="auto"/>
            </w:tcBorders>
          </w:tcPr>
          <w:p w14:paraId="3DB0D771" w14:textId="77777777" w:rsidR="0063701C" w:rsidRDefault="0063701C" w:rsidP="00055ACF">
            <w:pPr>
              <w:pStyle w:val="IEEEStdsTableData-Center"/>
            </w:pPr>
            <w:r>
              <w:t>B4       B6</w:t>
            </w:r>
          </w:p>
        </w:tc>
        <w:tc>
          <w:tcPr>
            <w:tcW w:w="605" w:type="pct"/>
            <w:tcBorders>
              <w:bottom w:val="single" w:sz="4" w:space="0" w:color="auto"/>
            </w:tcBorders>
            <w:shd w:val="clear" w:color="auto" w:fill="auto"/>
          </w:tcPr>
          <w:p w14:paraId="4445E038" w14:textId="77777777" w:rsidR="0063701C" w:rsidRDefault="0063701C" w:rsidP="00055ACF">
            <w:pPr>
              <w:pStyle w:val="IEEEStdsTableData-Center"/>
            </w:pPr>
            <w:r>
              <w:t>B7</w:t>
            </w:r>
          </w:p>
        </w:tc>
        <w:tc>
          <w:tcPr>
            <w:tcW w:w="575" w:type="pct"/>
            <w:tcBorders>
              <w:bottom w:val="single" w:sz="4" w:space="0" w:color="auto"/>
            </w:tcBorders>
            <w:shd w:val="clear" w:color="auto" w:fill="auto"/>
          </w:tcPr>
          <w:p w14:paraId="47B799D6" w14:textId="77777777" w:rsidR="0063701C" w:rsidRDefault="0063701C" w:rsidP="00055ACF">
            <w:pPr>
              <w:pStyle w:val="IEEEStdsTableData-Center"/>
            </w:pPr>
            <w:r>
              <w:t>B8</w:t>
            </w:r>
          </w:p>
        </w:tc>
        <w:tc>
          <w:tcPr>
            <w:tcW w:w="851" w:type="pct"/>
            <w:tcBorders>
              <w:bottom w:val="single" w:sz="4" w:space="0" w:color="auto"/>
            </w:tcBorders>
          </w:tcPr>
          <w:p w14:paraId="69958A3F" w14:textId="77777777" w:rsidR="0063701C" w:rsidRDefault="0063701C" w:rsidP="00055ACF">
            <w:pPr>
              <w:pStyle w:val="IEEEStdsTableData-Center"/>
            </w:pPr>
            <w:r>
              <w:t>B9</w:t>
            </w:r>
          </w:p>
        </w:tc>
        <w:tc>
          <w:tcPr>
            <w:tcW w:w="505" w:type="pct"/>
            <w:tcBorders>
              <w:bottom w:val="single" w:sz="4" w:space="0" w:color="auto"/>
            </w:tcBorders>
          </w:tcPr>
          <w:p w14:paraId="28E5751F" w14:textId="77777777" w:rsidR="0063701C" w:rsidRDefault="0063701C" w:rsidP="00055ACF">
            <w:pPr>
              <w:pStyle w:val="IEEEStdsTableData-Center"/>
            </w:pPr>
            <w:r>
              <w:t>B10</w:t>
            </w:r>
          </w:p>
        </w:tc>
        <w:tc>
          <w:tcPr>
            <w:tcW w:w="374" w:type="pct"/>
            <w:tcBorders>
              <w:bottom w:val="single" w:sz="4" w:space="0" w:color="auto"/>
            </w:tcBorders>
            <w:shd w:val="clear" w:color="auto" w:fill="auto"/>
          </w:tcPr>
          <w:p w14:paraId="05CADEC3" w14:textId="77777777" w:rsidR="0063701C" w:rsidRDefault="0063701C" w:rsidP="00055ACF">
            <w:pPr>
              <w:pStyle w:val="IEEEStdsTableData-Center"/>
            </w:pPr>
            <w:r>
              <w:t>B11</w:t>
            </w:r>
          </w:p>
        </w:tc>
        <w:tc>
          <w:tcPr>
            <w:tcW w:w="374" w:type="pct"/>
            <w:tcBorders>
              <w:bottom w:val="single" w:sz="4" w:space="0" w:color="auto"/>
            </w:tcBorders>
          </w:tcPr>
          <w:p w14:paraId="52D090AB" w14:textId="77777777" w:rsidR="0063701C" w:rsidRDefault="0063701C" w:rsidP="00055ACF">
            <w:pPr>
              <w:pStyle w:val="IEEEStdsTableData-Center"/>
              <w:rPr>
                <w:lang w:eastAsia="zh-CN"/>
              </w:rPr>
            </w:pPr>
            <w:r>
              <w:rPr>
                <w:rFonts w:hint="eastAsia"/>
                <w:lang w:eastAsia="zh-CN"/>
              </w:rPr>
              <w:t>B</w:t>
            </w:r>
            <w:r>
              <w:rPr>
                <w:lang w:eastAsia="zh-CN"/>
              </w:rPr>
              <w:t>12</w:t>
            </w:r>
          </w:p>
        </w:tc>
        <w:tc>
          <w:tcPr>
            <w:tcW w:w="374" w:type="pct"/>
            <w:tcBorders>
              <w:bottom w:val="single" w:sz="4" w:space="0" w:color="auto"/>
            </w:tcBorders>
          </w:tcPr>
          <w:p w14:paraId="264AC1F2" w14:textId="77777777" w:rsidR="0063701C" w:rsidRDefault="0063701C" w:rsidP="00055ACF">
            <w:pPr>
              <w:pStyle w:val="IEEEStdsTableData-Center"/>
              <w:rPr>
                <w:lang w:eastAsia="zh-CN"/>
              </w:rPr>
            </w:pPr>
            <w:r>
              <w:rPr>
                <w:rFonts w:hint="eastAsia"/>
                <w:lang w:eastAsia="zh-CN"/>
              </w:rPr>
              <w:t xml:space="preserve">B13 </w:t>
            </w:r>
            <w:r>
              <w:rPr>
                <w:lang w:eastAsia="zh-CN"/>
              </w:rPr>
              <w:t>B15</w:t>
            </w:r>
          </w:p>
        </w:tc>
      </w:tr>
      <w:tr w:rsidR="0063701C" w:rsidRPr="000D69D7" w14:paraId="78DDFE9C" w14:textId="77777777" w:rsidTr="00055ACF">
        <w:trPr>
          <w:jc w:val="center"/>
        </w:trPr>
        <w:tc>
          <w:tcPr>
            <w:tcW w:w="298" w:type="pct"/>
            <w:tcBorders>
              <w:right w:val="single" w:sz="4" w:space="0" w:color="auto"/>
            </w:tcBorders>
            <w:shd w:val="clear" w:color="auto" w:fill="auto"/>
          </w:tcPr>
          <w:p w14:paraId="02C37ABA" w14:textId="77777777" w:rsidR="0063701C" w:rsidRDefault="0063701C" w:rsidP="00055ACF">
            <w:pPr>
              <w:pStyle w:val="IEEEStdsTableData-Center"/>
            </w:pPr>
          </w:p>
        </w:tc>
        <w:tc>
          <w:tcPr>
            <w:tcW w:w="521" w:type="pct"/>
            <w:tcBorders>
              <w:top w:val="single" w:sz="4" w:space="0" w:color="auto"/>
              <w:bottom w:val="single" w:sz="4" w:space="0" w:color="auto"/>
              <w:right w:val="single" w:sz="4" w:space="0" w:color="auto"/>
            </w:tcBorders>
          </w:tcPr>
          <w:p w14:paraId="2047D7B6" w14:textId="77777777" w:rsidR="0063701C" w:rsidRDefault="0063701C" w:rsidP="00055ACF">
            <w:pPr>
              <w:pStyle w:val="IEEEStdsTableData-Center"/>
            </w:pPr>
            <w:r>
              <w:t>Allocation ID</w:t>
            </w:r>
          </w:p>
        </w:tc>
        <w:tc>
          <w:tcPr>
            <w:tcW w:w="521" w:type="pct"/>
            <w:tcBorders>
              <w:top w:val="single" w:sz="4" w:space="0" w:color="auto"/>
              <w:left w:val="single" w:sz="4" w:space="0" w:color="auto"/>
              <w:bottom w:val="single" w:sz="4" w:space="0" w:color="auto"/>
              <w:right w:val="single" w:sz="4" w:space="0" w:color="auto"/>
            </w:tcBorders>
          </w:tcPr>
          <w:p w14:paraId="7F2B260D" w14:textId="77777777" w:rsidR="0063701C" w:rsidRDefault="0063701C" w:rsidP="00055ACF">
            <w:pPr>
              <w:pStyle w:val="IEEEStdsTableData-Center"/>
            </w:pPr>
            <w:r>
              <w:t>Allocation Type</w:t>
            </w:r>
          </w:p>
        </w:tc>
        <w:tc>
          <w:tcPr>
            <w:tcW w:w="605" w:type="pct"/>
            <w:tcBorders>
              <w:top w:val="single" w:sz="4" w:space="0" w:color="auto"/>
              <w:left w:val="single" w:sz="4" w:space="0" w:color="auto"/>
              <w:bottom w:val="single" w:sz="4" w:space="0" w:color="auto"/>
              <w:right w:val="single" w:sz="4" w:space="0" w:color="auto"/>
            </w:tcBorders>
            <w:shd w:val="clear" w:color="auto" w:fill="auto"/>
          </w:tcPr>
          <w:p w14:paraId="355FB5C3" w14:textId="77777777" w:rsidR="0063701C" w:rsidRDefault="0063701C" w:rsidP="00055ACF">
            <w:pPr>
              <w:pStyle w:val="IEEEStdsTableData-Center"/>
            </w:pPr>
            <w:r>
              <w:t>Pseudo-static</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3CCC931" w14:textId="77777777" w:rsidR="0063701C" w:rsidRDefault="0063701C" w:rsidP="00055ACF">
            <w:pPr>
              <w:pStyle w:val="IEEEStdsTableData-Center"/>
            </w:pPr>
            <w:proofErr w:type="spellStart"/>
            <w:r>
              <w:t>Truncatable</w:t>
            </w:r>
            <w:proofErr w:type="spellEnd"/>
          </w:p>
        </w:tc>
        <w:tc>
          <w:tcPr>
            <w:tcW w:w="851" w:type="pct"/>
            <w:tcBorders>
              <w:top w:val="single" w:sz="4" w:space="0" w:color="auto"/>
              <w:left w:val="single" w:sz="4" w:space="0" w:color="auto"/>
              <w:bottom w:val="single" w:sz="4" w:space="0" w:color="auto"/>
              <w:right w:val="single" w:sz="4" w:space="0" w:color="auto"/>
            </w:tcBorders>
          </w:tcPr>
          <w:p w14:paraId="524F1DFD" w14:textId="77777777" w:rsidR="0063701C" w:rsidRDefault="0063701C" w:rsidP="00055ACF">
            <w:pPr>
              <w:pStyle w:val="IEEEStdsTableData-Center"/>
            </w:pPr>
            <w:r>
              <w:t>Extendable</w:t>
            </w:r>
          </w:p>
        </w:tc>
        <w:tc>
          <w:tcPr>
            <w:tcW w:w="505" w:type="pct"/>
            <w:tcBorders>
              <w:top w:val="single" w:sz="4" w:space="0" w:color="auto"/>
              <w:left w:val="single" w:sz="4" w:space="0" w:color="auto"/>
              <w:bottom w:val="single" w:sz="4" w:space="0" w:color="auto"/>
              <w:right w:val="single" w:sz="4" w:space="0" w:color="auto"/>
            </w:tcBorders>
          </w:tcPr>
          <w:p w14:paraId="403E4DCC" w14:textId="77777777" w:rsidR="0063701C" w:rsidRDefault="0063701C" w:rsidP="00055ACF">
            <w:pPr>
              <w:pStyle w:val="IEEEStdsTableData-Center"/>
            </w:pPr>
            <w:r>
              <w:t>PCP Active</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13B719D" w14:textId="77777777" w:rsidR="0063701C" w:rsidRDefault="0063701C" w:rsidP="00055ACF">
            <w:pPr>
              <w:pStyle w:val="IEEEStdsTableData-Center"/>
            </w:pPr>
            <w:r>
              <w:t>LP SC Used</w:t>
            </w:r>
          </w:p>
        </w:tc>
        <w:tc>
          <w:tcPr>
            <w:tcW w:w="374" w:type="pct"/>
            <w:tcBorders>
              <w:top w:val="single" w:sz="4" w:space="0" w:color="auto"/>
              <w:left w:val="single" w:sz="4" w:space="0" w:color="auto"/>
              <w:bottom w:val="single" w:sz="4" w:space="0" w:color="auto"/>
              <w:right w:val="single" w:sz="4" w:space="0" w:color="auto"/>
            </w:tcBorders>
          </w:tcPr>
          <w:p w14:paraId="50825A18" w14:textId="5B8481AA" w:rsidR="0063701C" w:rsidRPr="000A3030" w:rsidRDefault="006B79ED" w:rsidP="00055ACF">
            <w:pPr>
              <w:pStyle w:val="IEEEStdsTableData-Center"/>
              <w:rPr>
                <w:color w:val="FF0000"/>
                <w:u w:val="single"/>
                <w:lang w:eastAsia="zh-CN"/>
              </w:rPr>
            </w:pPr>
            <w:r>
              <w:rPr>
                <w:color w:val="FF0000"/>
                <w:u w:val="single"/>
                <w:lang w:eastAsia="zh-CN"/>
              </w:rPr>
              <w:t>TDD Applicable SP</w:t>
            </w:r>
          </w:p>
        </w:tc>
        <w:tc>
          <w:tcPr>
            <w:tcW w:w="374" w:type="pct"/>
            <w:tcBorders>
              <w:top w:val="single" w:sz="4" w:space="0" w:color="auto"/>
              <w:left w:val="single" w:sz="4" w:space="0" w:color="auto"/>
              <w:bottom w:val="single" w:sz="4" w:space="0" w:color="auto"/>
              <w:right w:val="single" w:sz="4" w:space="0" w:color="auto"/>
            </w:tcBorders>
          </w:tcPr>
          <w:p w14:paraId="33C71E31" w14:textId="77777777" w:rsidR="0063701C" w:rsidRDefault="0063701C" w:rsidP="00055ACF">
            <w:pPr>
              <w:pStyle w:val="IEEEStdsTableData-Center"/>
              <w:rPr>
                <w:lang w:eastAsia="zh-CN"/>
              </w:rPr>
            </w:pPr>
            <w:r>
              <w:rPr>
                <w:rFonts w:hint="eastAsia"/>
                <w:lang w:eastAsia="zh-CN"/>
              </w:rPr>
              <w:t>R</w:t>
            </w:r>
            <w:r>
              <w:rPr>
                <w:lang w:eastAsia="zh-CN"/>
              </w:rPr>
              <w:t>eserved</w:t>
            </w:r>
          </w:p>
        </w:tc>
      </w:tr>
      <w:tr w:rsidR="0063701C" w:rsidRPr="000D69D7" w14:paraId="25B94BAB" w14:textId="77777777" w:rsidTr="00055ACF">
        <w:trPr>
          <w:jc w:val="center"/>
        </w:trPr>
        <w:tc>
          <w:tcPr>
            <w:tcW w:w="298" w:type="pct"/>
            <w:shd w:val="clear" w:color="auto" w:fill="auto"/>
          </w:tcPr>
          <w:p w14:paraId="777DAB71" w14:textId="77777777" w:rsidR="0063701C" w:rsidRDefault="0063701C" w:rsidP="00055ACF">
            <w:pPr>
              <w:pStyle w:val="IEEEStdsTableData-Center"/>
            </w:pPr>
            <w:r>
              <w:t>Bits:</w:t>
            </w:r>
          </w:p>
        </w:tc>
        <w:tc>
          <w:tcPr>
            <w:tcW w:w="521" w:type="pct"/>
            <w:tcBorders>
              <w:top w:val="single" w:sz="4" w:space="0" w:color="auto"/>
            </w:tcBorders>
          </w:tcPr>
          <w:p w14:paraId="2B270929" w14:textId="77777777" w:rsidR="0063701C" w:rsidRDefault="0063701C" w:rsidP="00055ACF">
            <w:pPr>
              <w:pStyle w:val="IEEEStdsTableData-Center"/>
            </w:pPr>
            <w:r>
              <w:t>4</w:t>
            </w:r>
          </w:p>
        </w:tc>
        <w:tc>
          <w:tcPr>
            <w:tcW w:w="521" w:type="pct"/>
            <w:tcBorders>
              <w:top w:val="single" w:sz="4" w:space="0" w:color="auto"/>
            </w:tcBorders>
          </w:tcPr>
          <w:p w14:paraId="13972E28" w14:textId="77777777" w:rsidR="0063701C" w:rsidRDefault="0063701C" w:rsidP="00055ACF">
            <w:pPr>
              <w:pStyle w:val="IEEEStdsTableData-Center"/>
            </w:pPr>
            <w:r>
              <w:t>3</w:t>
            </w:r>
          </w:p>
        </w:tc>
        <w:tc>
          <w:tcPr>
            <w:tcW w:w="605" w:type="pct"/>
            <w:tcBorders>
              <w:top w:val="single" w:sz="4" w:space="0" w:color="auto"/>
            </w:tcBorders>
            <w:shd w:val="clear" w:color="auto" w:fill="auto"/>
          </w:tcPr>
          <w:p w14:paraId="29D27A37" w14:textId="77777777" w:rsidR="0063701C" w:rsidRDefault="0063701C" w:rsidP="00055ACF">
            <w:pPr>
              <w:pStyle w:val="IEEEStdsTableData-Center"/>
            </w:pPr>
            <w:r>
              <w:t>1</w:t>
            </w:r>
          </w:p>
        </w:tc>
        <w:tc>
          <w:tcPr>
            <w:tcW w:w="575" w:type="pct"/>
            <w:tcBorders>
              <w:top w:val="single" w:sz="4" w:space="0" w:color="auto"/>
            </w:tcBorders>
            <w:shd w:val="clear" w:color="auto" w:fill="auto"/>
          </w:tcPr>
          <w:p w14:paraId="0AA766FA" w14:textId="77777777" w:rsidR="0063701C" w:rsidRDefault="0063701C" w:rsidP="00055ACF">
            <w:pPr>
              <w:pStyle w:val="IEEEStdsTableData-Center"/>
            </w:pPr>
            <w:r>
              <w:t>1</w:t>
            </w:r>
          </w:p>
        </w:tc>
        <w:tc>
          <w:tcPr>
            <w:tcW w:w="851" w:type="pct"/>
            <w:tcBorders>
              <w:top w:val="single" w:sz="4" w:space="0" w:color="auto"/>
            </w:tcBorders>
          </w:tcPr>
          <w:p w14:paraId="532633E0" w14:textId="77777777" w:rsidR="0063701C" w:rsidRDefault="0063701C" w:rsidP="00055ACF">
            <w:pPr>
              <w:pStyle w:val="IEEEStdsTableData-Center"/>
            </w:pPr>
            <w:r>
              <w:t>1</w:t>
            </w:r>
          </w:p>
        </w:tc>
        <w:tc>
          <w:tcPr>
            <w:tcW w:w="505" w:type="pct"/>
            <w:tcBorders>
              <w:top w:val="single" w:sz="4" w:space="0" w:color="auto"/>
            </w:tcBorders>
          </w:tcPr>
          <w:p w14:paraId="7BA0F4E8" w14:textId="77777777" w:rsidR="0063701C" w:rsidRDefault="0063701C" w:rsidP="00055ACF">
            <w:pPr>
              <w:pStyle w:val="IEEEStdsTableData-Center"/>
            </w:pPr>
            <w:r>
              <w:t>1</w:t>
            </w:r>
          </w:p>
        </w:tc>
        <w:tc>
          <w:tcPr>
            <w:tcW w:w="374" w:type="pct"/>
            <w:tcBorders>
              <w:top w:val="single" w:sz="4" w:space="0" w:color="auto"/>
            </w:tcBorders>
            <w:shd w:val="clear" w:color="auto" w:fill="auto"/>
          </w:tcPr>
          <w:p w14:paraId="68E074FF" w14:textId="77777777" w:rsidR="0063701C" w:rsidRDefault="0063701C" w:rsidP="00055ACF">
            <w:pPr>
              <w:pStyle w:val="IEEEStdsTableData-Center"/>
            </w:pPr>
            <w:r>
              <w:t>1</w:t>
            </w:r>
          </w:p>
        </w:tc>
        <w:tc>
          <w:tcPr>
            <w:tcW w:w="374" w:type="pct"/>
            <w:tcBorders>
              <w:top w:val="single" w:sz="4" w:space="0" w:color="auto"/>
            </w:tcBorders>
          </w:tcPr>
          <w:p w14:paraId="05F53946" w14:textId="77777777" w:rsidR="0063701C" w:rsidRPr="000A3030" w:rsidRDefault="0063701C" w:rsidP="00055ACF">
            <w:pPr>
              <w:pStyle w:val="IEEEStdsTableData-Center"/>
              <w:rPr>
                <w:color w:val="FF0000"/>
                <w:u w:val="single"/>
                <w:lang w:eastAsia="zh-CN"/>
              </w:rPr>
            </w:pPr>
            <w:r w:rsidRPr="000A3030">
              <w:rPr>
                <w:rFonts w:hint="eastAsia"/>
                <w:color w:val="FF0000"/>
                <w:u w:val="single"/>
                <w:lang w:eastAsia="zh-CN"/>
              </w:rPr>
              <w:t>1</w:t>
            </w:r>
          </w:p>
        </w:tc>
        <w:tc>
          <w:tcPr>
            <w:tcW w:w="374" w:type="pct"/>
            <w:tcBorders>
              <w:top w:val="single" w:sz="4" w:space="0" w:color="auto"/>
            </w:tcBorders>
          </w:tcPr>
          <w:p w14:paraId="2BA2F5B8" w14:textId="77777777" w:rsidR="0063701C" w:rsidRPr="000A3030" w:rsidRDefault="0063701C" w:rsidP="00055ACF">
            <w:pPr>
              <w:pStyle w:val="IEEEStdsTableData-Center"/>
              <w:rPr>
                <w:color w:val="FF0000"/>
                <w:u w:val="single"/>
                <w:lang w:eastAsia="zh-CN"/>
              </w:rPr>
            </w:pPr>
            <w:r w:rsidRPr="000A3030">
              <w:rPr>
                <w:rFonts w:hint="eastAsia"/>
                <w:strike/>
                <w:color w:val="FF0000"/>
                <w:lang w:eastAsia="zh-CN"/>
              </w:rPr>
              <w:t>4</w:t>
            </w:r>
            <w:r>
              <w:rPr>
                <w:color w:val="FF0000"/>
                <w:u w:val="single"/>
                <w:lang w:eastAsia="zh-CN"/>
              </w:rPr>
              <w:t>3</w:t>
            </w:r>
          </w:p>
        </w:tc>
      </w:tr>
    </w:tbl>
    <w:p w14:paraId="50989EF6" w14:textId="77777777" w:rsidR="0063701C" w:rsidRPr="004D3C38" w:rsidRDefault="0063701C" w:rsidP="0063701C">
      <w:pPr>
        <w:widowControl w:val="0"/>
        <w:autoSpaceDE w:val="0"/>
        <w:autoSpaceDN w:val="0"/>
        <w:adjustRightInd w:val="0"/>
        <w:rPr>
          <w:rFonts w:ascii="Arial-BoldMT" w:hAnsi="Arial-BoldMT" w:cs="Arial-BoldMT"/>
          <w:b/>
          <w:bCs/>
          <w:i/>
          <w:sz w:val="24"/>
          <w:szCs w:val="24"/>
          <w:lang w:val="en-US" w:eastAsia="zh-CN"/>
        </w:rPr>
      </w:pPr>
    </w:p>
    <w:p w14:paraId="0A1713EB" w14:textId="77777777" w:rsidR="0063701C" w:rsidRDefault="0063701C" w:rsidP="00B4459F">
      <w:pPr>
        <w:widowControl w:val="0"/>
        <w:autoSpaceDE w:val="0"/>
        <w:autoSpaceDN w:val="0"/>
        <w:adjustRightInd w:val="0"/>
        <w:ind w:firstLineChars="1300" w:firstLine="2610"/>
        <w:outlineLvl w:val="0"/>
        <w:rPr>
          <w:rFonts w:ascii="Arial-BoldMT" w:hAnsi="Arial-BoldMT" w:cs="Arial-BoldMT"/>
          <w:b/>
          <w:bCs/>
          <w:sz w:val="20"/>
          <w:lang w:val="en-US" w:eastAsia="zh-CN"/>
        </w:rPr>
      </w:pPr>
      <w:r>
        <w:rPr>
          <w:rFonts w:ascii="Arial-BoldMT" w:hAnsi="Arial-BoldMT" w:cs="Arial-BoldMT" w:hint="eastAsia"/>
          <w:b/>
          <w:bCs/>
          <w:sz w:val="20"/>
          <w:lang w:val="en-US" w:eastAsia="zh-CN"/>
        </w:rPr>
        <w:t>Figure</w:t>
      </w:r>
      <w:r>
        <w:rPr>
          <w:rFonts w:ascii="Arial-BoldMT" w:hAnsi="Arial-BoldMT" w:cs="Arial-BoldMT"/>
          <w:b/>
          <w:bCs/>
          <w:sz w:val="20"/>
          <w:lang w:val="en-US" w:eastAsia="zh-CN"/>
        </w:rPr>
        <w:t xml:space="preserve"> 9-518---Allocation Control subfield format</w:t>
      </w:r>
    </w:p>
    <w:p w14:paraId="3263DBF7" w14:textId="77777777" w:rsidR="0063701C" w:rsidRDefault="0063701C" w:rsidP="0063701C">
      <w:pPr>
        <w:widowControl w:val="0"/>
        <w:autoSpaceDE w:val="0"/>
        <w:autoSpaceDN w:val="0"/>
        <w:adjustRightInd w:val="0"/>
        <w:rPr>
          <w:rFonts w:ascii="TimesNewRomanPSMT" w:eastAsiaTheme="minorEastAsia" w:hAnsi="Arial-BoldMT" w:cs="TimesNewRomanPSMT"/>
          <w:sz w:val="20"/>
          <w:lang w:val="en-US" w:eastAsia="zh-CN"/>
        </w:rPr>
      </w:pPr>
    </w:p>
    <w:p w14:paraId="3BFA520C" w14:textId="77777777" w:rsidR="0063701C" w:rsidRPr="00CF625C" w:rsidRDefault="0063701C" w:rsidP="0063701C">
      <w:pPr>
        <w:widowControl w:val="0"/>
        <w:autoSpaceDE w:val="0"/>
        <w:autoSpaceDN w:val="0"/>
        <w:adjustRightInd w:val="0"/>
        <w:rPr>
          <w:rFonts w:ascii="TimesNewRomanPSMT" w:eastAsiaTheme="minorEastAsia" w:hAnsi="Arial-BoldMT" w:cs="TimesNewRomanPSMT"/>
          <w:sz w:val="20"/>
          <w:lang w:val="en-US" w:eastAsia="zh-CN"/>
        </w:rPr>
      </w:pPr>
    </w:p>
    <w:p w14:paraId="0D2A5C7F" w14:textId="77777777" w:rsidR="0063701C" w:rsidRDefault="0063701C" w:rsidP="00B4459F">
      <w:pPr>
        <w:widowControl w:val="0"/>
        <w:autoSpaceDE w:val="0"/>
        <w:autoSpaceDN w:val="0"/>
        <w:adjustRightInd w:val="0"/>
        <w:outlineLvl w:val="0"/>
        <w:rPr>
          <w:rFonts w:ascii="Arial-BoldMT" w:hAnsi="Arial-BoldMT" w:cs="Arial-BoldMT"/>
          <w:b/>
          <w:bCs/>
          <w:i/>
          <w:sz w:val="24"/>
          <w:szCs w:val="24"/>
          <w:lang w:val="en-US" w:eastAsia="zh-CN"/>
        </w:rPr>
      </w:pPr>
      <w:r w:rsidRPr="000A3030">
        <w:rPr>
          <w:rFonts w:ascii="Arial-BoldMT" w:hAnsi="Arial-BoldMT" w:cs="Arial-BoldMT"/>
          <w:b/>
          <w:bCs/>
          <w:i/>
          <w:sz w:val="24"/>
          <w:szCs w:val="24"/>
          <w:lang w:val="en-US" w:eastAsia="zh-CN"/>
        </w:rPr>
        <w:t xml:space="preserve">Add the following paragraph at the end of this </w:t>
      </w:r>
      <w:proofErr w:type="spellStart"/>
      <w:r w:rsidRPr="000A3030">
        <w:rPr>
          <w:rFonts w:ascii="Arial-BoldMT" w:hAnsi="Arial-BoldMT" w:cs="Arial-BoldMT"/>
          <w:b/>
          <w:bCs/>
          <w:i/>
          <w:sz w:val="24"/>
          <w:szCs w:val="24"/>
          <w:lang w:val="en-US" w:eastAsia="zh-CN"/>
        </w:rPr>
        <w:t>subclause</w:t>
      </w:r>
      <w:proofErr w:type="spellEnd"/>
      <w:r w:rsidRPr="000A3030">
        <w:rPr>
          <w:rFonts w:ascii="Arial-BoldMT" w:hAnsi="Arial-BoldMT" w:cs="Arial-BoldMT"/>
          <w:b/>
          <w:bCs/>
          <w:i/>
          <w:sz w:val="24"/>
          <w:szCs w:val="24"/>
          <w:lang w:val="en-US" w:eastAsia="zh-CN"/>
        </w:rPr>
        <w:t>:</w:t>
      </w:r>
    </w:p>
    <w:p w14:paraId="2D2B2837" w14:textId="77777777" w:rsidR="0063701C" w:rsidRDefault="0063701C" w:rsidP="0063701C">
      <w:pPr>
        <w:widowControl w:val="0"/>
        <w:autoSpaceDE w:val="0"/>
        <w:autoSpaceDN w:val="0"/>
        <w:adjustRightInd w:val="0"/>
        <w:rPr>
          <w:rFonts w:ascii="Arial-BoldMT" w:hAnsi="Arial-BoldMT" w:cs="Arial-BoldMT"/>
          <w:b/>
          <w:bCs/>
          <w:i/>
          <w:sz w:val="24"/>
          <w:szCs w:val="24"/>
          <w:lang w:val="en-US" w:eastAsia="zh-CN"/>
        </w:rPr>
      </w:pPr>
    </w:p>
    <w:p w14:paraId="6BB282AC" w14:textId="0D2A454F" w:rsidR="0063701C" w:rsidRPr="00DC0766" w:rsidRDefault="0063701C" w:rsidP="0063701C">
      <w:pPr>
        <w:widowControl w:val="0"/>
        <w:autoSpaceDE w:val="0"/>
        <w:autoSpaceDN w:val="0"/>
        <w:adjustRightInd w:val="0"/>
        <w:rPr>
          <w:rFonts w:ascii="Arial-BoldMT" w:hAnsi="Arial-BoldMT" w:cs="Arial-BoldMT"/>
          <w:bCs/>
          <w:color w:val="FF0000"/>
          <w:sz w:val="24"/>
          <w:szCs w:val="24"/>
          <w:lang w:val="en-US" w:eastAsia="zh-CN"/>
        </w:rPr>
      </w:pPr>
      <w:r w:rsidRPr="00DC0766">
        <w:rPr>
          <w:rFonts w:ascii="Arial-BoldMT" w:hAnsi="Arial-BoldMT" w:cs="Arial-BoldMT"/>
          <w:bCs/>
          <w:color w:val="FF0000"/>
          <w:sz w:val="24"/>
          <w:szCs w:val="24"/>
          <w:u w:val="single"/>
          <w:lang w:val="en-US" w:eastAsia="zh-CN"/>
        </w:rPr>
        <w:t xml:space="preserve">The </w:t>
      </w:r>
      <w:r w:rsidR="006B79ED">
        <w:rPr>
          <w:rFonts w:ascii="Arial-BoldMT" w:hAnsi="Arial-BoldMT" w:cs="Arial-BoldMT"/>
          <w:bCs/>
          <w:color w:val="FF0000"/>
          <w:sz w:val="24"/>
          <w:szCs w:val="24"/>
          <w:u w:val="single"/>
          <w:lang w:val="en-US" w:eastAsia="zh-CN"/>
        </w:rPr>
        <w:t xml:space="preserve">TDD Applicable SP </w:t>
      </w:r>
      <w:r w:rsidRPr="00DC0766">
        <w:rPr>
          <w:rFonts w:ascii="Arial-BoldMT" w:hAnsi="Arial-BoldMT" w:cs="Arial-BoldMT"/>
          <w:bCs/>
          <w:color w:val="FF0000"/>
          <w:sz w:val="24"/>
          <w:szCs w:val="24"/>
          <w:u w:val="single"/>
          <w:lang w:val="en-US" w:eastAsia="zh-CN"/>
        </w:rPr>
        <w:t xml:space="preserve">subfield is set to 1 to indicate the SP allocation is using TDD </w:t>
      </w:r>
      <w:r w:rsidRPr="00DC0766">
        <w:rPr>
          <w:rFonts w:ascii="Arial-BoldMT" w:hAnsi="Arial-BoldMT" w:cs="Arial-BoldMT"/>
          <w:bCs/>
          <w:color w:val="FF0000"/>
          <w:sz w:val="24"/>
          <w:szCs w:val="24"/>
          <w:u w:val="single"/>
          <w:lang w:val="en-US" w:eastAsia="zh-CN"/>
        </w:rPr>
        <w:lastRenderedPageBreak/>
        <w:t>channel access as described in 10.36.6.</w:t>
      </w:r>
      <w:r w:rsidR="00CF2E11">
        <w:rPr>
          <w:rFonts w:ascii="Arial-BoldMT" w:hAnsi="Arial-BoldMT" w:cs="Arial-BoldMT"/>
          <w:bCs/>
          <w:color w:val="FF0000"/>
          <w:sz w:val="24"/>
          <w:szCs w:val="24"/>
          <w:u w:val="single"/>
          <w:lang w:val="en-US" w:eastAsia="zh-CN"/>
        </w:rPr>
        <w:t>2</w:t>
      </w:r>
      <w:r w:rsidR="007B29A7">
        <w:rPr>
          <w:rFonts w:ascii="Arial-BoldMT" w:hAnsi="Arial-BoldMT" w:cs="Arial-BoldMT"/>
          <w:bCs/>
          <w:color w:val="FF0000"/>
          <w:sz w:val="24"/>
          <w:szCs w:val="24"/>
          <w:u w:val="single"/>
          <w:lang w:val="en-US" w:eastAsia="zh-CN"/>
        </w:rPr>
        <w:t>.2</w:t>
      </w:r>
      <w:r w:rsidRPr="00DC0766">
        <w:rPr>
          <w:rFonts w:ascii="Arial-BoldMT" w:hAnsi="Arial-BoldMT" w:cs="Arial-BoldMT"/>
          <w:bCs/>
          <w:color w:val="FF0000"/>
          <w:sz w:val="24"/>
          <w:szCs w:val="24"/>
          <w:u w:val="single"/>
          <w:lang w:val="en-US" w:eastAsia="zh-CN"/>
        </w:rPr>
        <w:t>. Otherwise, it is set to 0</w:t>
      </w:r>
      <w:r w:rsidRPr="00DC0766">
        <w:rPr>
          <w:rFonts w:ascii="Arial-BoldMT" w:hAnsi="Arial-BoldMT" w:cs="Arial-BoldMT"/>
          <w:bCs/>
          <w:color w:val="FF0000"/>
          <w:sz w:val="24"/>
          <w:szCs w:val="24"/>
          <w:lang w:val="en-US" w:eastAsia="zh-CN"/>
        </w:rPr>
        <w:t>.</w:t>
      </w:r>
    </w:p>
    <w:p w14:paraId="3A4BDF45"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0BC12B5E"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0CA96BB3"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5A956E7E" w14:textId="77777777" w:rsidR="0063701C" w:rsidRDefault="0063701C" w:rsidP="00B4459F">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8"/>
          <w:szCs w:val="28"/>
          <w:lang w:val="en-US" w:eastAsia="zh-CN"/>
        </w:rPr>
        <w:t>I</w:t>
      </w:r>
      <w:r w:rsidRPr="002E0633">
        <w:rPr>
          <w:rFonts w:ascii="Arial-BoldMT" w:hAnsi="Arial-BoldMT" w:cs="Arial-BoldMT"/>
          <w:b/>
          <w:bCs/>
          <w:i/>
          <w:sz w:val="24"/>
          <w:szCs w:val="24"/>
          <w:lang w:val="en-US" w:eastAsia="zh-CN"/>
        </w:rPr>
        <w:t xml:space="preserve">nsert 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auses</w:t>
      </w:r>
      <w:proofErr w:type="spellEnd"/>
      <w:r>
        <w:rPr>
          <w:rFonts w:ascii="Arial-BoldMT" w:hAnsi="Arial-BoldMT" w:cs="Arial-BoldMT"/>
          <w:b/>
          <w:bCs/>
          <w:i/>
          <w:sz w:val="24"/>
          <w:szCs w:val="24"/>
          <w:lang w:val="en-US" w:eastAsia="zh-CN"/>
        </w:rPr>
        <w:t>:</w:t>
      </w:r>
    </w:p>
    <w:p w14:paraId="31BCC804" w14:textId="77777777" w:rsidR="0063701C" w:rsidRDefault="0063701C" w:rsidP="0063701C">
      <w:pPr>
        <w:widowControl w:val="0"/>
        <w:autoSpaceDE w:val="0"/>
        <w:autoSpaceDN w:val="0"/>
        <w:adjustRightInd w:val="0"/>
        <w:rPr>
          <w:rFonts w:ascii="Arial-BoldMT" w:hAnsi="Arial-BoldMT" w:cs="Arial-BoldMT"/>
          <w:bCs/>
          <w:sz w:val="24"/>
          <w:szCs w:val="24"/>
          <w:lang w:val="en-US" w:eastAsia="zh-CN"/>
        </w:rPr>
      </w:pPr>
    </w:p>
    <w:p w14:paraId="32521F0A" w14:textId="532B3FF4" w:rsidR="0063701C" w:rsidRDefault="0063701C" w:rsidP="0063701C">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b/>
          <w:bCs/>
          <w:sz w:val="28"/>
          <w:szCs w:val="28"/>
          <w:lang w:val="en-US" w:eastAsia="zh-CN"/>
        </w:rPr>
        <w:t>9.4.2</w:t>
      </w:r>
      <w:proofErr w:type="gramStart"/>
      <w:r>
        <w:rPr>
          <w:rFonts w:ascii="Arial-BoldMT" w:hAnsi="Arial-BoldMT" w:cs="Arial-BoldMT"/>
          <w:b/>
          <w:bCs/>
          <w:sz w:val="28"/>
          <w:szCs w:val="28"/>
          <w:lang w:val="en-US" w:eastAsia="zh-CN"/>
        </w:rPr>
        <w:t>.xxx1</w:t>
      </w:r>
      <w:proofErr w:type="gramEnd"/>
      <w:r>
        <w:rPr>
          <w:rFonts w:ascii="Arial-BoldMT" w:hAnsi="Arial-BoldMT" w:cs="Arial-BoldMT"/>
          <w:b/>
          <w:bCs/>
          <w:sz w:val="28"/>
          <w:szCs w:val="28"/>
          <w:lang w:val="en-US" w:eastAsia="zh-CN"/>
        </w:rPr>
        <w:t xml:space="preserve"> TDD Slot Structure element</w:t>
      </w:r>
    </w:p>
    <w:p w14:paraId="101D23FA" w14:textId="77777777" w:rsidR="00CF2E11" w:rsidRDefault="00CF2E11"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1ED30635" w14:textId="29B194F5"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TDD Slot Structure element defines the structure of a TDD </w:t>
      </w:r>
      <w:r w:rsidR="00BF05BC">
        <w:rPr>
          <w:rFonts w:ascii="Arial-BoldMT" w:hAnsi="Arial-BoldMT" w:cs="Arial-BoldMT"/>
          <w:bCs/>
          <w:color w:val="FF0000"/>
          <w:sz w:val="24"/>
          <w:szCs w:val="24"/>
          <w:u w:val="single"/>
          <w:lang w:val="en-US" w:eastAsia="zh-CN"/>
        </w:rPr>
        <w:t>SP</w:t>
      </w:r>
      <w:r w:rsidRPr="000E5825">
        <w:rPr>
          <w:rFonts w:ascii="Arial-BoldMT" w:hAnsi="Arial-BoldMT" w:cs="Arial-BoldMT"/>
          <w:bCs/>
          <w:color w:val="FF0000"/>
          <w:sz w:val="24"/>
          <w:szCs w:val="24"/>
          <w:u w:val="single"/>
          <w:lang w:val="en-US" w:eastAsia="zh-CN"/>
        </w:rPr>
        <w:t xml:space="preserve"> described in 10.36.</w:t>
      </w:r>
      <w:r w:rsidR="0063199E">
        <w:rPr>
          <w:rFonts w:ascii="Arial-BoldMT" w:hAnsi="Arial-BoldMT" w:cs="Arial-BoldMT"/>
          <w:bCs/>
          <w:color w:val="FF0000"/>
          <w:sz w:val="24"/>
          <w:szCs w:val="24"/>
          <w:u w:val="single"/>
          <w:lang w:val="en-US" w:eastAsia="zh-CN"/>
        </w:rPr>
        <w:t>6.2</w:t>
      </w:r>
      <w:r w:rsidR="007B29A7">
        <w:rPr>
          <w:rFonts w:ascii="Arial-BoldMT" w:hAnsi="Arial-BoldMT" w:cs="Arial-BoldMT"/>
          <w:bCs/>
          <w:color w:val="FF0000"/>
          <w:sz w:val="24"/>
          <w:szCs w:val="24"/>
          <w:u w:val="single"/>
          <w:lang w:val="en-US" w:eastAsia="zh-CN"/>
        </w:rPr>
        <w:t>.2</w:t>
      </w:r>
      <w:r w:rsidRPr="000E5825">
        <w:rPr>
          <w:rFonts w:ascii="Arial-BoldMT" w:hAnsi="Arial-BoldMT" w:cs="Arial-BoldMT"/>
          <w:bCs/>
          <w:color w:val="FF0000"/>
          <w:sz w:val="24"/>
          <w:szCs w:val="24"/>
          <w:u w:val="single"/>
          <w:lang w:val="en-US" w:eastAsia="zh-CN"/>
        </w:rPr>
        <w:t>. The format of the TDD Slot Structure element is shown in Figure 9-xxx1.</w:t>
      </w:r>
    </w:p>
    <w:p w14:paraId="20A1D46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tbl>
      <w:tblPr>
        <w:tblW w:w="4567" w:type="pct"/>
        <w:jc w:val="center"/>
        <w:tblLook w:val="04A0" w:firstRow="1" w:lastRow="0" w:firstColumn="1" w:lastColumn="0" w:noHBand="0" w:noVBand="1"/>
      </w:tblPr>
      <w:tblGrid>
        <w:gridCol w:w="679"/>
        <w:gridCol w:w="915"/>
        <w:gridCol w:w="915"/>
        <w:gridCol w:w="1074"/>
        <w:gridCol w:w="1015"/>
        <w:gridCol w:w="1531"/>
        <w:gridCol w:w="1531"/>
        <w:gridCol w:w="885"/>
      </w:tblGrid>
      <w:tr w:rsidR="00D35ED8" w:rsidRPr="000E5825" w14:paraId="46031690" w14:textId="77777777" w:rsidTr="00D35ED8">
        <w:trPr>
          <w:jc w:val="center"/>
        </w:trPr>
        <w:tc>
          <w:tcPr>
            <w:tcW w:w="397" w:type="pct"/>
            <w:tcBorders>
              <w:right w:val="single" w:sz="4" w:space="0" w:color="auto"/>
            </w:tcBorders>
            <w:shd w:val="clear" w:color="auto" w:fill="auto"/>
          </w:tcPr>
          <w:p w14:paraId="7B5D5EC2" w14:textId="77777777" w:rsidR="00D35ED8" w:rsidRPr="000E5825" w:rsidRDefault="00D35ED8" w:rsidP="00055ACF">
            <w:pPr>
              <w:pStyle w:val="IEEEStdsTableData-Center"/>
              <w:rPr>
                <w:color w:val="FF0000"/>
                <w:u w:val="single"/>
              </w:rPr>
            </w:pPr>
          </w:p>
        </w:tc>
        <w:tc>
          <w:tcPr>
            <w:tcW w:w="535" w:type="pct"/>
            <w:tcBorders>
              <w:top w:val="single" w:sz="4" w:space="0" w:color="auto"/>
              <w:bottom w:val="single" w:sz="4" w:space="0" w:color="auto"/>
              <w:right w:val="single" w:sz="4" w:space="0" w:color="auto"/>
            </w:tcBorders>
          </w:tcPr>
          <w:p w14:paraId="48092A4B" w14:textId="77777777" w:rsidR="00D35ED8" w:rsidRPr="000E5825" w:rsidRDefault="00D35ED8" w:rsidP="00055ACF">
            <w:pPr>
              <w:pStyle w:val="IEEEStdsTableData-Center"/>
              <w:rPr>
                <w:color w:val="FF0000"/>
                <w:u w:val="single"/>
              </w:rPr>
            </w:pPr>
            <w:r w:rsidRPr="000E5825">
              <w:rPr>
                <w:color w:val="FF0000"/>
                <w:u w:val="single"/>
              </w:rPr>
              <w:t>Element ID</w:t>
            </w:r>
          </w:p>
        </w:tc>
        <w:tc>
          <w:tcPr>
            <w:tcW w:w="535" w:type="pct"/>
            <w:tcBorders>
              <w:top w:val="single" w:sz="4" w:space="0" w:color="auto"/>
              <w:left w:val="single" w:sz="4" w:space="0" w:color="auto"/>
              <w:bottom w:val="single" w:sz="4" w:space="0" w:color="auto"/>
              <w:right w:val="single" w:sz="4" w:space="0" w:color="auto"/>
            </w:tcBorders>
          </w:tcPr>
          <w:p w14:paraId="22A855CA" w14:textId="77777777" w:rsidR="00D35ED8" w:rsidRPr="000E5825" w:rsidRDefault="00D35ED8" w:rsidP="00055ACF">
            <w:pPr>
              <w:pStyle w:val="IEEEStdsTableData-Center"/>
              <w:rPr>
                <w:color w:val="FF0000"/>
                <w:u w:val="single"/>
              </w:rPr>
            </w:pPr>
            <w:r w:rsidRPr="000E5825">
              <w:rPr>
                <w:color w:val="FF0000"/>
                <w:u w:val="single"/>
              </w:rPr>
              <w:t>Length</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EEFF85B" w14:textId="77777777" w:rsidR="00D35ED8" w:rsidRPr="000E5825" w:rsidRDefault="00D35ED8" w:rsidP="00055ACF">
            <w:pPr>
              <w:pStyle w:val="IEEEStdsTableData-Center"/>
              <w:rPr>
                <w:color w:val="FF0000"/>
                <w:u w:val="single"/>
              </w:rPr>
            </w:pPr>
            <w:r w:rsidRPr="000E5825">
              <w:rPr>
                <w:color w:val="FF0000"/>
                <w:u w:val="single"/>
              </w:rPr>
              <w:t>Element ID Extension</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71789F5" w14:textId="6EF22CBB" w:rsidR="00D35ED8" w:rsidRPr="000E5825" w:rsidRDefault="00D35ED8" w:rsidP="00DF5CE4">
            <w:pPr>
              <w:pStyle w:val="IEEEStdsTableData-Center"/>
              <w:rPr>
                <w:color w:val="FF0000"/>
                <w:u w:val="single"/>
              </w:rPr>
            </w:pPr>
            <w:r w:rsidRPr="000E5825">
              <w:rPr>
                <w:color w:val="FF0000"/>
                <w:u w:val="single"/>
              </w:rPr>
              <w:t xml:space="preserve">Slot </w:t>
            </w:r>
            <w:r>
              <w:rPr>
                <w:color w:val="FF0000"/>
                <w:u w:val="single"/>
              </w:rPr>
              <w:t>Structure</w:t>
            </w:r>
            <w:r w:rsidRPr="000E5825">
              <w:rPr>
                <w:color w:val="FF0000"/>
                <w:u w:val="single"/>
              </w:rPr>
              <w:t xml:space="preserve"> Control</w:t>
            </w:r>
          </w:p>
        </w:tc>
        <w:tc>
          <w:tcPr>
            <w:tcW w:w="896" w:type="pct"/>
            <w:tcBorders>
              <w:top w:val="single" w:sz="4" w:space="0" w:color="auto"/>
              <w:left w:val="single" w:sz="4" w:space="0" w:color="auto"/>
              <w:bottom w:val="single" w:sz="4" w:space="0" w:color="auto"/>
              <w:right w:val="single" w:sz="4" w:space="0" w:color="auto"/>
            </w:tcBorders>
          </w:tcPr>
          <w:p w14:paraId="4E894CCA" w14:textId="741FC4E4" w:rsidR="00D35ED8" w:rsidRPr="000E5825" w:rsidRDefault="00D35ED8" w:rsidP="00055ACF">
            <w:pPr>
              <w:pStyle w:val="IEEEStdsTableData-Center"/>
              <w:rPr>
                <w:color w:val="FF0000"/>
                <w:u w:val="single"/>
              </w:rPr>
            </w:pPr>
            <w:r>
              <w:rPr>
                <w:color w:val="FF0000"/>
                <w:u w:val="single"/>
              </w:rPr>
              <w:t>Slot Structure Start Time</w:t>
            </w:r>
          </w:p>
        </w:tc>
        <w:tc>
          <w:tcPr>
            <w:tcW w:w="896" w:type="pct"/>
            <w:tcBorders>
              <w:top w:val="single" w:sz="4" w:space="0" w:color="auto"/>
              <w:left w:val="single" w:sz="4" w:space="0" w:color="auto"/>
              <w:bottom w:val="single" w:sz="4" w:space="0" w:color="auto"/>
              <w:right w:val="single" w:sz="4" w:space="0" w:color="auto"/>
            </w:tcBorders>
          </w:tcPr>
          <w:p w14:paraId="6D14601B" w14:textId="3AF7C690" w:rsidR="00D35ED8" w:rsidRPr="000E5825" w:rsidRDefault="00D35ED8" w:rsidP="00055ACF">
            <w:pPr>
              <w:pStyle w:val="IEEEStdsTableData-Center"/>
              <w:rPr>
                <w:color w:val="FF0000"/>
                <w:u w:val="single"/>
              </w:rPr>
            </w:pPr>
            <w:r w:rsidRPr="000E5825">
              <w:rPr>
                <w:color w:val="FF0000"/>
                <w:u w:val="single"/>
              </w:rPr>
              <w:t>Allocation Block Duration</w:t>
            </w:r>
          </w:p>
        </w:tc>
        <w:tc>
          <w:tcPr>
            <w:tcW w:w="518" w:type="pct"/>
            <w:tcBorders>
              <w:top w:val="single" w:sz="4" w:space="0" w:color="auto"/>
              <w:left w:val="single" w:sz="4" w:space="0" w:color="auto"/>
              <w:bottom w:val="single" w:sz="4" w:space="0" w:color="auto"/>
              <w:right w:val="single" w:sz="4" w:space="0" w:color="auto"/>
            </w:tcBorders>
          </w:tcPr>
          <w:p w14:paraId="41B7DF6C" w14:textId="23068C1F" w:rsidR="00D35ED8" w:rsidRPr="000E5825" w:rsidRDefault="00D35ED8" w:rsidP="00055ACF">
            <w:pPr>
              <w:pStyle w:val="IEEEStdsTableData-Center"/>
              <w:rPr>
                <w:color w:val="FF0000"/>
                <w:u w:val="single"/>
              </w:rPr>
            </w:pPr>
            <w:r w:rsidRPr="000E5825">
              <w:rPr>
                <w:color w:val="FF0000"/>
                <w:u w:val="single"/>
              </w:rPr>
              <w:t>Slot Schedule</w:t>
            </w:r>
          </w:p>
        </w:tc>
      </w:tr>
      <w:tr w:rsidR="00D35ED8" w:rsidRPr="000E5825" w14:paraId="113D9CBE" w14:textId="77777777" w:rsidTr="00D35ED8">
        <w:trPr>
          <w:jc w:val="center"/>
        </w:trPr>
        <w:tc>
          <w:tcPr>
            <w:tcW w:w="397" w:type="pct"/>
            <w:shd w:val="clear" w:color="auto" w:fill="auto"/>
          </w:tcPr>
          <w:p w14:paraId="7F857477" w14:textId="77777777" w:rsidR="00D35ED8" w:rsidRPr="000E5825" w:rsidRDefault="00D35ED8" w:rsidP="00055ACF">
            <w:pPr>
              <w:pStyle w:val="IEEEStdsTableData-Center"/>
              <w:rPr>
                <w:color w:val="FF0000"/>
                <w:u w:val="single"/>
              </w:rPr>
            </w:pPr>
            <w:r w:rsidRPr="000E5825">
              <w:rPr>
                <w:color w:val="FF0000"/>
                <w:u w:val="single"/>
              </w:rPr>
              <w:t>Octets</w:t>
            </w:r>
          </w:p>
        </w:tc>
        <w:tc>
          <w:tcPr>
            <w:tcW w:w="535" w:type="pct"/>
            <w:tcBorders>
              <w:top w:val="single" w:sz="4" w:space="0" w:color="auto"/>
            </w:tcBorders>
          </w:tcPr>
          <w:p w14:paraId="3DD1F77C" w14:textId="77777777" w:rsidR="00D35ED8" w:rsidRPr="000E5825" w:rsidRDefault="00D35ED8" w:rsidP="00055ACF">
            <w:pPr>
              <w:pStyle w:val="IEEEStdsTableData-Center"/>
              <w:rPr>
                <w:color w:val="FF0000"/>
                <w:u w:val="single"/>
              </w:rPr>
            </w:pPr>
            <w:r w:rsidRPr="000E5825">
              <w:rPr>
                <w:color w:val="FF0000"/>
                <w:u w:val="single"/>
              </w:rPr>
              <w:t>1</w:t>
            </w:r>
          </w:p>
        </w:tc>
        <w:tc>
          <w:tcPr>
            <w:tcW w:w="535" w:type="pct"/>
            <w:tcBorders>
              <w:top w:val="single" w:sz="4" w:space="0" w:color="auto"/>
            </w:tcBorders>
          </w:tcPr>
          <w:p w14:paraId="3B102C6F" w14:textId="77777777" w:rsidR="00D35ED8" w:rsidRPr="000E5825" w:rsidRDefault="00D35ED8" w:rsidP="00055ACF">
            <w:pPr>
              <w:pStyle w:val="IEEEStdsTableData-Center"/>
              <w:rPr>
                <w:color w:val="FF0000"/>
                <w:u w:val="single"/>
              </w:rPr>
            </w:pPr>
            <w:r w:rsidRPr="000E5825">
              <w:rPr>
                <w:color w:val="FF0000"/>
                <w:u w:val="single"/>
              </w:rPr>
              <w:t>1</w:t>
            </w:r>
          </w:p>
        </w:tc>
        <w:tc>
          <w:tcPr>
            <w:tcW w:w="628" w:type="pct"/>
            <w:tcBorders>
              <w:top w:val="single" w:sz="4" w:space="0" w:color="auto"/>
            </w:tcBorders>
            <w:shd w:val="clear" w:color="auto" w:fill="auto"/>
          </w:tcPr>
          <w:p w14:paraId="768576BD" w14:textId="77777777" w:rsidR="00D35ED8" w:rsidRPr="000E5825" w:rsidRDefault="00D35ED8" w:rsidP="00055ACF">
            <w:pPr>
              <w:pStyle w:val="IEEEStdsTableData-Center"/>
              <w:rPr>
                <w:color w:val="FF0000"/>
                <w:u w:val="single"/>
              </w:rPr>
            </w:pPr>
            <w:r w:rsidRPr="000E5825">
              <w:rPr>
                <w:color w:val="FF0000"/>
                <w:u w:val="single"/>
              </w:rPr>
              <w:t>1</w:t>
            </w:r>
          </w:p>
        </w:tc>
        <w:tc>
          <w:tcPr>
            <w:tcW w:w="594" w:type="pct"/>
            <w:tcBorders>
              <w:top w:val="single" w:sz="4" w:space="0" w:color="auto"/>
            </w:tcBorders>
            <w:shd w:val="clear" w:color="auto" w:fill="auto"/>
          </w:tcPr>
          <w:p w14:paraId="79291762" w14:textId="1CD51E38" w:rsidR="00D35ED8" w:rsidRPr="000E5825" w:rsidRDefault="00D35ED8" w:rsidP="00055ACF">
            <w:pPr>
              <w:pStyle w:val="IEEEStdsTableData-Center"/>
              <w:rPr>
                <w:color w:val="FF0000"/>
                <w:u w:val="single"/>
              </w:rPr>
            </w:pPr>
            <w:r>
              <w:rPr>
                <w:color w:val="FF0000"/>
                <w:u w:val="single"/>
              </w:rPr>
              <w:t>4</w:t>
            </w:r>
          </w:p>
        </w:tc>
        <w:tc>
          <w:tcPr>
            <w:tcW w:w="896" w:type="pct"/>
            <w:tcBorders>
              <w:top w:val="single" w:sz="4" w:space="0" w:color="auto"/>
            </w:tcBorders>
          </w:tcPr>
          <w:p w14:paraId="1E6CE6E9" w14:textId="01D1554B" w:rsidR="00D35ED8" w:rsidRPr="000E5825" w:rsidRDefault="00D35ED8" w:rsidP="00055ACF">
            <w:pPr>
              <w:pStyle w:val="IEEEStdsTableData-Center"/>
              <w:rPr>
                <w:color w:val="FF0000"/>
                <w:u w:val="single"/>
              </w:rPr>
            </w:pPr>
            <w:r>
              <w:rPr>
                <w:color w:val="FF0000"/>
                <w:u w:val="single"/>
              </w:rPr>
              <w:t>4</w:t>
            </w:r>
          </w:p>
        </w:tc>
        <w:tc>
          <w:tcPr>
            <w:tcW w:w="896" w:type="pct"/>
            <w:tcBorders>
              <w:top w:val="single" w:sz="4" w:space="0" w:color="auto"/>
            </w:tcBorders>
          </w:tcPr>
          <w:p w14:paraId="38730C01" w14:textId="0453D05B" w:rsidR="00D35ED8" w:rsidRPr="000E5825" w:rsidRDefault="00D35ED8" w:rsidP="00055ACF">
            <w:pPr>
              <w:pStyle w:val="IEEEStdsTableData-Center"/>
              <w:rPr>
                <w:color w:val="FF0000"/>
                <w:u w:val="single"/>
              </w:rPr>
            </w:pPr>
            <w:r w:rsidRPr="000E5825">
              <w:rPr>
                <w:color w:val="FF0000"/>
                <w:u w:val="single"/>
              </w:rPr>
              <w:t>2</w:t>
            </w:r>
          </w:p>
        </w:tc>
        <w:tc>
          <w:tcPr>
            <w:tcW w:w="518" w:type="pct"/>
            <w:tcBorders>
              <w:top w:val="single" w:sz="4" w:space="0" w:color="auto"/>
            </w:tcBorders>
          </w:tcPr>
          <w:p w14:paraId="30A05084" w14:textId="77777777" w:rsidR="00D35ED8" w:rsidRPr="000E5825" w:rsidRDefault="00D35ED8" w:rsidP="00055ACF">
            <w:pPr>
              <w:pStyle w:val="IEEEStdsTableData-Center"/>
              <w:rPr>
                <w:color w:val="FF0000"/>
                <w:u w:val="single"/>
                <w:lang w:eastAsia="zh-CN"/>
              </w:rPr>
            </w:pPr>
            <w:r w:rsidRPr="000E5825">
              <w:rPr>
                <w:rFonts w:hint="eastAsia"/>
                <w:color w:val="FF0000"/>
                <w:u w:val="single"/>
                <w:lang w:eastAsia="zh-CN"/>
              </w:rPr>
              <w:t>M</w:t>
            </w:r>
          </w:p>
        </w:tc>
      </w:tr>
    </w:tbl>
    <w:p w14:paraId="03B2CEC3" w14:textId="7E8E5DD6" w:rsidR="0063701C" w:rsidRPr="000E5825"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0E5825">
        <w:rPr>
          <w:rFonts w:ascii="Arial-BoldMT" w:hAnsi="Arial-BoldMT" w:cs="Arial-BoldMT" w:hint="eastAsia"/>
          <w:b/>
          <w:bCs/>
          <w:color w:val="FF0000"/>
          <w:sz w:val="20"/>
          <w:u w:val="single"/>
          <w:lang w:val="en-US" w:eastAsia="zh-CN"/>
        </w:rPr>
        <w:t>Figure</w:t>
      </w:r>
      <w:r w:rsidRPr="000E5825">
        <w:rPr>
          <w:rFonts w:ascii="Arial-BoldMT" w:hAnsi="Arial-BoldMT" w:cs="Arial-BoldMT"/>
          <w:b/>
          <w:bCs/>
          <w:color w:val="FF0000"/>
          <w:sz w:val="20"/>
          <w:u w:val="single"/>
          <w:lang w:val="en-US" w:eastAsia="zh-CN"/>
        </w:rPr>
        <w:t xml:space="preserve"> 9-xxx1---TDD Slot </w:t>
      </w:r>
      <w:r w:rsidR="00BF05BC">
        <w:rPr>
          <w:rFonts w:ascii="Arial-BoldMT" w:hAnsi="Arial-BoldMT" w:cs="Arial-BoldMT"/>
          <w:b/>
          <w:bCs/>
          <w:color w:val="FF0000"/>
          <w:sz w:val="20"/>
          <w:u w:val="single"/>
          <w:lang w:val="en-US" w:eastAsia="zh-CN"/>
        </w:rPr>
        <w:t>Structure</w:t>
      </w:r>
      <w:r w:rsidR="00BF05BC" w:rsidRPr="000E5825">
        <w:rPr>
          <w:rFonts w:ascii="Arial-BoldMT" w:hAnsi="Arial-BoldMT" w:cs="Arial-BoldMT"/>
          <w:b/>
          <w:bCs/>
          <w:color w:val="FF0000"/>
          <w:sz w:val="20"/>
          <w:u w:val="single"/>
          <w:lang w:val="en-US" w:eastAsia="zh-CN"/>
        </w:rPr>
        <w:t xml:space="preserve"> </w:t>
      </w:r>
      <w:r w:rsidRPr="000E5825">
        <w:rPr>
          <w:rFonts w:ascii="Arial-BoldMT" w:hAnsi="Arial-BoldMT" w:cs="Arial-BoldMT"/>
          <w:b/>
          <w:bCs/>
          <w:color w:val="FF0000"/>
          <w:sz w:val="20"/>
          <w:u w:val="single"/>
          <w:lang w:val="en-US" w:eastAsia="zh-CN"/>
        </w:rPr>
        <w:t>element format</w:t>
      </w:r>
    </w:p>
    <w:p w14:paraId="7DB2C8FB" w14:textId="77777777" w:rsidR="0063701C" w:rsidRPr="000E5825" w:rsidRDefault="0063701C" w:rsidP="0063701C">
      <w:pPr>
        <w:widowControl w:val="0"/>
        <w:autoSpaceDE w:val="0"/>
        <w:autoSpaceDN w:val="0"/>
        <w:adjustRightInd w:val="0"/>
        <w:rPr>
          <w:rFonts w:ascii="Arial-BoldMT" w:hAnsi="Arial-BoldMT" w:cs="Arial-BoldMT"/>
          <w:b/>
          <w:bCs/>
          <w:color w:val="FF0000"/>
          <w:sz w:val="20"/>
          <w:u w:val="single"/>
          <w:lang w:val="en-US" w:eastAsia="zh-CN"/>
        </w:rPr>
      </w:pPr>
    </w:p>
    <w:p w14:paraId="668EBBD0"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0CC8111A" w14:textId="77777777" w:rsidR="0063701C" w:rsidRPr="000E5825" w:rsidRDefault="0063701C" w:rsidP="00B4459F">
      <w:pPr>
        <w:widowControl w:val="0"/>
        <w:autoSpaceDE w:val="0"/>
        <w:autoSpaceDN w:val="0"/>
        <w:adjustRightInd w:val="0"/>
        <w:outlineLvl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The Element ID, Length and Element ID Extension fields are defined in 9.4.2.1.</w:t>
      </w:r>
    </w:p>
    <w:p w14:paraId="7244D38E"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574E8DE" w14:textId="056F3638" w:rsidR="0063701C" w:rsidRPr="000E5825" w:rsidRDefault="0063701C" w:rsidP="00B4459F">
      <w:pPr>
        <w:widowControl w:val="0"/>
        <w:autoSpaceDE w:val="0"/>
        <w:autoSpaceDN w:val="0"/>
        <w:adjustRightInd w:val="0"/>
        <w:outlineLvl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Slot </w:t>
      </w:r>
      <w:r w:rsidR="00B54CDD">
        <w:rPr>
          <w:rFonts w:ascii="Arial-BoldMT" w:hAnsi="Arial-BoldMT" w:cs="Arial-BoldMT"/>
          <w:bCs/>
          <w:color w:val="FF0000"/>
          <w:sz w:val="24"/>
          <w:szCs w:val="24"/>
          <w:u w:val="single"/>
          <w:lang w:val="en-US" w:eastAsia="zh-CN"/>
        </w:rPr>
        <w:t>Structure</w:t>
      </w:r>
      <w:r w:rsidR="00B54CDD" w:rsidRPr="000E5825">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Control field is defined in Figure 9-xxx2.</w:t>
      </w:r>
    </w:p>
    <w:p w14:paraId="01167747"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1B6E849F"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tbl>
      <w:tblPr>
        <w:tblW w:w="4270" w:type="pct"/>
        <w:jc w:val="center"/>
        <w:tblLook w:val="04A0" w:firstRow="1" w:lastRow="0" w:firstColumn="1" w:lastColumn="0" w:noHBand="0" w:noVBand="1"/>
      </w:tblPr>
      <w:tblGrid>
        <w:gridCol w:w="661"/>
        <w:gridCol w:w="900"/>
        <w:gridCol w:w="900"/>
        <w:gridCol w:w="1058"/>
        <w:gridCol w:w="1000"/>
        <w:gridCol w:w="1518"/>
        <w:gridCol w:w="976"/>
        <w:gridCol w:w="976"/>
      </w:tblGrid>
      <w:tr w:rsidR="0063701C" w:rsidRPr="000E5825" w14:paraId="52E83C53" w14:textId="77777777" w:rsidTr="00055ACF">
        <w:trPr>
          <w:jc w:val="center"/>
        </w:trPr>
        <w:tc>
          <w:tcPr>
            <w:tcW w:w="414" w:type="pct"/>
            <w:tcBorders>
              <w:right w:val="single" w:sz="4" w:space="0" w:color="auto"/>
            </w:tcBorders>
            <w:shd w:val="clear" w:color="auto" w:fill="auto"/>
          </w:tcPr>
          <w:p w14:paraId="79E2770A" w14:textId="77777777" w:rsidR="0063701C" w:rsidRPr="000E5825" w:rsidRDefault="0063701C" w:rsidP="00055ACF">
            <w:pPr>
              <w:pStyle w:val="IEEEStdsTableData-Center"/>
              <w:rPr>
                <w:color w:val="FF0000"/>
                <w:u w:val="single"/>
              </w:rPr>
            </w:pPr>
          </w:p>
        </w:tc>
        <w:tc>
          <w:tcPr>
            <w:tcW w:w="563" w:type="pct"/>
            <w:tcBorders>
              <w:top w:val="single" w:sz="4" w:space="0" w:color="auto"/>
              <w:bottom w:val="single" w:sz="4" w:space="0" w:color="auto"/>
              <w:right w:val="single" w:sz="4" w:space="0" w:color="auto"/>
            </w:tcBorders>
          </w:tcPr>
          <w:p w14:paraId="7FFDAC12" w14:textId="3BEC07C2" w:rsidR="0063701C" w:rsidRPr="000E5825" w:rsidRDefault="0063701C" w:rsidP="007A504E">
            <w:pPr>
              <w:pStyle w:val="IEEEStdsTableData-Center"/>
              <w:rPr>
                <w:color w:val="FF0000"/>
                <w:u w:val="single"/>
              </w:rPr>
            </w:pPr>
            <w:r w:rsidRPr="000E5825">
              <w:rPr>
                <w:color w:val="FF0000"/>
                <w:u w:val="single"/>
              </w:rPr>
              <w:t xml:space="preserve">Number of </w:t>
            </w:r>
            <w:r w:rsidR="001850B4">
              <w:rPr>
                <w:color w:val="FF0000"/>
                <w:u w:val="single"/>
              </w:rPr>
              <w:t xml:space="preserve">TDD </w:t>
            </w:r>
            <w:r w:rsidR="007A504E">
              <w:rPr>
                <w:color w:val="FF0000"/>
                <w:u w:val="single"/>
              </w:rPr>
              <w:t>S</w:t>
            </w:r>
            <w:r w:rsidR="001850B4">
              <w:rPr>
                <w:color w:val="FF0000"/>
                <w:u w:val="single"/>
              </w:rPr>
              <w:t>lot</w:t>
            </w:r>
            <w:r w:rsidRPr="000E5825">
              <w:rPr>
                <w:color w:val="FF0000"/>
                <w:u w:val="single"/>
              </w:rPr>
              <w:t xml:space="preserve">s per TDD </w:t>
            </w:r>
            <w:r w:rsidR="00BF05BC">
              <w:rPr>
                <w:color w:val="FF0000"/>
                <w:u w:val="single"/>
              </w:rPr>
              <w:t>Interval</w:t>
            </w:r>
          </w:p>
        </w:tc>
        <w:tc>
          <w:tcPr>
            <w:tcW w:w="563" w:type="pct"/>
            <w:tcBorders>
              <w:top w:val="single" w:sz="4" w:space="0" w:color="auto"/>
              <w:left w:val="single" w:sz="4" w:space="0" w:color="auto"/>
              <w:bottom w:val="single" w:sz="4" w:space="0" w:color="auto"/>
              <w:right w:val="single" w:sz="4" w:space="0" w:color="auto"/>
            </w:tcBorders>
          </w:tcPr>
          <w:p w14:paraId="41BF2F0B" w14:textId="7DC20BAC" w:rsidR="0063701C" w:rsidRPr="000E5825" w:rsidRDefault="00D95D67" w:rsidP="00055ACF">
            <w:pPr>
              <w:pStyle w:val="IEEEStdsTableData-Center"/>
              <w:rPr>
                <w:color w:val="FF0000"/>
                <w:u w:val="single"/>
              </w:rPr>
            </w:pPr>
            <w:r>
              <w:rPr>
                <w:color w:val="FF0000"/>
                <w:u w:val="single"/>
              </w:rPr>
              <w:t>GT1</w:t>
            </w:r>
            <w:r w:rsidR="0063701C" w:rsidRPr="000E5825">
              <w:rPr>
                <w:color w:val="FF0000"/>
                <w:u w:val="single"/>
              </w:rPr>
              <w:t xml:space="preserve"> Duration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E7C8040" w14:textId="6739D6C1" w:rsidR="0063701C" w:rsidRPr="000E5825" w:rsidRDefault="00D95D67" w:rsidP="00055ACF">
            <w:pPr>
              <w:pStyle w:val="IEEEStdsTableData-Center"/>
              <w:rPr>
                <w:color w:val="FF0000"/>
                <w:u w:val="single"/>
              </w:rPr>
            </w:pPr>
            <w:r>
              <w:rPr>
                <w:color w:val="FF0000"/>
                <w:u w:val="single"/>
              </w:rPr>
              <w:t>GT2</w:t>
            </w:r>
            <w:r w:rsidR="0063701C" w:rsidRPr="000E5825">
              <w:rPr>
                <w:color w:val="FF0000"/>
                <w:u w:val="single"/>
              </w:rPr>
              <w:t xml:space="preserve"> Duration</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9510D7C" w14:textId="426928F3" w:rsidR="0063701C" w:rsidRPr="000E5825" w:rsidRDefault="00D95D67" w:rsidP="00055ACF">
            <w:pPr>
              <w:pStyle w:val="IEEEStdsTableData-Center"/>
              <w:rPr>
                <w:color w:val="FF0000"/>
                <w:u w:val="single"/>
              </w:rPr>
            </w:pPr>
            <w:r>
              <w:rPr>
                <w:color w:val="FF0000"/>
                <w:u w:val="single"/>
              </w:rPr>
              <w:t>GT3</w:t>
            </w:r>
            <w:r w:rsidR="0063701C" w:rsidRPr="000E5825">
              <w:rPr>
                <w:color w:val="FF0000"/>
                <w:u w:val="single"/>
              </w:rPr>
              <w:t xml:space="preserve"> Duration</w:t>
            </w:r>
          </w:p>
        </w:tc>
        <w:tc>
          <w:tcPr>
            <w:tcW w:w="950" w:type="pct"/>
            <w:tcBorders>
              <w:top w:val="single" w:sz="4" w:space="0" w:color="auto"/>
              <w:left w:val="single" w:sz="4" w:space="0" w:color="auto"/>
              <w:bottom w:val="single" w:sz="4" w:space="0" w:color="auto"/>
              <w:right w:val="single" w:sz="4" w:space="0" w:color="auto"/>
            </w:tcBorders>
          </w:tcPr>
          <w:p w14:paraId="657F4003" w14:textId="77777777" w:rsidR="0063701C" w:rsidRPr="000E5825" w:rsidRDefault="0063701C" w:rsidP="00055ACF">
            <w:pPr>
              <w:pStyle w:val="IEEEStdsTableData-Center"/>
              <w:rPr>
                <w:color w:val="FF0000"/>
                <w:u w:val="single"/>
              </w:rPr>
            </w:pPr>
            <w:r w:rsidRPr="000E5825">
              <w:rPr>
                <w:color w:val="FF0000"/>
                <w:u w:val="single"/>
              </w:rPr>
              <w:t>Allocation ID</w:t>
            </w:r>
          </w:p>
        </w:tc>
        <w:tc>
          <w:tcPr>
            <w:tcW w:w="611" w:type="pct"/>
            <w:tcBorders>
              <w:top w:val="single" w:sz="4" w:space="0" w:color="auto"/>
              <w:left w:val="single" w:sz="4" w:space="0" w:color="auto"/>
              <w:bottom w:val="single" w:sz="4" w:space="0" w:color="auto"/>
              <w:right w:val="single" w:sz="4" w:space="0" w:color="auto"/>
            </w:tcBorders>
          </w:tcPr>
          <w:p w14:paraId="5DC7977E" w14:textId="77777777" w:rsidR="0063701C" w:rsidRPr="000E5825" w:rsidRDefault="0063701C" w:rsidP="00055ACF">
            <w:pPr>
              <w:pStyle w:val="IEEEStdsTableData-Center"/>
              <w:rPr>
                <w:color w:val="FF0000"/>
                <w:u w:val="single"/>
              </w:rPr>
            </w:pPr>
            <w:r w:rsidRPr="000E5825">
              <w:rPr>
                <w:color w:val="FF0000"/>
                <w:u w:val="single"/>
              </w:rPr>
              <w:t>Allocation Block Duration Validity</w:t>
            </w:r>
          </w:p>
        </w:tc>
        <w:tc>
          <w:tcPr>
            <w:tcW w:w="611" w:type="pct"/>
            <w:tcBorders>
              <w:top w:val="single" w:sz="4" w:space="0" w:color="auto"/>
              <w:left w:val="single" w:sz="4" w:space="0" w:color="auto"/>
              <w:bottom w:val="single" w:sz="4" w:space="0" w:color="auto"/>
              <w:right w:val="single" w:sz="4" w:space="0" w:color="auto"/>
            </w:tcBorders>
          </w:tcPr>
          <w:p w14:paraId="4D0BA5E6" w14:textId="77777777" w:rsidR="0063701C" w:rsidRPr="000E5825" w:rsidRDefault="0063701C" w:rsidP="00055ACF">
            <w:pPr>
              <w:pStyle w:val="IEEEStdsTableData-Center"/>
              <w:rPr>
                <w:color w:val="FF0000"/>
                <w:u w:val="single"/>
                <w:lang w:eastAsia="zh-CN"/>
              </w:rPr>
            </w:pPr>
            <w:r w:rsidRPr="000E5825">
              <w:rPr>
                <w:rFonts w:hint="eastAsia"/>
                <w:color w:val="FF0000"/>
                <w:u w:val="single"/>
                <w:lang w:eastAsia="zh-CN"/>
              </w:rPr>
              <w:t>Reserv</w:t>
            </w:r>
            <w:r w:rsidRPr="000E5825">
              <w:rPr>
                <w:color w:val="FF0000"/>
                <w:u w:val="single"/>
                <w:lang w:eastAsia="zh-CN"/>
              </w:rPr>
              <w:t>ed</w:t>
            </w:r>
          </w:p>
        </w:tc>
      </w:tr>
      <w:tr w:rsidR="0063701C" w:rsidRPr="000E5825" w14:paraId="5B7E05A2" w14:textId="77777777" w:rsidTr="00055ACF">
        <w:trPr>
          <w:jc w:val="center"/>
        </w:trPr>
        <w:tc>
          <w:tcPr>
            <w:tcW w:w="414" w:type="pct"/>
            <w:shd w:val="clear" w:color="auto" w:fill="auto"/>
          </w:tcPr>
          <w:p w14:paraId="325F18D7" w14:textId="77777777" w:rsidR="0063701C" w:rsidRPr="000E5825" w:rsidRDefault="0063701C" w:rsidP="00055ACF">
            <w:pPr>
              <w:pStyle w:val="IEEEStdsTableData-Center"/>
              <w:rPr>
                <w:color w:val="FF0000"/>
                <w:u w:val="single"/>
              </w:rPr>
            </w:pPr>
            <w:r w:rsidRPr="000E5825">
              <w:rPr>
                <w:color w:val="FF0000"/>
                <w:u w:val="single"/>
              </w:rPr>
              <w:t>Bits</w:t>
            </w:r>
          </w:p>
        </w:tc>
        <w:tc>
          <w:tcPr>
            <w:tcW w:w="563" w:type="pct"/>
            <w:tcBorders>
              <w:top w:val="single" w:sz="4" w:space="0" w:color="auto"/>
            </w:tcBorders>
          </w:tcPr>
          <w:p w14:paraId="0548BE09" w14:textId="77777777" w:rsidR="0063701C" w:rsidRPr="000E5825" w:rsidRDefault="0063701C" w:rsidP="00055ACF">
            <w:pPr>
              <w:pStyle w:val="IEEEStdsTableData-Center"/>
              <w:rPr>
                <w:color w:val="FF0000"/>
                <w:u w:val="single"/>
              </w:rPr>
            </w:pPr>
            <w:r w:rsidRPr="000E5825">
              <w:rPr>
                <w:color w:val="FF0000"/>
                <w:u w:val="single"/>
              </w:rPr>
              <w:t>4</w:t>
            </w:r>
          </w:p>
        </w:tc>
        <w:tc>
          <w:tcPr>
            <w:tcW w:w="563" w:type="pct"/>
            <w:tcBorders>
              <w:top w:val="single" w:sz="4" w:space="0" w:color="auto"/>
            </w:tcBorders>
          </w:tcPr>
          <w:p w14:paraId="52AF0F26" w14:textId="414F2945" w:rsidR="0063701C" w:rsidRPr="000E5825" w:rsidRDefault="00D95D67" w:rsidP="00055ACF">
            <w:pPr>
              <w:pStyle w:val="IEEEStdsTableData-Center"/>
              <w:rPr>
                <w:color w:val="FF0000"/>
                <w:u w:val="single"/>
              </w:rPr>
            </w:pPr>
            <w:r>
              <w:rPr>
                <w:color w:val="FF0000"/>
                <w:u w:val="single"/>
              </w:rPr>
              <w:t>5</w:t>
            </w:r>
          </w:p>
        </w:tc>
        <w:tc>
          <w:tcPr>
            <w:tcW w:w="662" w:type="pct"/>
            <w:tcBorders>
              <w:top w:val="single" w:sz="4" w:space="0" w:color="auto"/>
            </w:tcBorders>
            <w:shd w:val="clear" w:color="auto" w:fill="auto"/>
          </w:tcPr>
          <w:p w14:paraId="20E50145" w14:textId="14BA8790" w:rsidR="0063701C" w:rsidRPr="000E5825" w:rsidRDefault="00D95D67" w:rsidP="00055ACF">
            <w:pPr>
              <w:pStyle w:val="IEEEStdsTableData-Center"/>
              <w:rPr>
                <w:color w:val="FF0000"/>
                <w:u w:val="single"/>
              </w:rPr>
            </w:pPr>
            <w:r>
              <w:rPr>
                <w:color w:val="FF0000"/>
                <w:u w:val="single"/>
              </w:rPr>
              <w:t>5</w:t>
            </w:r>
          </w:p>
        </w:tc>
        <w:tc>
          <w:tcPr>
            <w:tcW w:w="626" w:type="pct"/>
            <w:tcBorders>
              <w:top w:val="single" w:sz="4" w:space="0" w:color="auto"/>
            </w:tcBorders>
            <w:shd w:val="clear" w:color="auto" w:fill="auto"/>
          </w:tcPr>
          <w:p w14:paraId="0C6E6D17" w14:textId="0A26C4BC" w:rsidR="0063701C" w:rsidRPr="000E5825" w:rsidRDefault="00D95D67" w:rsidP="00055ACF">
            <w:pPr>
              <w:pStyle w:val="IEEEStdsTableData-Center"/>
              <w:rPr>
                <w:color w:val="FF0000"/>
                <w:u w:val="single"/>
              </w:rPr>
            </w:pPr>
            <w:r>
              <w:rPr>
                <w:color w:val="FF0000"/>
                <w:u w:val="single"/>
              </w:rPr>
              <w:t>5</w:t>
            </w:r>
          </w:p>
        </w:tc>
        <w:tc>
          <w:tcPr>
            <w:tcW w:w="950" w:type="pct"/>
            <w:tcBorders>
              <w:top w:val="single" w:sz="4" w:space="0" w:color="auto"/>
            </w:tcBorders>
          </w:tcPr>
          <w:p w14:paraId="035BC79A" w14:textId="77777777" w:rsidR="0063701C" w:rsidRPr="000E5825" w:rsidRDefault="0063701C" w:rsidP="00055ACF">
            <w:pPr>
              <w:pStyle w:val="IEEEStdsTableData-Center"/>
              <w:rPr>
                <w:color w:val="FF0000"/>
                <w:u w:val="single"/>
              </w:rPr>
            </w:pPr>
            <w:r w:rsidRPr="000E5825">
              <w:rPr>
                <w:color w:val="FF0000"/>
                <w:u w:val="single"/>
              </w:rPr>
              <w:t>4</w:t>
            </w:r>
          </w:p>
        </w:tc>
        <w:tc>
          <w:tcPr>
            <w:tcW w:w="611" w:type="pct"/>
            <w:tcBorders>
              <w:top w:val="single" w:sz="4" w:space="0" w:color="auto"/>
            </w:tcBorders>
          </w:tcPr>
          <w:p w14:paraId="730513EB" w14:textId="77777777" w:rsidR="0063701C" w:rsidRPr="000E5825" w:rsidRDefault="0063701C" w:rsidP="00055ACF">
            <w:pPr>
              <w:pStyle w:val="IEEEStdsTableData-Center"/>
              <w:rPr>
                <w:color w:val="FF0000"/>
                <w:u w:val="single"/>
                <w:lang w:eastAsia="zh-CN"/>
              </w:rPr>
            </w:pPr>
            <w:r w:rsidRPr="000E5825">
              <w:rPr>
                <w:rFonts w:hint="eastAsia"/>
                <w:color w:val="FF0000"/>
                <w:u w:val="single"/>
                <w:lang w:eastAsia="zh-CN"/>
              </w:rPr>
              <w:t>1</w:t>
            </w:r>
          </w:p>
        </w:tc>
        <w:tc>
          <w:tcPr>
            <w:tcW w:w="611" w:type="pct"/>
            <w:tcBorders>
              <w:top w:val="single" w:sz="4" w:space="0" w:color="auto"/>
            </w:tcBorders>
          </w:tcPr>
          <w:p w14:paraId="24DA0852" w14:textId="2BAC0748" w:rsidR="0063701C" w:rsidRPr="000E5825" w:rsidRDefault="00D95D67" w:rsidP="00055ACF">
            <w:pPr>
              <w:pStyle w:val="IEEEStdsTableData-Center"/>
              <w:rPr>
                <w:color w:val="FF0000"/>
                <w:u w:val="single"/>
                <w:lang w:eastAsia="zh-CN"/>
              </w:rPr>
            </w:pPr>
            <w:r>
              <w:rPr>
                <w:color w:val="FF0000"/>
                <w:u w:val="single"/>
                <w:lang w:eastAsia="zh-CN"/>
              </w:rPr>
              <w:t>8</w:t>
            </w:r>
          </w:p>
        </w:tc>
      </w:tr>
    </w:tbl>
    <w:p w14:paraId="0CAAFB82" w14:textId="52BA46BD" w:rsidR="0063701C" w:rsidRPr="000E5825" w:rsidRDefault="0063701C" w:rsidP="0063701C">
      <w:pPr>
        <w:widowControl w:val="0"/>
        <w:autoSpaceDE w:val="0"/>
        <w:autoSpaceDN w:val="0"/>
        <w:adjustRightInd w:val="0"/>
        <w:ind w:firstLineChars="1000" w:firstLine="2008"/>
        <w:rPr>
          <w:rFonts w:ascii="Arial-BoldMT" w:hAnsi="Arial-BoldMT" w:cs="Arial-BoldMT"/>
          <w:b/>
          <w:bCs/>
          <w:color w:val="FF0000"/>
          <w:sz w:val="20"/>
          <w:u w:val="single"/>
          <w:lang w:val="en-US" w:eastAsia="zh-CN"/>
        </w:rPr>
      </w:pPr>
      <w:r w:rsidRPr="000E5825">
        <w:rPr>
          <w:rFonts w:ascii="Arial-BoldMT" w:hAnsi="Arial-BoldMT" w:cs="Arial-BoldMT" w:hint="eastAsia"/>
          <w:b/>
          <w:bCs/>
          <w:color w:val="FF0000"/>
          <w:sz w:val="20"/>
          <w:u w:val="single"/>
          <w:lang w:val="en-US" w:eastAsia="zh-CN"/>
        </w:rPr>
        <w:t>Figure</w:t>
      </w:r>
      <w:r w:rsidRPr="000E5825">
        <w:rPr>
          <w:rFonts w:ascii="Arial-BoldMT" w:hAnsi="Arial-BoldMT" w:cs="Arial-BoldMT"/>
          <w:b/>
          <w:bCs/>
          <w:color w:val="FF0000"/>
          <w:sz w:val="20"/>
          <w:u w:val="single"/>
          <w:lang w:val="en-US" w:eastAsia="zh-CN"/>
        </w:rPr>
        <w:t xml:space="preserve"> 9-xxx2---Slot </w:t>
      </w:r>
      <w:r w:rsidR="00DF5CE4">
        <w:rPr>
          <w:rFonts w:ascii="Arial-BoldMT" w:hAnsi="Arial-BoldMT" w:cs="Arial-BoldMT"/>
          <w:b/>
          <w:bCs/>
          <w:color w:val="FF0000"/>
          <w:sz w:val="20"/>
          <w:u w:val="single"/>
          <w:lang w:val="en-US" w:eastAsia="zh-CN"/>
        </w:rPr>
        <w:t>Structure</w:t>
      </w:r>
      <w:r w:rsidR="00DF5CE4" w:rsidRPr="000E5825">
        <w:rPr>
          <w:rFonts w:ascii="Arial-BoldMT" w:hAnsi="Arial-BoldMT" w:cs="Arial-BoldMT"/>
          <w:b/>
          <w:bCs/>
          <w:color w:val="FF0000"/>
          <w:sz w:val="20"/>
          <w:u w:val="single"/>
          <w:lang w:val="en-US" w:eastAsia="zh-CN"/>
        </w:rPr>
        <w:t xml:space="preserve"> </w:t>
      </w:r>
      <w:r w:rsidRPr="000E5825">
        <w:rPr>
          <w:rFonts w:ascii="Arial-BoldMT" w:hAnsi="Arial-BoldMT" w:cs="Arial-BoldMT"/>
          <w:b/>
          <w:bCs/>
          <w:color w:val="FF0000"/>
          <w:sz w:val="20"/>
          <w:u w:val="single"/>
          <w:lang w:val="en-US" w:eastAsia="zh-CN"/>
        </w:rPr>
        <w:t>Control field format</w:t>
      </w:r>
    </w:p>
    <w:p w14:paraId="167F7409"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32932D86" w14:textId="75039E8B"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hint="eastAsia"/>
          <w:bCs/>
          <w:color w:val="FF0000"/>
          <w:sz w:val="24"/>
          <w:szCs w:val="24"/>
          <w:u w:val="single"/>
          <w:lang w:val="en-US" w:eastAsia="zh-CN"/>
        </w:rPr>
        <w:t xml:space="preserve">The </w:t>
      </w:r>
      <w:r w:rsidRPr="000E5825">
        <w:rPr>
          <w:rFonts w:ascii="Arial-BoldMT" w:hAnsi="Arial-BoldMT" w:cs="Arial-BoldMT"/>
          <w:bCs/>
          <w:color w:val="FF0000"/>
          <w:sz w:val="24"/>
          <w:szCs w:val="24"/>
          <w:u w:val="single"/>
          <w:lang w:val="en-US" w:eastAsia="zh-CN"/>
        </w:rPr>
        <w:t xml:space="preserve">Number of </w:t>
      </w:r>
      <w:r w:rsidR="001850B4">
        <w:rPr>
          <w:rFonts w:ascii="Arial-BoldMT" w:hAnsi="Arial-BoldMT" w:cs="Arial-BoldMT"/>
          <w:bCs/>
          <w:color w:val="FF0000"/>
          <w:sz w:val="24"/>
          <w:szCs w:val="24"/>
          <w:u w:val="single"/>
          <w:lang w:val="en-US" w:eastAsia="zh-CN"/>
        </w:rPr>
        <w:t xml:space="preserve">TDD </w:t>
      </w:r>
      <w:r w:rsidR="007A504E">
        <w:rPr>
          <w:rFonts w:ascii="Arial-BoldMT" w:hAnsi="Arial-BoldMT" w:cs="Arial-BoldMT"/>
          <w:bCs/>
          <w:color w:val="FF0000"/>
          <w:sz w:val="24"/>
          <w:szCs w:val="24"/>
          <w:u w:val="single"/>
          <w:lang w:val="en-US" w:eastAsia="zh-CN"/>
        </w:rPr>
        <w:t>S</w:t>
      </w:r>
      <w:r w:rsidR="001850B4">
        <w:rPr>
          <w:rFonts w:ascii="Arial-BoldMT" w:hAnsi="Arial-BoldMT" w:cs="Arial-BoldMT"/>
          <w:bCs/>
          <w:color w:val="FF0000"/>
          <w:sz w:val="24"/>
          <w:szCs w:val="24"/>
          <w:u w:val="single"/>
          <w:lang w:val="en-US" w:eastAsia="zh-CN"/>
        </w:rPr>
        <w:t>lot</w:t>
      </w:r>
      <w:r w:rsidRPr="000E5825">
        <w:rPr>
          <w:rFonts w:ascii="Arial-BoldMT" w:hAnsi="Arial-BoldMT" w:cs="Arial-BoldMT"/>
          <w:bCs/>
          <w:color w:val="FF0000"/>
          <w:sz w:val="24"/>
          <w:szCs w:val="24"/>
          <w:u w:val="single"/>
          <w:lang w:val="en-US" w:eastAsia="zh-CN"/>
        </w:rPr>
        <w:t xml:space="preserve">s per TDD </w:t>
      </w:r>
      <w:r w:rsidR="00DF5CE4">
        <w:rPr>
          <w:rFonts w:ascii="Arial-BoldMT" w:hAnsi="Arial-BoldMT" w:cs="Arial-BoldMT"/>
          <w:bCs/>
          <w:color w:val="FF0000"/>
          <w:sz w:val="24"/>
          <w:szCs w:val="24"/>
          <w:u w:val="single"/>
          <w:lang w:val="en-US" w:eastAsia="zh-CN"/>
        </w:rPr>
        <w:t>Interval</w:t>
      </w:r>
      <w:r w:rsidR="00DF5CE4" w:rsidRPr="000E5825">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subfield indicates the number of </w:t>
      </w:r>
      <w:r w:rsidR="001850B4">
        <w:rPr>
          <w:rFonts w:ascii="Arial-BoldMT" w:hAnsi="Arial-BoldMT" w:cs="Arial-BoldMT"/>
          <w:bCs/>
          <w:color w:val="FF0000"/>
          <w:sz w:val="24"/>
          <w:szCs w:val="24"/>
          <w:u w:val="single"/>
          <w:lang w:val="en-US" w:eastAsia="zh-CN"/>
        </w:rPr>
        <w:t>TDD slot</w:t>
      </w:r>
      <w:r w:rsidRPr="000E5825">
        <w:rPr>
          <w:rFonts w:ascii="Arial-BoldMT" w:hAnsi="Arial-BoldMT" w:cs="Arial-BoldMT"/>
          <w:bCs/>
          <w:color w:val="FF0000"/>
          <w:sz w:val="24"/>
          <w:szCs w:val="24"/>
          <w:u w:val="single"/>
          <w:lang w:val="en-US" w:eastAsia="zh-CN"/>
        </w:rPr>
        <w:t xml:space="preserve">s in each TDD </w:t>
      </w:r>
      <w:r w:rsidR="00DF5CE4">
        <w:rPr>
          <w:rFonts w:ascii="Arial-BoldMT" w:hAnsi="Arial-BoldMT" w:cs="Arial-BoldMT"/>
          <w:bCs/>
          <w:color w:val="FF0000"/>
          <w:sz w:val="24"/>
          <w:szCs w:val="24"/>
          <w:u w:val="single"/>
          <w:lang w:val="en-US" w:eastAsia="zh-CN"/>
        </w:rPr>
        <w:t>Interval</w:t>
      </w:r>
      <w:r w:rsidRPr="000E5825">
        <w:rPr>
          <w:rFonts w:ascii="Arial-BoldMT" w:hAnsi="Arial-BoldMT" w:cs="Arial-BoldMT"/>
          <w:bCs/>
          <w:color w:val="FF0000"/>
          <w:sz w:val="24"/>
          <w:szCs w:val="24"/>
          <w:u w:val="single"/>
          <w:lang w:val="en-US" w:eastAsia="zh-CN"/>
        </w:rPr>
        <w:t>.</w:t>
      </w:r>
    </w:p>
    <w:p w14:paraId="5346469E"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4A100C8A" w14:textId="68E39624"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w:t>
      </w:r>
      <w:r w:rsidR="00D95D67">
        <w:rPr>
          <w:rFonts w:ascii="Arial-BoldMT" w:hAnsi="Arial-BoldMT" w:cs="Arial-BoldMT"/>
          <w:bCs/>
          <w:color w:val="FF0000"/>
          <w:sz w:val="24"/>
          <w:szCs w:val="24"/>
          <w:u w:val="single"/>
          <w:lang w:val="en-US" w:eastAsia="zh-CN"/>
        </w:rPr>
        <w:t>GT1</w:t>
      </w:r>
      <w:r w:rsidRPr="000E5825">
        <w:rPr>
          <w:rFonts w:ascii="Arial-BoldMT" w:hAnsi="Arial-BoldMT" w:cs="Arial-BoldMT"/>
          <w:bCs/>
          <w:color w:val="FF0000"/>
          <w:sz w:val="24"/>
          <w:szCs w:val="24"/>
          <w:u w:val="single"/>
          <w:lang w:val="en-US" w:eastAsia="zh-CN"/>
        </w:rPr>
        <w:t xml:space="preserve"> Duration</w:t>
      </w:r>
      <w:r w:rsidR="00D95D67">
        <w:rPr>
          <w:rFonts w:ascii="Arial-BoldMT" w:hAnsi="Arial-BoldMT" w:cs="Arial-BoldMT"/>
          <w:bCs/>
          <w:color w:val="FF0000"/>
          <w:sz w:val="24"/>
          <w:szCs w:val="24"/>
          <w:u w:val="single"/>
          <w:lang w:val="en-US" w:eastAsia="zh-CN"/>
        </w:rPr>
        <w:t>, GT2 Duration and GT3 Duration</w:t>
      </w:r>
      <w:r w:rsidRPr="000E5825">
        <w:rPr>
          <w:rFonts w:ascii="Arial-BoldMT" w:hAnsi="Arial-BoldMT" w:cs="Arial-BoldMT"/>
          <w:bCs/>
          <w:color w:val="FF0000"/>
          <w:sz w:val="24"/>
          <w:szCs w:val="24"/>
          <w:u w:val="single"/>
          <w:lang w:val="en-US" w:eastAsia="zh-CN"/>
        </w:rPr>
        <w:t xml:space="preserve"> subfield</w:t>
      </w:r>
      <w:r w:rsidR="00D95D67">
        <w:rPr>
          <w:rFonts w:ascii="Arial-BoldMT" w:hAnsi="Arial-BoldMT" w:cs="Arial-BoldMT"/>
          <w:bCs/>
          <w:color w:val="FF0000"/>
          <w:sz w:val="24"/>
          <w:szCs w:val="24"/>
          <w:u w:val="single"/>
          <w:lang w:val="en-US" w:eastAsia="zh-CN"/>
        </w:rPr>
        <w:t>s</w:t>
      </w:r>
      <w:r w:rsidRPr="000E5825">
        <w:rPr>
          <w:rFonts w:ascii="Arial-BoldMT" w:hAnsi="Arial-BoldMT" w:cs="Arial-BoldMT"/>
          <w:bCs/>
          <w:color w:val="FF0000"/>
          <w:sz w:val="24"/>
          <w:szCs w:val="24"/>
          <w:u w:val="single"/>
          <w:lang w:val="en-US" w:eastAsia="zh-CN"/>
        </w:rPr>
        <w:t xml:space="preserve"> indicate the duration</w:t>
      </w:r>
      <w:r w:rsidR="00D95D67">
        <w:rPr>
          <w:rFonts w:ascii="Arial-BoldMT" w:hAnsi="Arial-BoldMT" w:cs="Arial-BoldMT"/>
          <w:bCs/>
          <w:color w:val="FF0000"/>
          <w:sz w:val="24"/>
          <w:szCs w:val="24"/>
          <w:u w:val="single"/>
          <w:lang w:val="en-US" w:eastAsia="zh-CN"/>
        </w:rPr>
        <w:t>s</w:t>
      </w:r>
      <w:r w:rsidRPr="000E5825">
        <w:rPr>
          <w:rFonts w:ascii="Arial-BoldMT" w:hAnsi="Arial-BoldMT" w:cs="Arial-BoldMT"/>
          <w:bCs/>
          <w:color w:val="FF0000"/>
          <w:sz w:val="24"/>
          <w:szCs w:val="24"/>
          <w:u w:val="single"/>
          <w:lang w:val="en-US" w:eastAsia="zh-CN"/>
        </w:rPr>
        <w:t xml:space="preserve">, in microseconds, of </w:t>
      </w:r>
      <w:r w:rsidR="00D95D67">
        <w:rPr>
          <w:rFonts w:ascii="Arial-BoldMT" w:hAnsi="Arial-BoldMT" w:cs="Arial-BoldMT"/>
          <w:bCs/>
          <w:color w:val="FF0000"/>
          <w:sz w:val="24"/>
          <w:szCs w:val="24"/>
          <w:u w:val="single"/>
          <w:lang w:val="en-US" w:eastAsia="zh-CN"/>
        </w:rPr>
        <w:t xml:space="preserve">the GT1, GT2 and GT3 guard </w:t>
      </w:r>
      <w:r w:rsidR="00B919D8">
        <w:rPr>
          <w:rFonts w:ascii="Arial-BoldMT" w:hAnsi="Arial-BoldMT" w:cs="Arial-BoldMT"/>
          <w:bCs/>
          <w:color w:val="FF0000"/>
          <w:sz w:val="24"/>
          <w:szCs w:val="24"/>
          <w:u w:val="single"/>
          <w:lang w:val="en-US" w:eastAsia="zh-CN"/>
        </w:rPr>
        <w:t>times</w:t>
      </w:r>
      <w:r w:rsidR="00D95D67">
        <w:rPr>
          <w:rFonts w:ascii="Arial-BoldMT" w:hAnsi="Arial-BoldMT" w:cs="Arial-BoldMT"/>
          <w:bCs/>
          <w:color w:val="FF0000"/>
          <w:sz w:val="24"/>
          <w:szCs w:val="24"/>
          <w:u w:val="single"/>
          <w:lang w:val="en-US" w:eastAsia="zh-CN"/>
        </w:rPr>
        <w:t xml:space="preserve"> shown </w:t>
      </w:r>
      <w:r w:rsidRPr="000E5825">
        <w:rPr>
          <w:rFonts w:ascii="Arial-BoldMT" w:hAnsi="Arial-BoldMT" w:cs="Arial-BoldMT"/>
          <w:bCs/>
          <w:color w:val="FF0000"/>
          <w:sz w:val="24"/>
          <w:szCs w:val="24"/>
          <w:u w:val="single"/>
          <w:lang w:val="en-US" w:eastAsia="zh-CN"/>
        </w:rPr>
        <w:t>in Figure 10-xxx1.</w:t>
      </w:r>
    </w:p>
    <w:p w14:paraId="64BDEE9C"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989FB3D" w14:textId="338531A5" w:rsidR="0063701C" w:rsidRPr="000E5825" w:rsidRDefault="003648E2"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The Allocation ID</w:t>
      </w:r>
      <w:r w:rsidRPr="000E5825">
        <w:rPr>
          <w:rFonts w:ascii="Arial-BoldMT" w:hAnsi="Arial-BoldMT" w:cs="Arial-BoldMT" w:hint="eastAsia"/>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subfield is set to the same value </w:t>
      </w:r>
      <w:r>
        <w:rPr>
          <w:rFonts w:ascii="Arial-BoldMT" w:hAnsi="Arial-BoldMT" w:cs="Arial-BoldMT"/>
          <w:bCs/>
          <w:color w:val="FF0000"/>
          <w:sz w:val="24"/>
          <w:szCs w:val="24"/>
          <w:u w:val="single"/>
          <w:lang w:val="en-US" w:eastAsia="zh-CN"/>
        </w:rPr>
        <w:t>of</w:t>
      </w:r>
      <w:r w:rsidRPr="000E5825">
        <w:rPr>
          <w:rFonts w:ascii="Arial-BoldMT" w:hAnsi="Arial-BoldMT" w:cs="Arial-BoldMT"/>
          <w:bCs/>
          <w:color w:val="FF0000"/>
          <w:sz w:val="24"/>
          <w:szCs w:val="24"/>
          <w:u w:val="single"/>
          <w:lang w:val="en-US" w:eastAsia="zh-CN"/>
        </w:rPr>
        <w:t xml:space="preserve"> the Allocation ID subfield in Allocation Control field </w:t>
      </w:r>
      <w:r>
        <w:rPr>
          <w:rFonts w:ascii="Arial-BoldMT" w:hAnsi="Arial-BoldMT" w:cs="Arial-BoldMT"/>
          <w:bCs/>
          <w:color w:val="FF0000"/>
          <w:sz w:val="24"/>
          <w:szCs w:val="24"/>
          <w:u w:val="single"/>
          <w:lang w:val="en-US" w:eastAsia="zh-CN"/>
        </w:rPr>
        <w:t>of</w:t>
      </w:r>
      <w:r w:rsidRPr="000E5825">
        <w:rPr>
          <w:rFonts w:ascii="Arial-BoldMT" w:hAnsi="Arial-BoldMT" w:cs="Arial-BoldMT"/>
          <w:bCs/>
          <w:color w:val="FF0000"/>
          <w:sz w:val="24"/>
          <w:szCs w:val="24"/>
          <w:u w:val="single"/>
          <w:lang w:val="en-US" w:eastAsia="zh-CN"/>
        </w:rPr>
        <w:t xml:space="preserve"> the </w:t>
      </w:r>
      <w:r>
        <w:rPr>
          <w:rFonts w:ascii="Arial-BoldMT" w:hAnsi="Arial-BoldMT" w:cs="Arial-BoldMT"/>
          <w:bCs/>
          <w:color w:val="FF0000"/>
          <w:sz w:val="24"/>
          <w:szCs w:val="24"/>
          <w:u w:val="single"/>
          <w:lang w:val="en-US" w:eastAsia="zh-CN"/>
        </w:rPr>
        <w:t xml:space="preserve">Extended Schedule element describing the </w:t>
      </w:r>
      <w:r w:rsidR="00DF5CE4">
        <w:rPr>
          <w:rFonts w:ascii="Arial-BoldMT" w:hAnsi="Arial-BoldMT" w:cs="Arial-BoldMT"/>
          <w:bCs/>
          <w:color w:val="FF0000"/>
          <w:sz w:val="24"/>
          <w:szCs w:val="24"/>
          <w:u w:val="single"/>
          <w:lang w:val="en-US" w:eastAsia="zh-CN"/>
        </w:rPr>
        <w:t xml:space="preserve">TDD </w:t>
      </w:r>
      <w:r w:rsidRPr="000E5825">
        <w:rPr>
          <w:rFonts w:ascii="Arial-BoldMT" w:hAnsi="Arial-BoldMT" w:cs="Arial-BoldMT"/>
          <w:bCs/>
          <w:color w:val="FF0000"/>
          <w:sz w:val="24"/>
          <w:szCs w:val="24"/>
          <w:u w:val="single"/>
          <w:lang w:val="en-US" w:eastAsia="zh-CN"/>
        </w:rPr>
        <w:t>SP allocation.</w:t>
      </w:r>
    </w:p>
    <w:p w14:paraId="6D78317E" w14:textId="77777777" w:rsidR="0063701C" w:rsidRPr="000E5825" w:rsidRDefault="0063701C" w:rsidP="0063701C">
      <w:pPr>
        <w:widowControl w:val="0"/>
        <w:autoSpaceDE w:val="0"/>
        <w:autoSpaceDN w:val="0"/>
        <w:adjustRightInd w:val="0"/>
        <w:rPr>
          <w:rFonts w:ascii="TimesNewRomanPSMT" w:eastAsiaTheme="minorEastAsia" w:hAnsi="Arial-BoldMT" w:cs="TimesNewRomanPSMT"/>
          <w:color w:val="FF0000"/>
          <w:sz w:val="20"/>
          <w:u w:val="single"/>
          <w:lang w:val="en-US" w:eastAsia="zh-CN"/>
        </w:rPr>
      </w:pPr>
    </w:p>
    <w:p w14:paraId="370FA2EA" w14:textId="4BCBA438" w:rsidR="0063701C"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hint="eastAsia"/>
          <w:bCs/>
          <w:color w:val="FF0000"/>
          <w:sz w:val="24"/>
          <w:szCs w:val="24"/>
          <w:u w:val="single"/>
          <w:lang w:val="en-US" w:eastAsia="zh-CN"/>
        </w:rPr>
        <w:t>T</w:t>
      </w:r>
      <w:r w:rsidRPr="000E5825">
        <w:rPr>
          <w:rFonts w:ascii="Arial-BoldMT" w:hAnsi="Arial-BoldMT" w:cs="Arial-BoldMT"/>
          <w:bCs/>
          <w:color w:val="FF0000"/>
          <w:sz w:val="24"/>
          <w:szCs w:val="24"/>
          <w:u w:val="single"/>
          <w:lang w:val="en-US" w:eastAsia="zh-CN"/>
        </w:rPr>
        <w:t xml:space="preserve">he Allocation Block Duration Validity subfield is set to 0 to indicate that the </w:t>
      </w:r>
      <w:r w:rsidR="0091379F">
        <w:rPr>
          <w:rFonts w:ascii="Arial-BoldMT" w:hAnsi="Arial-BoldMT" w:cs="Arial-BoldMT"/>
          <w:bCs/>
          <w:color w:val="FF0000"/>
          <w:sz w:val="24"/>
          <w:szCs w:val="24"/>
          <w:u w:val="single"/>
          <w:lang w:val="en-US" w:eastAsia="zh-CN"/>
        </w:rPr>
        <w:t xml:space="preserve">duration of the </w:t>
      </w:r>
      <w:r w:rsidR="00DF5CE4">
        <w:rPr>
          <w:rFonts w:ascii="Arial-BoldMT" w:hAnsi="Arial-BoldMT" w:cs="Arial-BoldMT"/>
          <w:bCs/>
          <w:color w:val="FF0000"/>
          <w:sz w:val="24"/>
          <w:szCs w:val="24"/>
          <w:u w:val="single"/>
          <w:lang w:val="en-US" w:eastAsia="zh-CN"/>
        </w:rPr>
        <w:t xml:space="preserve">TDD </w:t>
      </w:r>
      <w:r w:rsidR="0091379F">
        <w:rPr>
          <w:rFonts w:ascii="Arial-BoldMT" w:hAnsi="Arial-BoldMT" w:cs="Arial-BoldMT"/>
          <w:bCs/>
          <w:color w:val="FF0000"/>
          <w:sz w:val="24"/>
          <w:szCs w:val="24"/>
          <w:u w:val="single"/>
          <w:lang w:val="en-US" w:eastAsia="zh-CN"/>
        </w:rPr>
        <w:t>SP</w:t>
      </w:r>
      <w:r w:rsidR="003526C8">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is unlimited across consecutive BIs. Otherwise</w:t>
      </w:r>
      <w:r w:rsidR="003526C8">
        <w:rPr>
          <w:rFonts w:ascii="Arial-BoldMT" w:hAnsi="Arial-BoldMT" w:cs="Arial-BoldMT"/>
          <w:bCs/>
          <w:color w:val="FF0000"/>
          <w:sz w:val="24"/>
          <w:szCs w:val="24"/>
          <w:u w:val="single"/>
          <w:lang w:val="en-US" w:eastAsia="zh-CN"/>
        </w:rPr>
        <w:t>,</w:t>
      </w:r>
      <w:r w:rsidRPr="000E5825">
        <w:rPr>
          <w:rFonts w:ascii="Arial-BoldMT" w:hAnsi="Arial-BoldMT" w:cs="Arial-BoldMT"/>
          <w:bCs/>
          <w:color w:val="FF0000"/>
          <w:sz w:val="24"/>
          <w:szCs w:val="24"/>
          <w:u w:val="single"/>
          <w:lang w:val="en-US" w:eastAsia="zh-CN"/>
        </w:rPr>
        <w:t xml:space="preserve"> </w:t>
      </w:r>
      <w:r w:rsidR="003526C8">
        <w:rPr>
          <w:rFonts w:ascii="Arial-BoldMT" w:hAnsi="Arial-BoldMT" w:cs="Arial-BoldMT"/>
          <w:bCs/>
          <w:color w:val="FF0000"/>
          <w:sz w:val="24"/>
          <w:szCs w:val="24"/>
          <w:u w:val="single"/>
          <w:lang w:val="en-US" w:eastAsia="zh-CN"/>
        </w:rPr>
        <w:t>if the duration of the SP is limited to the value of the Allocation Block Duration field, this subfield</w:t>
      </w:r>
      <w:r w:rsidR="003526C8" w:rsidRPr="000E5825">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is set to 1.</w:t>
      </w:r>
    </w:p>
    <w:p w14:paraId="48D2453D" w14:textId="77777777" w:rsidR="00D35ED8" w:rsidRDefault="00D35ED8"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31ADF81" w14:textId="4167AD2D" w:rsidR="00D35ED8" w:rsidRPr="000E5825" w:rsidRDefault="00D35ED8"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Slot </w:t>
      </w:r>
      <w:r>
        <w:rPr>
          <w:rFonts w:ascii="Arial-BoldMT" w:hAnsi="Arial-BoldMT" w:cs="Arial-BoldMT"/>
          <w:bCs/>
          <w:color w:val="FF0000"/>
          <w:sz w:val="24"/>
          <w:szCs w:val="24"/>
          <w:u w:val="single"/>
          <w:lang w:val="en-US" w:eastAsia="zh-CN"/>
        </w:rPr>
        <w:t xml:space="preserve">Structure </w:t>
      </w:r>
      <w:r w:rsidRPr="000E5825">
        <w:rPr>
          <w:rFonts w:ascii="Arial-BoldMT" w:hAnsi="Arial-BoldMT" w:cs="Arial-BoldMT"/>
          <w:bCs/>
          <w:color w:val="FF0000"/>
          <w:sz w:val="24"/>
          <w:szCs w:val="24"/>
          <w:u w:val="single"/>
          <w:lang w:val="en-US" w:eastAsia="zh-CN"/>
        </w:rPr>
        <w:t xml:space="preserve">Start Time subfield indicates the lower 4 octets of the TSF timer at the start of the first </w:t>
      </w:r>
      <w:r>
        <w:rPr>
          <w:rFonts w:ascii="Arial-BoldMT" w:hAnsi="Arial-BoldMT" w:cs="Arial-BoldMT"/>
          <w:bCs/>
          <w:color w:val="FF0000"/>
          <w:sz w:val="24"/>
          <w:szCs w:val="24"/>
          <w:u w:val="single"/>
          <w:lang w:val="en-US" w:eastAsia="zh-CN"/>
        </w:rPr>
        <w:t>TDD SP in which the slot structure</w:t>
      </w:r>
      <w:r w:rsidRPr="000E5825">
        <w:rPr>
          <w:rFonts w:ascii="Arial-BoldMT" w:hAnsi="Arial-BoldMT" w:cs="Arial-BoldMT"/>
          <w:bCs/>
          <w:color w:val="FF0000"/>
          <w:sz w:val="24"/>
          <w:szCs w:val="24"/>
          <w:u w:val="single"/>
          <w:lang w:val="en-US" w:eastAsia="zh-CN"/>
        </w:rPr>
        <w:t xml:space="preserve"> take</w:t>
      </w:r>
      <w:r>
        <w:rPr>
          <w:rFonts w:ascii="Arial-BoldMT" w:hAnsi="Arial-BoldMT" w:cs="Arial-BoldMT"/>
          <w:bCs/>
          <w:color w:val="FF0000"/>
          <w:sz w:val="24"/>
          <w:szCs w:val="24"/>
          <w:u w:val="single"/>
          <w:lang w:val="en-US" w:eastAsia="zh-CN"/>
        </w:rPr>
        <w:t>s</w:t>
      </w:r>
      <w:r w:rsidRPr="000E5825">
        <w:rPr>
          <w:rFonts w:ascii="Arial-BoldMT" w:hAnsi="Arial-BoldMT" w:cs="Arial-BoldMT"/>
          <w:bCs/>
          <w:color w:val="FF0000"/>
          <w:sz w:val="24"/>
          <w:szCs w:val="24"/>
          <w:u w:val="single"/>
          <w:lang w:val="en-US" w:eastAsia="zh-CN"/>
        </w:rPr>
        <w:t xml:space="preserve"> effect.</w:t>
      </w:r>
    </w:p>
    <w:p w14:paraId="6DE9B376" w14:textId="77777777" w:rsidR="0063701C"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2353DED8" w14:textId="165494E0" w:rsidR="0063199E" w:rsidRPr="000E5825" w:rsidRDefault="0063199E" w:rsidP="0063199E">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The Allocation Block Duration field indicates the durat</w:t>
      </w:r>
      <w:r w:rsidR="003648E2">
        <w:rPr>
          <w:rFonts w:ascii="Arial-BoldMT" w:hAnsi="Arial-BoldMT" w:cs="Arial-BoldMT"/>
          <w:bCs/>
          <w:color w:val="FF0000"/>
          <w:sz w:val="24"/>
          <w:szCs w:val="24"/>
          <w:u w:val="single"/>
          <w:lang w:val="en-US" w:eastAsia="zh-CN"/>
        </w:rPr>
        <w:t xml:space="preserve">ion, in microseconds, of </w:t>
      </w:r>
      <w:r w:rsidR="0091379F">
        <w:rPr>
          <w:rFonts w:ascii="Arial-BoldMT" w:hAnsi="Arial-BoldMT" w:cs="Arial-BoldMT"/>
          <w:bCs/>
          <w:color w:val="FF0000"/>
          <w:sz w:val="24"/>
          <w:szCs w:val="24"/>
          <w:u w:val="single"/>
          <w:lang w:val="en-US" w:eastAsia="zh-CN"/>
        </w:rPr>
        <w:t>the SP</w:t>
      </w:r>
      <w:r w:rsidRPr="000E5825">
        <w:rPr>
          <w:rFonts w:ascii="Arial-BoldMT" w:hAnsi="Arial-BoldMT" w:cs="Arial-BoldMT"/>
          <w:bCs/>
          <w:color w:val="FF0000"/>
          <w:sz w:val="24"/>
          <w:szCs w:val="24"/>
          <w:u w:val="single"/>
          <w:lang w:val="en-US" w:eastAsia="zh-CN"/>
        </w:rPr>
        <w:t>.</w:t>
      </w:r>
    </w:p>
    <w:p w14:paraId="6398C50E" w14:textId="77777777" w:rsidR="0063199E" w:rsidRPr="000E5825" w:rsidRDefault="0063199E" w:rsidP="0063199E">
      <w:pPr>
        <w:widowControl w:val="0"/>
        <w:autoSpaceDE w:val="0"/>
        <w:autoSpaceDN w:val="0"/>
        <w:adjustRightInd w:val="0"/>
        <w:rPr>
          <w:rFonts w:ascii="Arial-BoldMT" w:hAnsi="Arial-BoldMT" w:cs="Arial-BoldMT"/>
          <w:bCs/>
          <w:color w:val="FF0000"/>
          <w:sz w:val="24"/>
          <w:szCs w:val="24"/>
          <w:u w:val="single"/>
          <w:lang w:val="en-US" w:eastAsia="zh-CN"/>
        </w:rPr>
      </w:pPr>
    </w:p>
    <w:p w14:paraId="22D0121E" w14:textId="62DF5469" w:rsidR="0063199E" w:rsidRPr="000E5825" w:rsidRDefault="0063199E" w:rsidP="0063199E">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The Slot Schedule field is defined in Figure 9-xxx3.</w:t>
      </w:r>
      <w:r>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The </w:t>
      </w:r>
      <w:r>
        <w:rPr>
          <w:rFonts w:ascii="Arial-BoldMT" w:hAnsi="Arial-BoldMT" w:cs="Arial-BoldMT"/>
          <w:bCs/>
          <w:color w:val="FF0000"/>
          <w:sz w:val="24"/>
          <w:szCs w:val="24"/>
          <w:u w:val="single"/>
          <w:lang w:val="en-US" w:eastAsia="zh-CN"/>
        </w:rPr>
        <w:t>size of this field in octets</w:t>
      </w:r>
      <w:r w:rsidR="00116260">
        <w:rPr>
          <w:rFonts w:ascii="Arial-BoldMT" w:hAnsi="Arial-BoldMT" w:cs="Arial-BoldMT"/>
          <w:bCs/>
          <w:color w:val="FF0000"/>
          <w:sz w:val="24"/>
          <w:szCs w:val="24"/>
          <w:u w:val="single"/>
          <w:lang w:val="en-US" w:eastAsia="zh-CN"/>
        </w:rPr>
        <w:t xml:space="preserve">, </w:t>
      </w:r>
      <w:r w:rsidR="00116260" w:rsidRPr="00116260">
        <w:rPr>
          <w:rFonts w:ascii="Arial-BoldMT" w:hAnsi="Arial-BoldMT" w:cs="Arial-BoldMT"/>
          <w:bCs/>
          <w:i/>
          <w:color w:val="FF0000"/>
          <w:sz w:val="24"/>
          <w:szCs w:val="24"/>
          <w:u w:val="single"/>
          <w:lang w:val="en-US" w:eastAsia="zh-CN"/>
        </w:rPr>
        <w:t>M</w:t>
      </w:r>
      <w:r w:rsidR="00116260">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is </w:t>
      </w:r>
      <w:r w:rsidRPr="000E5825">
        <w:rPr>
          <w:rFonts w:ascii="Arial-BoldMT" w:hAnsi="Arial-BoldMT" w:cs="Arial-BoldMT"/>
          <w:bCs/>
          <w:color w:val="FF0000"/>
          <w:sz w:val="24"/>
          <w:szCs w:val="24"/>
          <w:u w:val="single"/>
          <w:lang w:val="en-US" w:eastAsia="zh-CN"/>
        </w:rPr>
        <w:t xml:space="preserve">equal to the </w:t>
      </w:r>
      <w:r w:rsidR="009F37AC">
        <w:rPr>
          <w:rFonts w:ascii="Arial-BoldMT" w:hAnsi="Arial-BoldMT" w:cs="Arial-BoldMT"/>
          <w:bCs/>
          <w:color w:val="FF0000"/>
          <w:sz w:val="24"/>
          <w:szCs w:val="24"/>
          <w:u w:val="single"/>
          <w:lang w:val="en-US" w:eastAsia="zh-CN"/>
        </w:rPr>
        <w:t>value of the N</w:t>
      </w:r>
      <w:r w:rsidRPr="000E5825">
        <w:rPr>
          <w:rFonts w:ascii="Arial-BoldMT" w:hAnsi="Arial-BoldMT" w:cs="Arial-BoldMT"/>
          <w:bCs/>
          <w:color w:val="FF0000"/>
          <w:sz w:val="24"/>
          <w:szCs w:val="24"/>
          <w:u w:val="single"/>
          <w:lang w:val="en-US" w:eastAsia="zh-CN"/>
        </w:rPr>
        <w:t xml:space="preserve">umber of </w:t>
      </w:r>
      <w:r w:rsidR="001850B4">
        <w:rPr>
          <w:rFonts w:ascii="Arial-BoldMT" w:hAnsi="Arial-BoldMT" w:cs="Arial-BoldMT"/>
          <w:bCs/>
          <w:color w:val="FF0000"/>
          <w:sz w:val="24"/>
          <w:szCs w:val="24"/>
          <w:u w:val="single"/>
          <w:lang w:val="en-US" w:eastAsia="zh-CN"/>
        </w:rPr>
        <w:t xml:space="preserve">TDD </w:t>
      </w:r>
      <w:r w:rsidR="009F37AC">
        <w:rPr>
          <w:rFonts w:ascii="Arial-BoldMT" w:hAnsi="Arial-BoldMT" w:cs="Arial-BoldMT"/>
          <w:bCs/>
          <w:color w:val="FF0000"/>
          <w:sz w:val="24"/>
          <w:szCs w:val="24"/>
          <w:u w:val="single"/>
          <w:lang w:val="en-US" w:eastAsia="zh-CN"/>
        </w:rPr>
        <w:t>S</w:t>
      </w:r>
      <w:r w:rsidR="001850B4">
        <w:rPr>
          <w:rFonts w:ascii="Arial-BoldMT" w:hAnsi="Arial-BoldMT" w:cs="Arial-BoldMT"/>
          <w:bCs/>
          <w:color w:val="FF0000"/>
          <w:sz w:val="24"/>
          <w:szCs w:val="24"/>
          <w:u w:val="single"/>
          <w:lang w:val="en-US" w:eastAsia="zh-CN"/>
        </w:rPr>
        <w:t>lot</w:t>
      </w:r>
      <w:r w:rsidRPr="000E5825">
        <w:rPr>
          <w:rFonts w:ascii="Arial-BoldMT" w:hAnsi="Arial-BoldMT" w:cs="Arial-BoldMT"/>
          <w:bCs/>
          <w:color w:val="FF0000"/>
          <w:sz w:val="24"/>
          <w:szCs w:val="24"/>
          <w:u w:val="single"/>
          <w:lang w:val="en-US" w:eastAsia="zh-CN"/>
        </w:rPr>
        <w:t xml:space="preserve">s per TDD </w:t>
      </w:r>
      <w:r w:rsidR="009F37AC">
        <w:rPr>
          <w:rFonts w:ascii="Arial-BoldMT" w:hAnsi="Arial-BoldMT" w:cs="Arial-BoldMT"/>
          <w:bCs/>
          <w:color w:val="FF0000"/>
          <w:sz w:val="24"/>
          <w:szCs w:val="24"/>
          <w:u w:val="single"/>
          <w:lang w:val="en-US" w:eastAsia="zh-CN"/>
        </w:rPr>
        <w:t>I</w:t>
      </w:r>
      <w:r w:rsidR="00DF5CE4">
        <w:rPr>
          <w:rFonts w:ascii="Arial-BoldMT" w:hAnsi="Arial-BoldMT" w:cs="Arial-BoldMT"/>
          <w:bCs/>
          <w:color w:val="FF0000"/>
          <w:sz w:val="24"/>
          <w:szCs w:val="24"/>
          <w:u w:val="single"/>
          <w:lang w:val="en-US" w:eastAsia="zh-CN"/>
        </w:rPr>
        <w:t>nterval</w:t>
      </w:r>
      <w:r w:rsidR="00DF5CE4" w:rsidRPr="000E5825">
        <w:rPr>
          <w:rFonts w:ascii="Arial-BoldMT" w:hAnsi="Arial-BoldMT" w:cs="Arial-BoldMT"/>
          <w:bCs/>
          <w:color w:val="FF0000"/>
          <w:sz w:val="24"/>
          <w:szCs w:val="24"/>
          <w:u w:val="single"/>
          <w:lang w:val="en-US" w:eastAsia="zh-CN"/>
        </w:rPr>
        <w:t xml:space="preserve"> </w:t>
      </w:r>
      <w:r w:rsidR="009F37AC">
        <w:rPr>
          <w:rFonts w:ascii="Arial-BoldMT" w:hAnsi="Arial-BoldMT" w:cs="Arial-BoldMT"/>
          <w:bCs/>
          <w:color w:val="FF0000"/>
          <w:sz w:val="24"/>
          <w:szCs w:val="24"/>
          <w:u w:val="single"/>
          <w:lang w:val="en-US" w:eastAsia="zh-CN"/>
        </w:rPr>
        <w:t xml:space="preserve">subfield </w:t>
      </w:r>
      <w:r>
        <w:rPr>
          <w:rFonts w:ascii="Arial-BoldMT" w:hAnsi="Arial-BoldMT" w:cs="Arial-BoldMT"/>
          <w:bCs/>
          <w:color w:val="FF0000"/>
          <w:sz w:val="24"/>
          <w:szCs w:val="24"/>
          <w:u w:val="single"/>
          <w:lang w:val="en-US" w:eastAsia="zh-CN"/>
        </w:rPr>
        <w:t xml:space="preserve">(see </w:t>
      </w:r>
      <w:r w:rsidRPr="000E5825">
        <w:rPr>
          <w:rFonts w:ascii="Arial-BoldMT" w:hAnsi="Arial-BoldMT" w:cs="Arial-BoldMT"/>
          <w:bCs/>
          <w:color w:val="FF0000"/>
          <w:sz w:val="24"/>
          <w:szCs w:val="24"/>
          <w:u w:val="single"/>
          <w:lang w:val="en-US" w:eastAsia="zh-CN"/>
        </w:rPr>
        <w:t>Figure 9-</w:t>
      </w:r>
      <w:r w:rsidRPr="000E5825">
        <w:rPr>
          <w:rFonts w:ascii="Arial-BoldMT" w:hAnsi="Arial-BoldMT" w:cs="Arial-BoldMT"/>
          <w:bCs/>
          <w:color w:val="FF0000"/>
          <w:sz w:val="24"/>
          <w:szCs w:val="24"/>
          <w:u w:val="single"/>
          <w:lang w:val="en-US" w:eastAsia="zh-CN"/>
        </w:rPr>
        <w:lastRenderedPageBreak/>
        <w:t>xxx2</w:t>
      </w:r>
      <w:r>
        <w:rPr>
          <w:rFonts w:ascii="Arial-BoldMT" w:hAnsi="Arial-BoldMT" w:cs="Arial-BoldMT"/>
          <w:bCs/>
          <w:color w:val="FF0000"/>
          <w:sz w:val="24"/>
          <w:szCs w:val="24"/>
          <w:u w:val="single"/>
          <w:lang w:val="en-US" w:eastAsia="zh-CN"/>
        </w:rPr>
        <w:t>)</w:t>
      </w:r>
      <w:r w:rsidRPr="000E5825">
        <w:rPr>
          <w:rFonts w:ascii="Arial-BoldMT" w:hAnsi="Arial-BoldMT" w:cs="Arial-BoldMT"/>
          <w:bCs/>
          <w:color w:val="FF0000"/>
          <w:sz w:val="24"/>
          <w:szCs w:val="24"/>
          <w:u w:val="single"/>
          <w:lang w:val="en-US" w:eastAsia="zh-CN"/>
        </w:rPr>
        <w:t>.</w:t>
      </w:r>
    </w:p>
    <w:p w14:paraId="3996A882"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tbl>
      <w:tblPr>
        <w:tblW w:w="1818" w:type="pct"/>
        <w:jc w:val="center"/>
        <w:tblLook w:val="04A0" w:firstRow="1" w:lastRow="0" w:firstColumn="1" w:lastColumn="0" w:noHBand="0" w:noVBand="1"/>
      </w:tblPr>
      <w:tblGrid>
        <w:gridCol w:w="678"/>
        <w:gridCol w:w="915"/>
        <w:gridCol w:w="914"/>
        <w:gridCol w:w="894"/>
      </w:tblGrid>
      <w:tr w:rsidR="0063701C" w:rsidRPr="000E5825" w14:paraId="0AC81C58" w14:textId="77777777" w:rsidTr="00055ACF">
        <w:trPr>
          <w:jc w:val="center"/>
        </w:trPr>
        <w:tc>
          <w:tcPr>
            <w:tcW w:w="996" w:type="pct"/>
            <w:tcBorders>
              <w:right w:val="single" w:sz="4" w:space="0" w:color="auto"/>
            </w:tcBorders>
            <w:shd w:val="clear" w:color="auto" w:fill="auto"/>
          </w:tcPr>
          <w:p w14:paraId="63CB59C4" w14:textId="77777777" w:rsidR="0063701C" w:rsidRPr="000E5825" w:rsidRDefault="0063701C" w:rsidP="00055ACF">
            <w:pPr>
              <w:pStyle w:val="IEEEStdsTableData-Center"/>
              <w:rPr>
                <w:color w:val="FF0000"/>
                <w:u w:val="single"/>
              </w:rPr>
            </w:pPr>
          </w:p>
        </w:tc>
        <w:tc>
          <w:tcPr>
            <w:tcW w:w="1345" w:type="pct"/>
            <w:tcBorders>
              <w:top w:val="single" w:sz="4" w:space="0" w:color="auto"/>
              <w:bottom w:val="single" w:sz="4" w:space="0" w:color="auto"/>
              <w:right w:val="single" w:sz="4" w:space="0" w:color="auto"/>
            </w:tcBorders>
          </w:tcPr>
          <w:p w14:paraId="0B3FAC8B" w14:textId="6D1D2CCC" w:rsidR="0063701C" w:rsidRPr="000E5825" w:rsidRDefault="001850B4" w:rsidP="00055ACF">
            <w:pPr>
              <w:pStyle w:val="IEEEStdsTableData-Center"/>
              <w:rPr>
                <w:color w:val="FF0000"/>
                <w:u w:val="single"/>
              </w:rPr>
            </w:pPr>
            <w:r>
              <w:rPr>
                <w:color w:val="FF0000"/>
                <w:u w:val="single"/>
              </w:rPr>
              <w:t>TDD slot</w:t>
            </w:r>
            <w:r w:rsidR="0063701C" w:rsidRPr="000E5825">
              <w:rPr>
                <w:color w:val="FF0000"/>
                <w:u w:val="single"/>
              </w:rPr>
              <w:t xml:space="preserve"> 1 Duration</w:t>
            </w:r>
          </w:p>
        </w:tc>
        <w:tc>
          <w:tcPr>
            <w:tcW w:w="1343" w:type="pct"/>
            <w:tcBorders>
              <w:top w:val="single" w:sz="4" w:space="0" w:color="auto"/>
              <w:left w:val="single" w:sz="4" w:space="0" w:color="auto"/>
              <w:bottom w:val="single" w:sz="4" w:space="0" w:color="auto"/>
              <w:right w:val="single" w:sz="4" w:space="0" w:color="auto"/>
            </w:tcBorders>
          </w:tcPr>
          <w:p w14:paraId="24CAF909" w14:textId="77777777" w:rsidR="0063701C" w:rsidRPr="000E5825" w:rsidRDefault="0063701C" w:rsidP="00055ACF">
            <w:pPr>
              <w:pStyle w:val="IEEEStdsTableData-Center"/>
              <w:rPr>
                <w:color w:val="FF0000"/>
                <w:u w:val="single"/>
              </w:rPr>
            </w:pPr>
            <w:r w:rsidRPr="000E5825">
              <w:rPr>
                <w:color w:val="FF0000"/>
                <w:u w:val="single"/>
              </w:rPr>
              <w:t>…</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19C08C03" w14:textId="70C826A3" w:rsidR="0063701C" w:rsidRPr="000E5825" w:rsidRDefault="001850B4" w:rsidP="00055ACF">
            <w:pPr>
              <w:pStyle w:val="IEEEStdsTableData-Center"/>
              <w:rPr>
                <w:color w:val="FF0000"/>
                <w:u w:val="single"/>
              </w:rPr>
            </w:pPr>
            <w:r>
              <w:rPr>
                <w:color w:val="FF0000"/>
                <w:u w:val="single"/>
              </w:rPr>
              <w:t>TDD slot</w:t>
            </w:r>
            <w:r w:rsidR="0063701C" w:rsidRPr="000E5825">
              <w:rPr>
                <w:color w:val="FF0000"/>
                <w:u w:val="single"/>
              </w:rPr>
              <w:t xml:space="preserve"> M Duration</w:t>
            </w:r>
          </w:p>
        </w:tc>
      </w:tr>
      <w:tr w:rsidR="0063701C" w:rsidRPr="000E5825" w14:paraId="1360B910" w14:textId="77777777" w:rsidTr="00055ACF">
        <w:trPr>
          <w:jc w:val="center"/>
        </w:trPr>
        <w:tc>
          <w:tcPr>
            <w:tcW w:w="996" w:type="pct"/>
            <w:shd w:val="clear" w:color="auto" w:fill="auto"/>
          </w:tcPr>
          <w:p w14:paraId="39F419DC" w14:textId="77777777" w:rsidR="0063701C" w:rsidRPr="000E5825" w:rsidRDefault="0063701C" w:rsidP="00055ACF">
            <w:pPr>
              <w:pStyle w:val="IEEEStdsTableData-Center"/>
              <w:rPr>
                <w:color w:val="FF0000"/>
                <w:u w:val="single"/>
              </w:rPr>
            </w:pPr>
            <w:r w:rsidRPr="000E5825">
              <w:rPr>
                <w:color w:val="FF0000"/>
                <w:u w:val="single"/>
              </w:rPr>
              <w:t>Bits</w:t>
            </w:r>
          </w:p>
        </w:tc>
        <w:tc>
          <w:tcPr>
            <w:tcW w:w="1345" w:type="pct"/>
            <w:tcBorders>
              <w:top w:val="single" w:sz="4" w:space="0" w:color="auto"/>
            </w:tcBorders>
          </w:tcPr>
          <w:p w14:paraId="6490E81C" w14:textId="77777777" w:rsidR="0063701C" w:rsidRPr="000E5825" w:rsidRDefault="0063701C" w:rsidP="00055ACF">
            <w:pPr>
              <w:pStyle w:val="IEEEStdsTableData-Center"/>
              <w:rPr>
                <w:color w:val="FF0000"/>
                <w:u w:val="single"/>
              </w:rPr>
            </w:pPr>
            <w:r w:rsidRPr="000E5825">
              <w:rPr>
                <w:color w:val="FF0000"/>
                <w:u w:val="single"/>
              </w:rPr>
              <w:t>8</w:t>
            </w:r>
          </w:p>
        </w:tc>
        <w:tc>
          <w:tcPr>
            <w:tcW w:w="1343" w:type="pct"/>
            <w:tcBorders>
              <w:top w:val="single" w:sz="4" w:space="0" w:color="auto"/>
            </w:tcBorders>
          </w:tcPr>
          <w:p w14:paraId="26255630" w14:textId="77777777" w:rsidR="0063701C" w:rsidRPr="000E5825" w:rsidRDefault="0063701C" w:rsidP="00055ACF">
            <w:pPr>
              <w:pStyle w:val="IEEEStdsTableData-Center"/>
              <w:rPr>
                <w:color w:val="FF0000"/>
                <w:u w:val="single"/>
              </w:rPr>
            </w:pPr>
            <w:r w:rsidRPr="000E5825">
              <w:rPr>
                <w:color w:val="FF0000"/>
                <w:u w:val="single"/>
              </w:rPr>
              <w:t>8</w:t>
            </w:r>
          </w:p>
        </w:tc>
        <w:tc>
          <w:tcPr>
            <w:tcW w:w="1315" w:type="pct"/>
            <w:tcBorders>
              <w:top w:val="single" w:sz="4" w:space="0" w:color="auto"/>
            </w:tcBorders>
            <w:shd w:val="clear" w:color="auto" w:fill="auto"/>
          </w:tcPr>
          <w:p w14:paraId="01682504" w14:textId="77777777" w:rsidR="0063701C" w:rsidRPr="000E5825" w:rsidRDefault="0063701C" w:rsidP="00055ACF">
            <w:pPr>
              <w:pStyle w:val="IEEEStdsTableData-Center"/>
              <w:rPr>
                <w:color w:val="FF0000"/>
                <w:u w:val="single"/>
              </w:rPr>
            </w:pPr>
            <w:r w:rsidRPr="000E5825">
              <w:rPr>
                <w:color w:val="FF0000"/>
                <w:u w:val="single"/>
              </w:rPr>
              <w:t>8</w:t>
            </w:r>
          </w:p>
        </w:tc>
      </w:tr>
    </w:tbl>
    <w:p w14:paraId="00A84D8B" w14:textId="7E03DC89" w:rsidR="0063701C" w:rsidRPr="000E5825"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0E5825">
        <w:rPr>
          <w:rFonts w:ascii="Arial-BoldMT" w:hAnsi="Arial-BoldMT" w:cs="Arial-BoldMT" w:hint="eastAsia"/>
          <w:b/>
          <w:bCs/>
          <w:color w:val="FF0000"/>
          <w:sz w:val="20"/>
          <w:u w:val="single"/>
          <w:lang w:val="en-US" w:eastAsia="zh-CN"/>
        </w:rPr>
        <w:t>Figure</w:t>
      </w:r>
      <w:r w:rsidRPr="000E5825">
        <w:rPr>
          <w:rFonts w:ascii="Arial-BoldMT" w:hAnsi="Arial-BoldMT" w:cs="Arial-BoldMT"/>
          <w:b/>
          <w:bCs/>
          <w:color w:val="FF0000"/>
          <w:sz w:val="20"/>
          <w:u w:val="single"/>
          <w:lang w:val="en-US" w:eastAsia="zh-CN"/>
        </w:rPr>
        <w:t xml:space="preserve"> 9-xxx3--- Slot Schedule field format</w:t>
      </w:r>
    </w:p>
    <w:p w14:paraId="53B38B59"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29F5C038" w14:textId="21699980" w:rsidR="0063701C" w:rsidRPr="000E5825" w:rsidRDefault="00DF5CE4" w:rsidP="0063701C">
      <w:pPr>
        <w:widowControl w:val="0"/>
        <w:autoSpaceDE w:val="0"/>
        <w:autoSpaceDN w:val="0"/>
        <w:adjustRightInd w:val="0"/>
        <w:rPr>
          <w:rFonts w:ascii="Arial-BoldMT" w:hAnsi="Arial-BoldMT" w:cs="Arial-BoldMT"/>
          <w:bCs/>
          <w:color w:val="FF0000"/>
          <w:sz w:val="24"/>
          <w:szCs w:val="24"/>
          <w:u w:val="single"/>
          <w:lang w:val="en-US" w:eastAsia="zh-CN"/>
        </w:rPr>
      </w:pPr>
      <w:r>
        <w:rPr>
          <w:rFonts w:ascii="Arial-BoldMT" w:hAnsi="Arial-BoldMT" w:cs="Arial-BoldMT"/>
          <w:bCs/>
          <w:color w:val="FF0000"/>
          <w:sz w:val="24"/>
          <w:szCs w:val="24"/>
          <w:u w:val="single"/>
          <w:lang w:val="en-US" w:eastAsia="zh-CN"/>
        </w:rPr>
        <w:t>The</w:t>
      </w:r>
      <w:r w:rsidRPr="000E5825">
        <w:rPr>
          <w:rFonts w:ascii="Arial-BoldMT" w:hAnsi="Arial-BoldMT" w:cs="Arial-BoldMT" w:hint="eastAsia"/>
          <w:bCs/>
          <w:color w:val="FF0000"/>
          <w:sz w:val="24"/>
          <w:szCs w:val="24"/>
          <w:u w:val="single"/>
          <w:lang w:val="en-US" w:eastAsia="zh-CN"/>
        </w:rPr>
        <w:t xml:space="preserve"> </w:t>
      </w:r>
      <w:r w:rsidR="001850B4">
        <w:rPr>
          <w:rFonts w:ascii="Arial-BoldMT" w:hAnsi="Arial-BoldMT" w:cs="Arial-BoldMT"/>
          <w:bCs/>
          <w:color w:val="FF0000"/>
          <w:sz w:val="24"/>
          <w:szCs w:val="24"/>
          <w:u w:val="single"/>
          <w:lang w:val="en-US" w:eastAsia="zh-CN"/>
        </w:rPr>
        <w:t>TDD slot</w:t>
      </w:r>
      <w:r w:rsidR="0063701C" w:rsidRPr="000E5825">
        <w:rPr>
          <w:rFonts w:ascii="Arial-BoldMT" w:hAnsi="Arial-BoldMT" w:cs="Arial-BoldMT"/>
          <w:bCs/>
          <w:color w:val="FF0000"/>
          <w:sz w:val="24"/>
          <w:szCs w:val="24"/>
          <w:u w:val="single"/>
          <w:lang w:val="en-US" w:eastAsia="zh-CN"/>
        </w:rPr>
        <w:t xml:space="preserve"> </w:t>
      </w:r>
      <w:r w:rsidR="0063701C" w:rsidRPr="00DB0401">
        <w:rPr>
          <w:rFonts w:ascii="Arial-BoldMT" w:hAnsi="Arial-BoldMT" w:cs="Arial-BoldMT" w:hint="eastAsia"/>
          <w:bCs/>
          <w:i/>
          <w:color w:val="FF0000"/>
          <w:sz w:val="24"/>
          <w:szCs w:val="24"/>
          <w:u w:val="single"/>
          <w:lang w:val="en-US" w:eastAsia="zh-CN"/>
        </w:rPr>
        <w:t>i</w:t>
      </w:r>
      <w:r w:rsidR="0063701C" w:rsidRPr="000E5825">
        <w:rPr>
          <w:rFonts w:ascii="Arial-BoldMT" w:hAnsi="Arial-BoldMT" w:cs="Arial-BoldMT"/>
          <w:bCs/>
          <w:color w:val="FF0000"/>
          <w:sz w:val="24"/>
          <w:szCs w:val="24"/>
          <w:u w:val="single"/>
          <w:lang w:val="en-US" w:eastAsia="zh-CN"/>
        </w:rPr>
        <w:t xml:space="preserve"> </w:t>
      </w:r>
      <w:r w:rsidR="0063199E">
        <w:rPr>
          <w:rFonts w:ascii="Arial-BoldMT" w:hAnsi="Arial-BoldMT" w:cs="Arial-BoldMT"/>
          <w:bCs/>
          <w:color w:val="FF0000"/>
          <w:sz w:val="24"/>
          <w:szCs w:val="24"/>
          <w:u w:val="single"/>
          <w:lang w:val="en-US" w:eastAsia="zh-CN"/>
        </w:rPr>
        <w:t xml:space="preserve">Duration </w:t>
      </w:r>
      <w:r w:rsidR="0063701C" w:rsidRPr="000E5825">
        <w:rPr>
          <w:rFonts w:ascii="Arial-BoldMT" w:hAnsi="Arial-BoldMT" w:cs="Arial-BoldMT"/>
          <w:bCs/>
          <w:color w:val="FF0000"/>
          <w:sz w:val="24"/>
          <w:szCs w:val="24"/>
          <w:u w:val="single"/>
          <w:lang w:val="en-US" w:eastAsia="zh-CN"/>
        </w:rPr>
        <w:t>subfield</w:t>
      </w:r>
      <w:r w:rsidR="0063199E">
        <w:rPr>
          <w:rFonts w:ascii="Arial-BoldMT" w:hAnsi="Arial-BoldMT" w:cs="Arial-BoldMT"/>
          <w:bCs/>
          <w:color w:val="FF0000"/>
          <w:sz w:val="24"/>
          <w:szCs w:val="24"/>
          <w:u w:val="single"/>
          <w:lang w:val="en-US" w:eastAsia="zh-CN"/>
        </w:rPr>
        <w:t xml:space="preserve">, 1 </w:t>
      </w:r>
      <w:r w:rsidR="0063199E">
        <w:rPr>
          <w:bCs/>
          <w:color w:val="FF0000"/>
          <w:sz w:val="24"/>
          <w:szCs w:val="24"/>
          <w:u w:val="single"/>
          <w:lang w:val="en-US" w:eastAsia="zh-CN"/>
        </w:rPr>
        <w:t>≤</w:t>
      </w:r>
      <w:r w:rsidR="0063199E">
        <w:rPr>
          <w:rFonts w:ascii="Arial-BoldMT" w:hAnsi="Arial-BoldMT" w:cs="Arial-BoldMT"/>
          <w:bCs/>
          <w:color w:val="FF0000"/>
          <w:sz w:val="24"/>
          <w:szCs w:val="24"/>
          <w:u w:val="single"/>
          <w:lang w:val="en-US" w:eastAsia="zh-CN"/>
        </w:rPr>
        <w:t xml:space="preserve"> </w:t>
      </w:r>
      <w:r w:rsidR="0063199E" w:rsidRPr="00DB0401">
        <w:rPr>
          <w:rFonts w:ascii="Arial-BoldMT" w:hAnsi="Arial-BoldMT" w:cs="Arial-BoldMT" w:hint="eastAsia"/>
          <w:bCs/>
          <w:i/>
          <w:color w:val="FF0000"/>
          <w:sz w:val="24"/>
          <w:szCs w:val="24"/>
          <w:u w:val="single"/>
          <w:lang w:val="en-US" w:eastAsia="zh-CN"/>
        </w:rPr>
        <w:t>i</w:t>
      </w:r>
      <w:r w:rsidR="0063199E">
        <w:rPr>
          <w:rFonts w:ascii="Arial-BoldMT" w:hAnsi="Arial-BoldMT" w:cs="Arial-BoldMT"/>
          <w:bCs/>
          <w:color w:val="FF0000"/>
          <w:sz w:val="24"/>
          <w:szCs w:val="24"/>
          <w:u w:val="single"/>
          <w:lang w:val="en-US" w:eastAsia="zh-CN"/>
        </w:rPr>
        <w:t xml:space="preserve"> </w:t>
      </w:r>
      <w:r w:rsidR="0063199E">
        <w:rPr>
          <w:bCs/>
          <w:color w:val="FF0000"/>
          <w:sz w:val="24"/>
          <w:szCs w:val="24"/>
          <w:u w:val="single"/>
          <w:lang w:val="en-US" w:eastAsia="zh-CN"/>
        </w:rPr>
        <w:t xml:space="preserve">≤ </w:t>
      </w:r>
      <w:r w:rsidR="0063199E" w:rsidRPr="00DB0401">
        <w:rPr>
          <w:rFonts w:ascii="Arial-BoldMT" w:hAnsi="Arial-BoldMT" w:cs="Arial-BoldMT" w:hint="eastAsia"/>
          <w:bCs/>
          <w:i/>
          <w:color w:val="FF0000"/>
          <w:sz w:val="24"/>
          <w:szCs w:val="24"/>
          <w:u w:val="single"/>
          <w:lang w:val="en-US" w:eastAsia="zh-CN"/>
        </w:rPr>
        <w:t>M</w:t>
      </w:r>
      <w:r w:rsidR="0063199E">
        <w:rPr>
          <w:rFonts w:ascii="Arial-BoldMT" w:hAnsi="Arial-BoldMT" w:cs="Arial-BoldMT"/>
          <w:bCs/>
          <w:color w:val="FF0000"/>
          <w:sz w:val="24"/>
          <w:szCs w:val="24"/>
          <w:u w:val="single"/>
          <w:lang w:val="en-US" w:eastAsia="zh-CN"/>
        </w:rPr>
        <w:t>,</w:t>
      </w:r>
      <w:r w:rsidR="0063701C" w:rsidRPr="000E5825">
        <w:rPr>
          <w:rFonts w:ascii="Arial-BoldMT" w:hAnsi="Arial-BoldMT" w:cs="Arial-BoldMT"/>
          <w:bCs/>
          <w:color w:val="FF0000"/>
          <w:sz w:val="24"/>
          <w:szCs w:val="24"/>
          <w:u w:val="single"/>
          <w:lang w:val="en-US" w:eastAsia="zh-CN"/>
        </w:rPr>
        <w:t xml:space="preserve"> indicates the duration, in microseconds, of the </w:t>
      </w:r>
      <w:proofErr w:type="spellStart"/>
      <w:r w:rsidR="0063701C" w:rsidRPr="000E5825">
        <w:rPr>
          <w:rFonts w:ascii="Arial-BoldMT" w:hAnsi="Arial-BoldMT" w:cs="Arial-BoldMT"/>
          <w:bCs/>
          <w:color w:val="FF0000"/>
          <w:sz w:val="24"/>
          <w:szCs w:val="24"/>
          <w:u w:val="single"/>
          <w:lang w:val="en-US" w:eastAsia="zh-CN"/>
        </w:rPr>
        <w:t>i</w:t>
      </w:r>
      <w:r w:rsidR="0063701C" w:rsidRPr="00DB0401">
        <w:rPr>
          <w:rFonts w:ascii="Arial-BoldMT" w:hAnsi="Arial-BoldMT" w:cs="Arial-BoldMT" w:hint="eastAsia"/>
          <w:bCs/>
          <w:color w:val="FF0000"/>
          <w:sz w:val="24"/>
          <w:szCs w:val="24"/>
          <w:u w:val="single"/>
          <w:vertAlign w:val="superscript"/>
          <w:lang w:val="en-US" w:eastAsia="zh-CN"/>
        </w:rPr>
        <w:t>th</w:t>
      </w:r>
      <w:proofErr w:type="spellEnd"/>
      <w:r w:rsidR="0063701C" w:rsidRPr="000E5825">
        <w:rPr>
          <w:rFonts w:ascii="Arial-BoldMT" w:hAnsi="Arial-BoldMT" w:cs="Arial-BoldMT"/>
          <w:bCs/>
          <w:color w:val="FF0000"/>
          <w:sz w:val="24"/>
          <w:szCs w:val="24"/>
          <w:u w:val="single"/>
          <w:lang w:val="en-US" w:eastAsia="zh-CN"/>
        </w:rPr>
        <w:t xml:space="preserve"> </w:t>
      </w:r>
      <w:r w:rsidR="001850B4">
        <w:rPr>
          <w:rFonts w:ascii="Arial-BoldMT" w:hAnsi="Arial-BoldMT" w:cs="Arial-BoldMT"/>
          <w:bCs/>
          <w:color w:val="FF0000"/>
          <w:sz w:val="24"/>
          <w:szCs w:val="24"/>
          <w:u w:val="single"/>
          <w:lang w:val="en-US" w:eastAsia="zh-CN"/>
        </w:rPr>
        <w:t>TDD slot</w:t>
      </w:r>
      <w:r w:rsidR="0063701C" w:rsidRPr="000E5825">
        <w:rPr>
          <w:rFonts w:ascii="Arial-BoldMT" w:hAnsi="Arial-BoldMT" w:cs="Arial-BoldMT"/>
          <w:bCs/>
          <w:color w:val="FF0000"/>
          <w:sz w:val="24"/>
          <w:szCs w:val="24"/>
          <w:u w:val="single"/>
          <w:lang w:val="en-US" w:eastAsia="zh-CN"/>
        </w:rPr>
        <w:t xml:space="preserve"> in </w:t>
      </w:r>
      <w:r>
        <w:rPr>
          <w:rFonts w:ascii="Arial-BoldMT" w:hAnsi="Arial-BoldMT" w:cs="Arial-BoldMT"/>
          <w:bCs/>
          <w:color w:val="FF0000"/>
          <w:sz w:val="24"/>
          <w:szCs w:val="24"/>
          <w:u w:val="single"/>
          <w:lang w:val="en-US" w:eastAsia="zh-CN"/>
        </w:rPr>
        <w:t>each</w:t>
      </w:r>
      <w:r w:rsidRPr="000E5825">
        <w:rPr>
          <w:rFonts w:ascii="Arial-BoldMT" w:hAnsi="Arial-BoldMT" w:cs="Arial-BoldMT"/>
          <w:bCs/>
          <w:color w:val="FF0000"/>
          <w:sz w:val="24"/>
          <w:szCs w:val="24"/>
          <w:u w:val="single"/>
          <w:lang w:val="en-US" w:eastAsia="zh-CN"/>
        </w:rPr>
        <w:t xml:space="preserve"> </w:t>
      </w:r>
      <w:r w:rsidR="0063701C" w:rsidRPr="000E5825">
        <w:rPr>
          <w:rFonts w:ascii="Arial-BoldMT" w:hAnsi="Arial-BoldMT" w:cs="Arial-BoldMT"/>
          <w:bCs/>
          <w:color w:val="FF0000"/>
          <w:sz w:val="24"/>
          <w:szCs w:val="24"/>
          <w:u w:val="single"/>
          <w:lang w:val="en-US" w:eastAsia="zh-CN"/>
        </w:rPr>
        <w:t xml:space="preserve">TDD </w:t>
      </w:r>
      <w:r>
        <w:rPr>
          <w:rFonts w:ascii="Arial-BoldMT" w:hAnsi="Arial-BoldMT" w:cs="Arial-BoldMT"/>
          <w:bCs/>
          <w:color w:val="FF0000"/>
          <w:sz w:val="24"/>
          <w:szCs w:val="24"/>
          <w:u w:val="single"/>
          <w:lang w:val="en-US" w:eastAsia="zh-CN"/>
        </w:rPr>
        <w:t>interval</w:t>
      </w:r>
      <w:r w:rsidR="0063701C" w:rsidRPr="000E5825">
        <w:rPr>
          <w:rFonts w:ascii="Arial-BoldMT" w:hAnsi="Arial-BoldMT" w:cs="Arial-BoldMT"/>
          <w:bCs/>
          <w:color w:val="FF0000"/>
          <w:sz w:val="24"/>
          <w:szCs w:val="24"/>
          <w:u w:val="single"/>
          <w:lang w:val="en-US" w:eastAsia="zh-CN"/>
        </w:rPr>
        <w:t xml:space="preserve">. </w:t>
      </w:r>
    </w:p>
    <w:p w14:paraId="53DBFABC"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392EE8B2" w14:textId="043876B3" w:rsidR="0063701C" w:rsidRPr="000E5825" w:rsidRDefault="0063701C" w:rsidP="0063701C">
      <w:pPr>
        <w:widowControl w:val="0"/>
        <w:autoSpaceDE w:val="0"/>
        <w:autoSpaceDN w:val="0"/>
        <w:adjustRightInd w:val="0"/>
        <w:rPr>
          <w:rFonts w:ascii="Arial-BoldMT" w:hAnsi="Arial-BoldMT" w:cs="Arial-BoldMT"/>
          <w:b/>
          <w:bCs/>
          <w:color w:val="FF0000"/>
          <w:sz w:val="28"/>
          <w:szCs w:val="28"/>
          <w:u w:val="single"/>
          <w:lang w:val="en-US" w:eastAsia="zh-CN"/>
        </w:rPr>
      </w:pPr>
      <w:r w:rsidRPr="000E5825">
        <w:rPr>
          <w:rFonts w:ascii="Arial-BoldMT" w:hAnsi="Arial-BoldMT" w:cs="Arial-BoldMT"/>
          <w:b/>
          <w:bCs/>
          <w:color w:val="FF0000"/>
          <w:sz w:val="28"/>
          <w:szCs w:val="28"/>
          <w:u w:val="single"/>
          <w:lang w:val="en-US" w:eastAsia="zh-CN"/>
        </w:rPr>
        <w:t>9.4.2</w:t>
      </w:r>
      <w:proofErr w:type="gramStart"/>
      <w:r w:rsidRPr="000E5825">
        <w:rPr>
          <w:rFonts w:ascii="Arial-BoldMT" w:hAnsi="Arial-BoldMT" w:cs="Arial-BoldMT"/>
          <w:b/>
          <w:bCs/>
          <w:color w:val="FF0000"/>
          <w:sz w:val="28"/>
          <w:szCs w:val="28"/>
          <w:u w:val="single"/>
          <w:lang w:val="en-US" w:eastAsia="zh-CN"/>
        </w:rPr>
        <w:t>.xxx2</w:t>
      </w:r>
      <w:proofErr w:type="gramEnd"/>
      <w:r w:rsidRPr="000E5825">
        <w:rPr>
          <w:rFonts w:ascii="Arial-BoldMT" w:hAnsi="Arial-BoldMT" w:cs="Arial-BoldMT"/>
          <w:b/>
          <w:bCs/>
          <w:color w:val="FF0000"/>
          <w:sz w:val="28"/>
          <w:szCs w:val="28"/>
          <w:u w:val="single"/>
          <w:lang w:val="en-US" w:eastAsia="zh-CN"/>
        </w:rPr>
        <w:t xml:space="preserve"> TDD </w:t>
      </w:r>
      <w:r w:rsidR="00B4459F">
        <w:rPr>
          <w:rFonts w:ascii="Arial-BoldMT" w:hAnsi="Arial-BoldMT" w:cs="Arial-BoldMT"/>
          <w:b/>
          <w:bCs/>
          <w:color w:val="FF0000"/>
          <w:sz w:val="28"/>
          <w:szCs w:val="28"/>
          <w:u w:val="single"/>
          <w:lang w:val="en-US" w:eastAsia="zh-CN"/>
        </w:rPr>
        <w:t>Slot</w:t>
      </w:r>
      <w:r w:rsidR="004C06F3">
        <w:rPr>
          <w:rFonts w:ascii="Arial-BoldMT" w:hAnsi="Arial-BoldMT" w:cs="Arial-BoldMT"/>
          <w:b/>
          <w:bCs/>
          <w:color w:val="FF0000"/>
          <w:sz w:val="28"/>
          <w:szCs w:val="28"/>
          <w:u w:val="single"/>
          <w:lang w:val="en-US" w:eastAsia="zh-CN"/>
        </w:rPr>
        <w:t xml:space="preserve"> Schedule </w:t>
      </w:r>
      <w:r w:rsidRPr="000E5825">
        <w:rPr>
          <w:rFonts w:ascii="Arial-BoldMT" w:hAnsi="Arial-BoldMT" w:cs="Arial-BoldMT"/>
          <w:b/>
          <w:bCs/>
          <w:color w:val="FF0000"/>
          <w:sz w:val="28"/>
          <w:szCs w:val="28"/>
          <w:u w:val="single"/>
          <w:lang w:val="en-US" w:eastAsia="zh-CN"/>
        </w:rPr>
        <w:t>element</w:t>
      </w:r>
    </w:p>
    <w:p w14:paraId="0FAAAF0D" w14:textId="77777777" w:rsidR="00CF2E11" w:rsidRDefault="00CF2E11"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2EAD0919" w14:textId="18964749"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TDD </w:t>
      </w:r>
      <w:r w:rsidR="00B4459F">
        <w:rPr>
          <w:rFonts w:ascii="Arial-BoldMT" w:hAnsi="Arial-BoldMT" w:cs="Arial-BoldMT"/>
          <w:bCs/>
          <w:color w:val="FF0000"/>
          <w:sz w:val="24"/>
          <w:szCs w:val="24"/>
          <w:u w:val="single"/>
          <w:lang w:val="en-US" w:eastAsia="zh-CN"/>
        </w:rPr>
        <w:t>Slot</w:t>
      </w:r>
      <w:r w:rsidRPr="000E5825">
        <w:rPr>
          <w:rFonts w:ascii="Arial-BoldMT" w:hAnsi="Arial-BoldMT" w:cs="Arial-BoldMT"/>
          <w:bCs/>
          <w:color w:val="FF0000"/>
          <w:sz w:val="24"/>
          <w:szCs w:val="24"/>
          <w:u w:val="single"/>
          <w:lang w:val="en-US" w:eastAsia="zh-CN"/>
        </w:rPr>
        <w:t xml:space="preserve"> Schedule element defines the access assignment of DMG STAs to </w:t>
      </w:r>
      <w:r w:rsidR="001850B4">
        <w:rPr>
          <w:rFonts w:ascii="Arial-BoldMT" w:hAnsi="Arial-BoldMT" w:cs="Arial-BoldMT"/>
          <w:bCs/>
          <w:color w:val="FF0000"/>
          <w:sz w:val="24"/>
          <w:szCs w:val="24"/>
          <w:u w:val="single"/>
          <w:lang w:val="en-US" w:eastAsia="zh-CN"/>
        </w:rPr>
        <w:t>TDD slot</w:t>
      </w:r>
      <w:r w:rsidRPr="000E5825">
        <w:rPr>
          <w:rFonts w:ascii="Arial-BoldMT" w:hAnsi="Arial-BoldMT" w:cs="Arial-BoldMT"/>
          <w:bCs/>
          <w:color w:val="FF0000"/>
          <w:sz w:val="24"/>
          <w:szCs w:val="24"/>
          <w:u w:val="single"/>
          <w:lang w:val="en-US" w:eastAsia="zh-CN"/>
        </w:rPr>
        <w:t xml:space="preserve">s </w:t>
      </w:r>
      <w:r w:rsidR="003E05AB">
        <w:rPr>
          <w:rFonts w:ascii="Arial-BoldMT" w:hAnsi="Arial-BoldMT" w:cs="Arial-BoldMT"/>
          <w:bCs/>
          <w:color w:val="FF0000"/>
          <w:sz w:val="24"/>
          <w:szCs w:val="24"/>
          <w:u w:val="single"/>
          <w:lang w:val="en-US" w:eastAsia="zh-CN"/>
        </w:rPr>
        <w:t>with</w:t>
      </w:r>
      <w:r w:rsidRPr="000E5825">
        <w:rPr>
          <w:rFonts w:ascii="Arial-BoldMT" w:hAnsi="Arial-BoldMT" w:cs="Arial-BoldMT"/>
          <w:bCs/>
          <w:color w:val="FF0000"/>
          <w:sz w:val="24"/>
          <w:szCs w:val="24"/>
          <w:u w:val="single"/>
          <w:lang w:val="en-US" w:eastAsia="zh-CN"/>
        </w:rPr>
        <w:t xml:space="preserve">in </w:t>
      </w:r>
      <w:r w:rsidR="00DF5CE4">
        <w:rPr>
          <w:rFonts w:ascii="Arial-BoldMT" w:hAnsi="Arial-BoldMT" w:cs="Arial-BoldMT"/>
          <w:bCs/>
          <w:color w:val="FF0000"/>
          <w:sz w:val="24"/>
          <w:szCs w:val="24"/>
          <w:u w:val="single"/>
          <w:lang w:val="en-US" w:eastAsia="zh-CN"/>
        </w:rPr>
        <w:t>a TDD SP</w:t>
      </w:r>
      <w:r w:rsidRPr="000E5825">
        <w:rPr>
          <w:rFonts w:ascii="Arial-BoldMT" w:hAnsi="Arial-BoldMT" w:cs="Arial-BoldMT"/>
          <w:bCs/>
          <w:color w:val="FF0000"/>
          <w:sz w:val="24"/>
          <w:szCs w:val="24"/>
          <w:u w:val="single"/>
          <w:lang w:val="en-US" w:eastAsia="zh-CN"/>
        </w:rPr>
        <w:t xml:space="preserve"> </w:t>
      </w:r>
      <w:r w:rsidR="003E05AB">
        <w:rPr>
          <w:rFonts w:ascii="Arial-BoldMT" w:hAnsi="Arial-BoldMT" w:cs="Arial-BoldMT"/>
          <w:bCs/>
          <w:color w:val="FF0000"/>
          <w:sz w:val="24"/>
          <w:szCs w:val="24"/>
          <w:u w:val="single"/>
          <w:lang w:val="en-US" w:eastAsia="zh-CN"/>
        </w:rPr>
        <w:t xml:space="preserve">(see </w:t>
      </w:r>
      <w:r w:rsidRPr="000E5825">
        <w:rPr>
          <w:rFonts w:ascii="Arial-BoldMT" w:hAnsi="Arial-BoldMT" w:cs="Arial-BoldMT"/>
          <w:bCs/>
          <w:color w:val="FF0000"/>
          <w:sz w:val="24"/>
          <w:szCs w:val="24"/>
          <w:u w:val="single"/>
          <w:lang w:val="en-US" w:eastAsia="zh-CN"/>
        </w:rPr>
        <w:t>10.36.</w:t>
      </w:r>
      <w:r w:rsidR="003E05AB">
        <w:rPr>
          <w:rFonts w:ascii="Arial-BoldMT" w:hAnsi="Arial-BoldMT" w:cs="Arial-BoldMT"/>
          <w:bCs/>
          <w:color w:val="FF0000"/>
          <w:sz w:val="24"/>
          <w:szCs w:val="24"/>
          <w:u w:val="single"/>
          <w:lang w:val="en-US" w:eastAsia="zh-CN"/>
        </w:rPr>
        <w:t>6.2</w:t>
      </w:r>
      <w:r w:rsidR="007B29A7">
        <w:rPr>
          <w:rFonts w:ascii="Arial-BoldMT" w:hAnsi="Arial-BoldMT" w:cs="Arial-BoldMT"/>
          <w:bCs/>
          <w:color w:val="FF0000"/>
          <w:sz w:val="24"/>
          <w:szCs w:val="24"/>
          <w:u w:val="single"/>
          <w:lang w:val="en-US" w:eastAsia="zh-CN"/>
        </w:rPr>
        <w:t>.2</w:t>
      </w:r>
      <w:r w:rsidR="003E05AB">
        <w:rPr>
          <w:rFonts w:ascii="Arial-BoldMT" w:hAnsi="Arial-BoldMT" w:cs="Arial-BoldMT"/>
          <w:bCs/>
          <w:color w:val="FF0000"/>
          <w:sz w:val="24"/>
          <w:szCs w:val="24"/>
          <w:u w:val="single"/>
          <w:lang w:val="en-US" w:eastAsia="zh-CN"/>
        </w:rPr>
        <w:t>)</w:t>
      </w:r>
      <w:r w:rsidRPr="000E5825">
        <w:rPr>
          <w:rFonts w:ascii="Arial-BoldMT" w:hAnsi="Arial-BoldMT" w:cs="Arial-BoldMT"/>
          <w:bCs/>
          <w:color w:val="FF0000"/>
          <w:sz w:val="24"/>
          <w:szCs w:val="24"/>
          <w:u w:val="single"/>
          <w:lang w:val="en-US" w:eastAsia="zh-CN"/>
        </w:rPr>
        <w:t xml:space="preserve">. The format of the TDD </w:t>
      </w:r>
      <w:r w:rsidR="00B4459F">
        <w:rPr>
          <w:rFonts w:ascii="Arial-BoldMT" w:hAnsi="Arial-BoldMT" w:cs="Arial-BoldMT"/>
          <w:bCs/>
          <w:color w:val="FF0000"/>
          <w:sz w:val="24"/>
          <w:szCs w:val="24"/>
          <w:u w:val="single"/>
          <w:lang w:val="en-US" w:eastAsia="zh-CN"/>
        </w:rPr>
        <w:t>Slot</w:t>
      </w:r>
      <w:r w:rsidR="003E05AB">
        <w:rPr>
          <w:rFonts w:ascii="Arial-BoldMT" w:hAnsi="Arial-BoldMT" w:cs="Arial-BoldMT"/>
          <w:bCs/>
          <w:color w:val="FF0000"/>
          <w:sz w:val="24"/>
          <w:szCs w:val="24"/>
          <w:u w:val="single"/>
          <w:lang w:val="en-US" w:eastAsia="zh-CN"/>
        </w:rPr>
        <w:t xml:space="preserve"> Schedule</w:t>
      </w:r>
      <w:r w:rsidRPr="000E5825">
        <w:rPr>
          <w:rFonts w:ascii="Arial-BoldMT" w:hAnsi="Arial-BoldMT" w:cs="Arial-BoldMT"/>
          <w:bCs/>
          <w:color w:val="FF0000"/>
          <w:sz w:val="24"/>
          <w:szCs w:val="24"/>
          <w:u w:val="single"/>
          <w:lang w:val="en-US" w:eastAsia="zh-CN"/>
        </w:rPr>
        <w:t xml:space="preserve"> element is shown in Figure 9-xxx4.</w:t>
      </w:r>
    </w:p>
    <w:p w14:paraId="3F42C4E5"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tbl>
      <w:tblPr>
        <w:tblW w:w="3275" w:type="pct"/>
        <w:jc w:val="center"/>
        <w:tblLook w:val="04A0" w:firstRow="1" w:lastRow="0" w:firstColumn="1" w:lastColumn="0" w:noHBand="0" w:noVBand="1"/>
      </w:tblPr>
      <w:tblGrid>
        <w:gridCol w:w="677"/>
        <w:gridCol w:w="916"/>
        <w:gridCol w:w="914"/>
        <w:gridCol w:w="1074"/>
        <w:gridCol w:w="1015"/>
        <w:gridCol w:w="1532"/>
      </w:tblGrid>
      <w:tr w:rsidR="0063701C" w:rsidRPr="000E5825" w14:paraId="63A24499" w14:textId="77777777" w:rsidTr="00055ACF">
        <w:trPr>
          <w:jc w:val="center"/>
        </w:trPr>
        <w:tc>
          <w:tcPr>
            <w:tcW w:w="553" w:type="pct"/>
            <w:tcBorders>
              <w:right w:val="single" w:sz="4" w:space="0" w:color="auto"/>
            </w:tcBorders>
            <w:shd w:val="clear" w:color="auto" w:fill="auto"/>
          </w:tcPr>
          <w:p w14:paraId="7F886399" w14:textId="77777777" w:rsidR="0063701C" w:rsidRPr="000E5825" w:rsidRDefault="0063701C" w:rsidP="00055ACF">
            <w:pPr>
              <w:pStyle w:val="IEEEStdsTableData-Center"/>
              <w:rPr>
                <w:color w:val="FF0000"/>
                <w:u w:val="single"/>
              </w:rPr>
            </w:pPr>
          </w:p>
        </w:tc>
        <w:tc>
          <w:tcPr>
            <w:tcW w:w="747" w:type="pct"/>
            <w:tcBorders>
              <w:top w:val="single" w:sz="4" w:space="0" w:color="auto"/>
              <w:bottom w:val="single" w:sz="4" w:space="0" w:color="auto"/>
              <w:right w:val="single" w:sz="4" w:space="0" w:color="auto"/>
            </w:tcBorders>
          </w:tcPr>
          <w:p w14:paraId="2E61DFB1" w14:textId="77777777" w:rsidR="0063701C" w:rsidRPr="000E5825" w:rsidRDefault="0063701C" w:rsidP="00055ACF">
            <w:pPr>
              <w:pStyle w:val="IEEEStdsTableData-Center"/>
              <w:rPr>
                <w:color w:val="FF0000"/>
                <w:u w:val="single"/>
              </w:rPr>
            </w:pPr>
            <w:r w:rsidRPr="000E5825">
              <w:rPr>
                <w:color w:val="FF0000"/>
                <w:u w:val="single"/>
              </w:rPr>
              <w:t>Element ID</w:t>
            </w:r>
          </w:p>
        </w:tc>
        <w:tc>
          <w:tcPr>
            <w:tcW w:w="746" w:type="pct"/>
            <w:tcBorders>
              <w:top w:val="single" w:sz="4" w:space="0" w:color="auto"/>
              <w:left w:val="single" w:sz="4" w:space="0" w:color="auto"/>
              <w:bottom w:val="single" w:sz="4" w:space="0" w:color="auto"/>
              <w:right w:val="single" w:sz="4" w:space="0" w:color="auto"/>
            </w:tcBorders>
          </w:tcPr>
          <w:p w14:paraId="7BCF4D8F" w14:textId="77777777" w:rsidR="0063701C" w:rsidRPr="000E5825" w:rsidRDefault="0063701C" w:rsidP="00055ACF">
            <w:pPr>
              <w:pStyle w:val="IEEEStdsTableData-Center"/>
              <w:rPr>
                <w:color w:val="FF0000"/>
                <w:u w:val="single"/>
              </w:rPr>
            </w:pPr>
            <w:r w:rsidRPr="000E5825">
              <w:rPr>
                <w:color w:val="FF0000"/>
                <w:u w:val="single"/>
              </w:rPr>
              <w:t>Length</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ADF52FF" w14:textId="77777777" w:rsidR="0063701C" w:rsidRPr="000E5825" w:rsidRDefault="0063701C" w:rsidP="00055ACF">
            <w:pPr>
              <w:pStyle w:val="IEEEStdsTableData-Center"/>
              <w:rPr>
                <w:color w:val="FF0000"/>
                <w:u w:val="single"/>
              </w:rPr>
            </w:pPr>
            <w:r w:rsidRPr="000E5825">
              <w:rPr>
                <w:color w:val="FF0000"/>
                <w:u w:val="single"/>
              </w:rPr>
              <w:t>Element ID Extension</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447FD7C7" w14:textId="149F9FD8" w:rsidR="0063701C" w:rsidRPr="000E5825" w:rsidRDefault="00B4459F" w:rsidP="00055ACF">
            <w:pPr>
              <w:pStyle w:val="IEEEStdsTableData-Center"/>
              <w:rPr>
                <w:color w:val="FF0000"/>
                <w:u w:val="single"/>
              </w:rPr>
            </w:pPr>
            <w:r>
              <w:rPr>
                <w:color w:val="FF0000"/>
                <w:u w:val="single"/>
              </w:rPr>
              <w:t>Slot</w:t>
            </w:r>
            <w:r w:rsidR="0063701C" w:rsidRPr="000E5825">
              <w:rPr>
                <w:color w:val="FF0000"/>
                <w:u w:val="single"/>
              </w:rPr>
              <w:t xml:space="preserve"> Schedule Control</w:t>
            </w:r>
          </w:p>
        </w:tc>
        <w:tc>
          <w:tcPr>
            <w:tcW w:w="1250" w:type="pct"/>
            <w:tcBorders>
              <w:top w:val="single" w:sz="4" w:space="0" w:color="auto"/>
              <w:left w:val="single" w:sz="4" w:space="0" w:color="auto"/>
              <w:bottom w:val="single" w:sz="4" w:space="0" w:color="auto"/>
              <w:right w:val="single" w:sz="4" w:space="0" w:color="auto"/>
            </w:tcBorders>
          </w:tcPr>
          <w:p w14:paraId="7785D0A5" w14:textId="77777777" w:rsidR="0063701C" w:rsidRPr="000E5825" w:rsidRDefault="0063701C" w:rsidP="00055ACF">
            <w:pPr>
              <w:pStyle w:val="IEEEStdsTableData-Center"/>
              <w:rPr>
                <w:color w:val="FF0000"/>
                <w:u w:val="single"/>
              </w:rPr>
            </w:pPr>
            <w:r w:rsidRPr="000E5825">
              <w:rPr>
                <w:color w:val="FF0000"/>
                <w:u w:val="single"/>
              </w:rPr>
              <w:t>Bitmap and Access Type Schedule</w:t>
            </w:r>
          </w:p>
        </w:tc>
      </w:tr>
      <w:tr w:rsidR="0063701C" w:rsidRPr="000E5825" w14:paraId="632E7149" w14:textId="77777777" w:rsidTr="00055ACF">
        <w:trPr>
          <w:jc w:val="center"/>
        </w:trPr>
        <w:tc>
          <w:tcPr>
            <w:tcW w:w="553" w:type="pct"/>
            <w:shd w:val="clear" w:color="auto" w:fill="auto"/>
          </w:tcPr>
          <w:p w14:paraId="632E88C2" w14:textId="77777777" w:rsidR="0063701C" w:rsidRPr="000E5825" w:rsidRDefault="0063701C" w:rsidP="00055ACF">
            <w:pPr>
              <w:pStyle w:val="IEEEStdsTableData-Center"/>
              <w:rPr>
                <w:color w:val="FF0000"/>
                <w:u w:val="single"/>
              </w:rPr>
            </w:pPr>
            <w:r w:rsidRPr="000E5825">
              <w:rPr>
                <w:color w:val="FF0000"/>
                <w:u w:val="single"/>
              </w:rPr>
              <w:t>Octets</w:t>
            </w:r>
          </w:p>
        </w:tc>
        <w:tc>
          <w:tcPr>
            <w:tcW w:w="747" w:type="pct"/>
            <w:tcBorders>
              <w:top w:val="single" w:sz="4" w:space="0" w:color="auto"/>
            </w:tcBorders>
          </w:tcPr>
          <w:p w14:paraId="0B4158E4" w14:textId="77777777" w:rsidR="0063701C" w:rsidRPr="000E5825" w:rsidRDefault="0063701C" w:rsidP="00055ACF">
            <w:pPr>
              <w:pStyle w:val="IEEEStdsTableData-Center"/>
              <w:rPr>
                <w:color w:val="FF0000"/>
                <w:u w:val="single"/>
              </w:rPr>
            </w:pPr>
            <w:r w:rsidRPr="000E5825">
              <w:rPr>
                <w:color w:val="FF0000"/>
                <w:u w:val="single"/>
              </w:rPr>
              <w:t>1</w:t>
            </w:r>
          </w:p>
        </w:tc>
        <w:tc>
          <w:tcPr>
            <w:tcW w:w="746" w:type="pct"/>
            <w:tcBorders>
              <w:top w:val="single" w:sz="4" w:space="0" w:color="auto"/>
            </w:tcBorders>
          </w:tcPr>
          <w:p w14:paraId="64FBD135" w14:textId="77777777" w:rsidR="0063701C" w:rsidRPr="000E5825" w:rsidRDefault="0063701C" w:rsidP="00055ACF">
            <w:pPr>
              <w:pStyle w:val="IEEEStdsTableData-Center"/>
              <w:rPr>
                <w:color w:val="FF0000"/>
                <w:u w:val="single"/>
              </w:rPr>
            </w:pPr>
            <w:r w:rsidRPr="000E5825">
              <w:rPr>
                <w:color w:val="FF0000"/>
                <w:u w:val="single"/>
              </w:rPr>
              <w:t>1</w:t>
            </w:r>
          </w:p>
        </w:tc>
        <w:tc>
          <w:tcPr>
            <w:tcW w:w="876" w:type="pct"/>
            <w:tcBorders>
              <w:top w:val="single" w:sz="4" w:space="0" w:color="auto"/>
            </w:tcBorders>
            <w:shd w:val="clear" w:color="auto" w:fill="auto"/>
          </w:tcPr>
          <w:p w14:paraId="2B95C8CE" w14:textId="77777777" w:rsidR="0063701C" w:rsidRPr="000E5825" w:rsidRDefault="0063701C" w:rsidP="00055ACF">
            <w:pPr>
              <w:pStyle w:val="IEEEStdsTableData-Center"/>
              <w:rPr>
                <w:color w:val="FF0000"/>
                <w:u w:val="single"/>
              </w:rPr>
            </w:pPr>
            <w:r w:rsidRPr="000E5825">
              <w:rPr>
                <w:color w:val="FF0000"/>
                <w:u w:val="single"/>
              </w:rPr>
              <w:t>1</w:t>
            </w:r>
          </w:p>
        </w:tc>
        <w:tc>
          <w:tcPr>
            <w:tcW w:w="828" w:type="pct"/>
            <w:tcBorders>
              <w:top w:val="single" w:sz="4" w:space="0" w:color="auto"/>
            </w:tcBorders>
            <w:shd w:val="clear" w:color="auto" w:fill="auto"/>
          </w:tcPr>
          <w:p w14:paraId="2C45458D" w14:textId="77777777" w:rsidR="0063701C" w:rsidRPr="000E5825" w:rsidRDefault="0063701C" w:rsidP="00055ACF">
            <w:pPr>
              <w:pStyle w:val="IEEEStdsTableData-Center"/>
              <w:rPr>
                <w:color w:val="FF0000"/>
                <w:u w:val="single"/>
              </w:rPr>
            </w:pPr>
            <w:r w:rsidRPr="000E5825">
              <w:rPr>
                <w:color w:val="FF0000"/>
                <w:u w:val="single"/>
              </w:rPr>
              <w:t>7</w:t>
            </w:r>
          </w:p>
        </w:tc>
        <w:tc>
          <w:tcPr>
            <w:tcW w:w="1250" w:type="pct"/>
            <w:tcBorders>
              <w:top w:val="single" w:sz="4" w:space="0" w:color="auto"/>
            </w:tcBorders>
          </w:tcPr>
          <w:p w14:paraId="788A0D55" w14:textId="77777777" w:rsidR="0063701C" w:rsidRPr="000E5825" w:rsidRDefault="00802072" w:rsidP="00055ACF">
            <w:pPr>
              <w:pStyle w:val="IEEEStdsTableData-Center"/>
              <w:rPr>
                <w:color w:val="FF0000"/>
                <w:u w:val="single"/>
              </w:rPr>
            </w:pPr>
            <m:oMathPara>
              <m:oMath>
                <m:d>
                  <m:dPr>
                    <m:begChr m:val="⌈"/>
                    <m:endChr m:val="⌉"/>
                    <m:ctrlPr>
                      <w:rPr>
                        <w:rFonts w:ascii="Cambria Math" w:hAnsi="Cambria Math"/>
                        <w:color w:val="FF0000"/>
                        <w:u w:val="single"/>
                      </w:rPr>
                    </m:ctrlPr>
                  </m:dPr>
                  <m:e>
                    <m:f>
                      <m:fPr>
                        <m:ctrlPr>
                          <w:rPr>
                            <w:rFonts w:ascii="Cambria Math" w:hAnsi="Cambria Math"/>
                            <w:i/>
                            <w:color w:val="FF0000"/>
                            <w:u w:val="single"/>
                          </w:rPr>
                        </m:ctrlPr>
                      </m:fPr>
                      <m:num>
                        <m:r>
                          <w:rPr>
                            <w:rFonts w:ascii="Cambria Math" w:hAnsi="Cambria Math"/>
                            <w:color w:val="FF0000"/>
                            <w:u w:val="single"/>
                          </w:rPr>
                          <m:t>Q×M</m:t>
                        </m:r>
                      </m:num>
                      <m:den>
                        <m:r>
                          <w:rPr>
                            <w:rFonts w:ascii="Cambria Math" w:hAnsi="Cambria Math"/>
                            <w:color w:val="FF0000"/>
                            <w:u w:val="single"/>
                          </w:rPr>
                          <m:t>4</m:t>
                        </m:r>
                      </m:den>
                    </m:f>
                  </m:e>
                </m:d>
              </m:oMath>
            </m:oMathPara>
          </w:p>
        </w:tc>
      </w:tr>
    </w:tbl>
    <w:p w14:paraId="07BCDDA8" w14:textId="2C8722F7" w:rsidR="0063701C" w:rsidRPr="000E5825" w:rsidRDefault="0063701C" w:rsidP="0063701C">
      <w:pPr>
        <w:widowControl w:val="0"/>
        <w:autoSpaceDE w:val="0"/>
        <w:autoSpaceDN w:val="0"/>
        <w:adjustRightInd w:val="0"/>
        <w:ind w:firstLineChars="1100" w:firstLine="2209"/>
        <w:rPr>
          <w:rFonts w:ascii="Arial-BoldMT" w:hAnsi="Arial-BoldMT" w:cs="Arial-BoldMT"/>
          <w:b/>
          <w:bCs/>
          <w:color w:val="FF0000"/>
          <w:sz w:val="20"/>
          <w:u w:val="single"/>
          <w:lang w:val="en-US" w:eastAsia="zh-CN"/>
        </w:rPr>
      </w:pPr>
      <w:r w:rsidRPr="000E5825">
        <w:rPr>
          <w:rFonts w:ascii="Arial-BoldMT" w:hAnsi="Arial-BoldMT" w:cs="Arial-BoldMT" w:hint="eastAsia"/>
          <w:b/>
          <w:bCs/>
          <w:color w:val="FF0000"/>
          <w:sz w:val="20"/>
          <w:u w:val="single"/>
          <w:lang w:val="en-US" w:eastAsia="zh-CN"/>
        </w:rPr>
        <w:t>Figure</w:t>
      </w:r>
      <w:r w:rsidRPr="000E5825">
        <w:rPr>
          <w:rFonts w:ascii="Arial-BoldMT" w:hAnsi="Arial-BoldMT" w:cs="Arial-BoldMT"/>
          <w:b/>
          <w:bCs/>
          <w:color w:val="FF0000"/>
          <w:sz w:val="20"/>
          <w:u w:val="single"/>
          <w:lang w:val="en-US" w:eastAsia="zh-CN"/>
        </w:rPr>
        <w:t xml:space="preserve"> 9-xxx4---TDD </w:t>
      </w:r>
      <w:r w:rsidR="00B4459F">
        <w:rPr>
          <w:rFonts w:ascii="Arial-BoldMT" w:hAnsi="Arial-BoldMT" w:cs="Arial-BoldMT"/>
          <w:b/>
          <w:bCs/>
          <w:color w:val="FF0000"/>
          <w:sz w:val="20"/>
          <w:u w:val="single"/>
          <w:lang w:val="en-US" w:eastAsia="zh-CN"/>
        </w:rPr>
        <w:t>Slot</w:t>
      </w:r>
      <w:r w:rsidRPr="000E5825">
        <w:rPr>
          <w:rFonts w:ascii="Arial-BoldMT" w:hAnsi="Arial-BoldMT" w:cs="Arial-BoldMT"/>
          <w:b/>
          <w:bCs/>
          <w:color w:val="FF0000"/>
          <w:sz w:val="20"/>
          <w:u w:val="single"/>
          <w:lang w:val="en-US" w:eastAsia="zh-CN"/>
        </w:rPr>
        <w:t xml:space="preserve"> Schedule element format</w:t>
      </w:r>
    </w:p>
    <w:p w14:paraId="73902B3A"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AFBA18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26FAFBF" w14:textId="77777777" w:rsidR="0063701C" w:rsidRPr="000E5825" w:rsidRDefault="0063701C" w:rsidP="00B4459F">
      <w:pPr>
        <w:widowControl w:val="0"/>
        <w:autoSpaceDE w:val="0"/>
        <w:autoSpaceDN w:val="0"/>
        <w:adjustRightInd w:val="0"/>
        <w:outlineLvl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The Element ID, Length and Element ID Extension fields are defined in 9.4.2.1.</w:t>
      </w:r>
    </w:p>
    <w:p w14:paraId="21B62328"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36F772B" w14:textId="7C2CE46D" w:rsidR="0063701C" w:rsidRPr="000E5825" w:rsidRDefault="0063701C" w:rsidP="00B4459F">
      <w:pPr>
        <w:widowControl w:val="0"/>
        <w:autoSpaceDE w:val="0"/>
        <w:autoSpaceDN w:val="0"/>
        <w:adjustRightInd w:val="0"/>
        <w:outlineLvl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w:t>
      </w:r>
      <w:r w:rsidR="00B4459F">
        <w:rPr>
          <w:rFonts w:ascii="Arial-BoldMT" w:hAnsi="Arial-BoldMT" w:cs="Arial-BoldMT"/>
          <w:bCs/>
          <w:color w:val="FF0000"/>
          <w:sz w:val="24"/>
          <w:szCs w:val="24"/>
          <w:u w:val="single"/>
          <w:lang w:val="en-US" w:eastAsia="zh-CN"/>
        </w:rPr>
        <w:t>Slot</w:t>
      </w:r>
      <w:r w:rsidRPr="000E5825">
        <w:rPr>
          <w:rFonts w:ascii="Arial-BoldMT" w:hAnsi="Arial-BoldMT" w:cs="Arial-BoldMT"/>
          <w:bCs/>
          <w:color w:val="FF0000"/>
          <w:sz w:val="24"/>
          <w:szCs w:val="24"/>
          <w:u w:val="single"/>
          <w:lang w:val="en-US" w:eastAsia="zh-CN"/>
        </w:rPr>
        <w:t xml:space="preserve"> Schedule Control field is defined in Figure 9-xxx5.</w:t>
      </w:r>
    </w:p>
    <w:p w14:paraId="09E849D8" w14:textId="77777777" w:rsidR="003E05AB" w:rsidRPr="000E5825" w:rsidRDefault="003E05AB"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5610EF6"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tbl>
      <w:tblPr>
        <w:tblW w:w="3764" w:type="pct"/>
        <w:jc w:val="center"/>
        <w:tblLook w:val="04A0" w:firstRow="1" w:lastRow="0" w:firstColumn="1" w:lastColumn="0" w:noHBand="0" w:noVBand="1"/>
      </w:tblPr>
      <w:tblGrid>
        <w:gridCol w:w="629"/>
        <w:gridCol w:w="1116"/>
        <w:gridCol w:w="869"/>
        <w:gridCol w:w="1027"/>
        <w:gridCol w:w="969"/>
        <w:gridCol w:w="1487"/>
        <w:gridCol w:w="945"/>
      </w:tblGrid>
      <w:tr w:rsidR="0063701C" w:rsidRPr="000E5825" w14:paraId="56D7FC87" w14:textId="77777777" w:rsidTr="00055ACF">
        <w:trPr>
          <w:jc w:val="center"/>
        </w:trPr>
        <w:tc>
          <w:tcPr>
            <w:tcW w:w="447" w:type="pct"/>
            <w:tcBorders>
              <w:right w:val="single" w:sz="4" w:space="0" w:color="auto"/>
            </w:tcBorders>
            <w:shd w:val="clear" w:color="auto" w:fill="auto"/>
          </w:tcPr>
          <w:p w14:paraId="5787D825" w14:textId="77777777" w:rsidR="0063701C" w:rsidRPr="000E5825" w:rsidRDefault="0063701C" w:rsidP="00055ACF">
            <w:pPr>
              <w:pStyle w:val="IEEEStdsTableData-Center"/>
              <w:rPr>
                <w:color w:val="FF0000"/>
                <w:u w:val="single"/>
              </w:rPr>
            </w:pPr>
          </w:p>
        </w:tc>
        <w:tc>
          <w:tcPr>
            <w:tcW w:w="792" w:type="pct"/>
            <w:tcBorders>
              <w:top w:val="single" w:sz="4" w:space="0" w:color="auto"/>
              <w:bottom w:val="single" w:sz="4" w:space="0" w:color="auto"/>
              <w:right w:val="single" w:sz="4" w:space="0" w:color="auto"/>
            </w:tcBorders>
          </w:tcPr>
          <w:p w14:paraId="117BE90C" w14:textId="77777777" w:rsidR="0063701C" w:rsidRPr="000E5825" w:rsidRDefault="0063701C" w:rsidP="00055ACF">
            <w:pPr>
              <w:pStyle w:val="IEEEStdsTableData-Center"/>
              <w:rPr>
                <w:color w:val="FF0000"/>
                <w:u w:val="single"/>
              </w:rPr>
            </w:pPr>
            <w:r w:rsidRPr="000E5825">
              <w:rPr>
                <w:color w:val="FF0000"/>
                <w:u w:val="single"/>
              </w:rPr>
              <w:t>Channel Aggregation</w:t>
            </w:r>
          </w:p>
        </w:tc>
        <w:tc>
          <w:tcPr>
            <w:tcW w:w="617" w:type="pct"/>
            <w:tcBorders>
              <w:top w:val="single" w:sz="4" w:space="0" w:color="auto"/>
              <w:left w:val="single" w:sz="4" w:space="0" w:color="auto"/>
              <w:bottom w:val="single" w:sz="4" w:space="0" w:color="auto"/>
              <w:right w:val="single" w:sz="4" w:space="0" w:color="auto"/>
            </w:tcBorders>
          </w:tcPr>
          <w:p w14:paraId="59A83086" w14:textId="77777777" w:rsidR="0063701C" w:rsidRPr="000E5825" w:rsidRDefault="0063701C" w:rsidP="00055ACF">
            <w:pPr>
              <w:pStyle w:val="IEEEStdsTableData-Center"/>
              <w:rPr>
                <w:color w:val="FF0000"/>
                <w:u w:val="single"/>
              </w:rPr>
            </w:pPr>
            <w:r w:rsidRPr="000E5825">
              <w:rPr>
                <w:color w:val="FF0000"/>
                <w:u w:val="single"/>
              </w:rPr>
              <w:t>BW</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245A633E" w14:textId="01655FAA" w:rsidR="0063701C" w:rsidRPr="000E5825" w:rsidRDefault="0063701C" w:rsidP="00055ACF">
            <w:pPr>
              <w:pStyle w:val="IEEEStdsTableData-Center"/>
              <w:rPr>
                <w:color w:val="FF0000"/>
                <w:u w:val="single"/>
              </w:rPr>
            </w:pPr>
            <w:r w:rsidRPr="000E5825">
              <w:rPr>
                <w:color w:val="FF0000"/>
                <w:u w:val="single"/>
              </w:rPr>
              <w:t xml:space="preserve">Slot </w:t>
            </w:r>
            <w:r w:rsidR="00983ED2">
              <w:rPr>
                <w:color w:val="FF0000"/>
                <w:u w:val="single"/>
              </w:rPr>
              <w:t xml:space="preserve">Schedule </w:t>
            </w:r>
            <w:r w:rsidRPr="000E5825">
              <w:rPr>
                <w:color w:val="FF0000"/>
                <w:u w:val="single"/>
              </w:rPr>
              <w:t>Start Time</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3A9DFDD7" w14:textId="7C58EF35" w:rsidR="0063701C" w:rsidRPr="000E5825" w:rsidRDefault="0063701C" w:rsidP="00983ED2">
            <w:pPr>
              <w:pStyle w:val="IEEEStdsTableData-Center"/>
              <w:rPr>
                <w:color w:val="FF0000"/>
                <w:u w:val="single"/>
              </w:rPr>
            </w:pPr>
            <w:r w:rsidRPr="000E5825">
              <w:rPr>
                <w:color w:val="FF0000"/>
                <w:u w:val="single"/>
              </w:rPr>
              <w:t xml:space="preserve">Number of TDD </w:t>
            </w:r>
            <w:r w:rsidR="00983ED2">
              <w:rPr>
                <w:color w:val="FF0000"/>
                <w:u w:val="single"/>
              </w:rPr>
              <w:t>Intervals</w:t>
            </w:r>
            <w:r w:rsidR="00983ED2" w:rsidRPr="000E5825">
              <w:rPr>
                <w:color w:val="FF0000"/>
                <w:u w:val="single"/>
              </w:rPr>
              <w:t xml:space="preserve"> </w:t>
            </w:r>
            <w:r w:rsidRPr="000E5825">
              <w:rPr>
                <w:color w:val="FF0000"/>
                <w:u w:val="single"/>
              </w:rPr>
              <w:t>in the Bitmap</w:t>
            </w:r>
          </w:p>
        </w:tc>
        <w:tc>
          <w:tcPr>
            <w:tcW w:w="1056" w:type="pct"/>
            <w:tcBorders>
              <w:top w:val="single" w:sz="4" w:space="0" w:color="auto"/>
              <w:left w:val="single" w:sz="4" w:space="0" w:color="auto"/>
              <w:bottom w:val="single" w:sz="4" w:space="0" w:color="auto"/>
              <w:right w:val="single" w:sz="4" w:space="0" w:color="auto"/>
            </w:tcBorders>
          </w:tcPr>
          <w:p w14:paraId="5A200369" w14:textId="77777777" w:rsidR="0063701C" w:rsidRPr="000E5825" w:rsidRDefault="0063701C" w:rsidP="00055ACF">
            <w:pPr>
              <w:pStyle w:val="IEEEStdsTableData-Center"/>
              <w:rPr>
                <w:color w:val="FF0000"/>
                <w:u w:val="single"/>
              </w:rPr>
            </w:pPr>
            <w:r w:rsidRPr="000E5825">
              <w:rPr>
                <w:color w:val="FF0000"/>
                <w:u w:val="single"/>
              </w:rPr>
              <w:t>Allocation ID</w:t>
            </w:r>
          </w:p>
        </w:tc>
        <w:tc>
          <w:tcPr>
            <w:tcW w:w="671" w:type="pct"/>
            <w:tcBorders>
              <w:top w:val="single" w:sz="4" w:space="0" w:color="auto"/>
              <w:left w:val="single" w:sz="4" w:space="0" w:color="auto"/>
              <w:bottom w:val="single" w:sz="4" w:space="0" w:color="auto"/>
              <w:right w:val="single" w:sz="4" w:space="0" w:color="auto"/>
            </w:tcBorders>
          </w:tcPr>
          <w:p w14:paraId="192FB8FA" w14:textId="77777777" w:rsidR="0063701C" w:rsidRPr="000E5825" w:rsidRDefault="0063701C" w:rsidP="00055ACF">
            <w:pPr>
              <w:pStyle w:val="IEEEStdsTableData-Center"/>
              <w:rPr>
                <w:color w:val="FF0000"/>
                <w:u w:val="single"/>
              </w:rPr>
            </w:pPr>
            <w:r w:rsidRPr="000E5825">
              <w:rPr>
                <w:color w:val="FF0000"/>
                <w:u w:val="single"/>
              </w:rPr>
              <w:t>Reserved</w:t>
            </w:r>
          </w:p>
        </w:tc>
      </w:tr>
      <w:tr w:rsidR="0063701C" w:rsidRPr="000E5825" w14:paraId="7C09E3DE" w14:textId="77777777" w:rsidTr="00055ACF">
        <w:trPr>
          <w:jc w:val="center"/>
        </w:trPr>
        <w:tc>
          <w:tcPr>
            <w:tcW w:w="447" w:type="pct"/>
            <w:shd w:val="clear" w:color="auto" w:fill="auto"/>
          </w:tcPr>
          <w:p w14:paraId="36FF993D" w14:textId="77777777" w:rsidR="0063701C" w:rsidRPr="000E5825" w:rsidRDefault="0063701C" w:rsidP="00055ACF">
            <w:pPr>
              <w:pStyle w:val="IEEEStdsTableData-Center"/>
              <w:rPr>
                <w:color w:val="FF0000"/>
                <w:u w:val="single"/>
              </w:rPr>
            </w:pPr>
            <w:r w:rsidRPr="000E5825">
              <w:rPr>
                <w:color w:val="FF0000"/>
                <w:u w:val="single"/>
              </w:rPr>
              <w:t>Bits</w:t>
            </w:r>
          </w:p>
        </w:tc>
        <w:tc>
          <w:tcPr>
            <w:tcW w:w="792" w:type="pct"/>
            <w:tcBorders>
              <w:top w:val="single" w:sz="4" w:space="0" w:color="auto"/>
            </w:tcBorders>
          </w:tcPr>
          <w:p w14:paraId="06A69CF8" w14:textId="77777777" w:rsidR="0063701C" w:rsidRPr="000E5825" w:rsidRDefault="0063701C" w:rsidP="00055ACF">
            <w:pPr>
              <w:pStyle w:val="IEEEStdsTableData-Center"/>
              <w:rPr>
                <w:color w:val="FF0000"/>
                <w:u w:val="single"/>
              </w:rPr>
            </w:pPr>
            <w:r w:rsidRPr="000E5825">
              <w:rPr>
                <w:color w:val="FF0000"/>
                <w:u w:val="single"/>
              </w:rPr>
              <w:t>1</w:t>
            </w:r>
          </w:p>
        </w:tc>
        <w:tc>
          <w:tcPr>
            <w:tcW w:w="617" w:type="pct"/>
            <w:tcBorders>
              <w:top w:val="single" w:sz="4" w:space="0" w:color="auto"/>
            </w:tcBorders>
          </w:tcPr>
          <w:p w14:paraId="40E08779" w14:textId="77777777" w:rsidR="0063701C" w:rsidRPr="000E5825" w:rsidRDefault="0063701C" w:rsidP="00055ACF">
            <w:pPr>
              <w:pStyle w:val="IEEEStdsTableData-Center"/>
              <w:rPr>
                <w:color w:val="FF0000"/>
                <w:u w:val="single"/>
              </w:rPr>
            </w:pPr>
            <w:r w:rsidRPr="000E5825">
              <w:rPr>
                <w:color w:val="FF0000"/>
                <w:u w:val="single"/>
              </w:rPr>
              <w:t>8</w:t>
            </w:r>
          </w:p>
        </w:tc>
        <w:tc>
          <w:tcPr>
            <w:tcW w:w="729" w:type="pct"/>
            <w:tcBorders>
              <w:top w:val="single" w:sz="4" w:space="0" w:color="auto"/>
            </w:tcBorders>
            <w:shd w:val="clear" w:color="auto" w:fill="auto"/>
          </w:tcPr>
          <w:p w14:paraId="00B9FB56" w14:textId="77777777" w:rsidR="0063701C" w:rsidRPr="000E5825" w:rsidRDefault="0063701C" w:rsidP="00055ACF">
            <w:pPr>
              <w:pStyle w:val="IEEEStdsTableData-Center"/>
              <w:rPr>
                <w:color w:val="FF0000"/>
                <w:u w:val="single"/>
              </w:rPr>
            </w:pPr>
            <w:r w:rsidRPr="000E5825">
              <w:rPr>
                <w:color w:val="FF0000"/>
                <w:u w:val="single"/>
              </w:rPr>
              <w:t>32</w:t>
            </w:r>
          </w:p>
        </w:tc>
        <w:tc>
          <w:tcPr>
            <w:tcW w:w="688" w:type="pct"/>
            <w:tcBorders>
              <w:top w:val="single" w:sz="4" w:space="0" w:color="auto"/>
            </w:tcBorders>
            <w:shd w:val="clear" w:color="auto" w:fill="auto"/>
          </w:tcPr>
          <w:p w14:paraId="79EBC591" w14:textId="77777777" w:rsidR="0063701C" w:rsidRPr="000E5825" w:rsidRDefault="0063701C" w:rsidP="00055ACF">
            <w:pPr>
              <w:pStyle w:val="IEEEStdsTableData-Center"/>
              <w:rPr>
                <w:color w:val="FF0000"/>
                <w:u w:val="single"/>
              </w:rPr>
            </w:pPr>
            <w:r w:rsidRPr="000E5825">
              <w:rPr>
                <w:color w:val="FF0000"/>
                <w:u w:val="single"/>
              </w:rPr>
              <w:t>10</w:t>
            </w:r>
          </w:p>
        </w:tc>
        <w:tc>
          <w:tcPr>
            <w:tcW w:w="1056" w:type="pct"/>
            <w:tcBorders>
              <w:top w:val="single" w:sz="4" w:space="0" w:color="auto"/>
            </w:tcBorders>
          </w:tcPr>
          <w:p w14:paraId="650735C6" w14:textId="77777777" w:rsidR="0063701C" w:rsidRPr="000E5825" w:rsidRDefault="0063701C" w:rsidP="00055ACF">
            <w:pPr>
              <w:pStyle w:val="IEEEStdsTableData-Center"/>
              <w:rPr>
                <w:color w:val="FF0000"/>
                <w:u w:val="single"/>
              </w:rPr>
            </w:pPr>
            <w:r w:rsidRPr="000E5825">
              <w:rPr>
                <w:color w:val="FF0000"/>
                <w:u w:val="single"/>
              </w:rPr>
              <w:t>4</w:t>
            </w:r>
          </w:p>
        </w:tc>
        <w:tc>
          <w:tcPr>
            <w:tcW w:w="671" w:type="pct"/>
            <w:tcBorders>
              <w:top w:val="single" w:sz="4" w:space="0" w:color="auto"/>
            </w:tcBorders>
          </w:tcPr>
          <w:p w14:paraId="60A6DA19" w14:textId="77777777" w:rsidR="0063701C" w:rsidRPr="000E5825" w:rsidRDefault="0063701C" w:rsidP="00055ACF">
            <w:pPr>
              <w:pStyle w:val="IEEEStdsTableData-Center"/>
              <w:rPr>
                <w:color w:val="FF0000"/>
                <w:u w:val="single"/>
                <w:lang w:eastAsia="zh-CN"/>
              </w:rPr>
            </w:pPr>
            <w:r w:rsidRPr="000E5825">
              <w:rPr>
                <w:rFonts w:hint="eastAsia"/>
                <w:color w:val="FF0000"/>
                <w:u w:val="single"/>
                <w:lang w:eastAsia="zh-CN"/>
              </w:rPr>
              <w:t>1</w:t>
            </w:r>
          </w:p>
        </w:tc>
      </w:tr>
    </w:tbl>
    <w:p w14:paraId="2277C658" w14:textId="47533C88" w:rsidR="0063701C" w:rsidRPr="000E5825" w:rsidRDefault="0063701C" w:rsidP="0063701C">
      <w:pPr>
        <w:widowControl w:val="0"/>
        <w:autoSpaceDE w:val="0"/>
        <w:autoSpaceDN w:val="0"/>
        <w:adjustRightInd w:val="0"/>
        <w:ind w:firstLineChars="1000" w:firstLine="2008"/>
        <w:rPr>
          <w:rFonts w:ascii="Arial-BoldMT" w:hAnsi="Arial-BoldMT" w:cs="Arial-BoldMT"/>
          <w:b/>
          <w:bCs/>
          <w:color w:val="FF0000"/>
          <w:sz w:val="20"/>
          <w:u w:val="single"/>
          <w:lang w:val="en-US" w:eastAsia="zh-CN"/>
        </w:rPr>
      </w:pPr>
      <w:r w:rsidRPr="000E5825">
        <w:rPr>
          <w:rFonts w:ascii="Arial-BoldMT" w:hAnsi="Arial-BoldMT" w:cs="Arial-BoldMT" w:hint="eastAsia"/>
          <w:b/>
          <w:bCs/>
          <w:color w:val="FF0000"/>
          <w:sz w:val="20"/>
          <w:u w:val="single"/>
          <w:lang w:val="en-US" w:eastAsia="zh-CN"/>
        </w:rPr>
        <w:t>Figure</w:t>
      </w:r>
      <w:r w:rsidRPr="000E5825">
        <w:rPr>
          <w:rFonts w:ascii="Arial-BoldMT" w:hAnsi="Arial-BoldMT" w:cs="Arial-BoldMT"/>
          <w:b/>
          <w:bCs/>
          <w:color w:val="FF0000"/>
          <w:sz w:val="20"/>
          <w:u w:val="single"/>
          <w:lang w:val="en-US" w:eastAsia="zh-CN"/>
        </w:rPr>
        <w:t xml:space="preserve"> 9-xxx5---</w:t>
      </w:r>
      <w:r w:rsidR="00D12F1C">
        <w:rPr>
          <w:rFonts w:ascii="Arial-BoldMT" w:hAnsi="Arial-BoldMT" w:cs="Arial-BoldMT"/>
          <w:b/>
          <w:bCs/>
          <w:color w:val="FF0000"/>
          <w:sz w:val="20"/>
          <w:u w:val="single"/>
          <w:lang w:val="en-US" w:eastAsia="zh-CN"/>
        </w:rPr>
        <w:t xml:space="preserve"> </w:t>
      </w:r>
      <w:r w:rsidR="00D35ED8">
        <w:rPr>
          <w:rFonts w:ascii="Arial-BoldMT" w:hAnsi="Arial-BoldMT" w:cs="Arial-BoldMT"/>
          <w:b/>
          <w:bCs/>
          <w:color w:val="FF0000"/>
          <w:sz w:val="20"/>
          <w:u w:val="single"/>
          <w:lang w:val="en-US" w:eastAsia="zh-CN"/>
        </w:rPr>
        <w:t>Slot</w:t>
      </w:r>
      <w:r w:rsidRPr="000E5825">
        <w:rPr>
          <w:rFonts w:ascii="Arial-BoldMT" w:hAnsi="Arial-BoldMT" w:cs="Arial-BoldMT"/>
          <w:b/>
          <w:bCs/>
          <w:color w:val="FF0000"/>
          <w:sz w:val="20"/>
          <w:u w:val="single"/>
          <w:lang w:val="en-US" w:eastAsia="zh-CN"/>
        </w:rPr>
        <w:t xml:space="preserve"> Schedule Control field format</w:t>
      </w:r>
    </w:p>
    <w:p w14:paraId="6800D9D6"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03B1C59B" w14:textId="77777777" w:rsidR="0063701C" w:rsidRPr="000E5825" w:rsidRDefault="0063701C" w:rsidP="00B4459F">
      <w:pPr>
        <w:widowControl w:val="0"/>
        <w:autoSpaceDE w:val="0"/>
        <w:autoSpaceDN w:val="0"/>
        <w:adjustRightInd w:val="0"/>
        <w:outlineLvl w:val="0"/>
        <w:rPr>
          <w:rFonts w:ascii="Arial-BoldMT" w:hAnsi="Arial-BoldMT" w:cs="Arial-BoldMT"/>
          <w:bCs/>
          <w:color w:val="FF0000"/>
          <w:sz w:val="24"/>
          <w:szCs w:val="24"/>
          <w:u w:val="single"/>
          <w:lang w:val="en-US" w:eastAsia="zh-CN"/>
        </w:rPr>
      </w:pPr>
      <w:r w:rsidRPr="000E5825">
        <w:rPr>
          <w:rFonts w:ascii="Arial-BoldMT" w:hAnsi="Arial-BoldMT" w:cs="Arial-BoldMT" w:hint="eastAsia"/>
          <w:bCs/>
          <w:color w:val="FF0000"/>
          <w:sz w:val="24"/>
          <w:szCs w:val="24"/>
          <w:u w:val="single"/>
          <w:lang w:val="en-US" w:eastAsia="zh-CN"/>
        </w:rPr>
        <w:t xml:space="preserve">The </w:t>
      </w:r>
      <w:r w:rsidRPr="000E5825">
        <w:rPr>
          <w:rFonts w:ascii="Arial-BoldMT" w:hAnsi="Arial-BoldMT" w:cs="Arial-BoldMT"/>
          <w:bCs/>
          <w:color w:val="FF0000"/>
          <w:sz w:val="24"/>
          <w:szCs w:val="24"/>
          <w:u w:val="single"/>
          <w:lang w:val="en-US" w:eastAsia="zh-CN"/>
        </w:rPr>
        <w:t>Channel Aggregation and BW subfields are defined in Table 24.</w:t>
      </w:r>
    </w:p>
    <w:p w14:paraId="55F67D23"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C2B7989" w14:textId="23B2A4F9"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Slot </w:t>
      </w:r>
      <w:r w:rsidR="00983ED2">
        <w:rPr>
          <w:rFonts w:ascii="Arial-BoldMT" w:hAnsi="Arial-BoldMT" w:cs="Arial-BoldMT"/>
          <w:bCs/>
          <w:color w:val="FF0000"/>
          <w:sz w:val="24"/>
          <w:szCs w:val="24"/>
          <w:u w:val="single"/>
          <w:lang w:val="en-US" w:eastAsia="zh-CN"/>
        </w:rPr>
        <w:t xml:space="preserve">Schedule </w:t>
      </w:r>
      <w:r w:rsidRPr="000E5825">
        <w:rPr>
          <w:rFonts w:ascii="Arial-BoldMT" w:hAnsi="Arial-BoldMT" w:cs="Arial-BoldMT"/>
          <w:bCs/>
          <w:color w:val="FF0000"/>
          <w:sz w:val="24"/>
          <w:szCs w:val="24"/>
          <w:u w:val="single"/>
          <w:lang w:val="en-US" w:eastAsia="zh-CN"/>
        </w:rPr>
        <w:t xml:space="preserve">Start Time subfield indicates the lower 4 octets of the TSF timer at the start of the first TDD </w:t>
      </w:r>
      <w:r w:rsidR="00983ED2">
        <w:rPr>
          <w:rFonts w:ascii="Arial-BoldMT" w:hAnsi="Arial-BoldMT" w:cs="Arial-BoldMT"/>
          <w:bCs/>
          <w:color w:val="FF0000"/>
          <w:sz w:val="24"/>
          <w:szCs w:val="24"/>
          <w:u w:val="single"/>
          <w:lang w:val="en-US" w:eastAsia="zh-CN"/>
        </w:rPr>
        <w:t>interval</w:t>
      </w:r>
      <w:r w:rsidR="00983ED2" w:rsidRPr="000E5825">
        <w:rPr>
          <w:rFonts w:ascii="Arial-BoldMT" w:hAnsi="Arial-BoldMT" w:cs="Arial-BoldMT"/>
          <w:bCs/>
          <w:color w:val="FF0000"/>
          <w:sz w:val="24"/>
          <w:szCs w:val="24"/>
          <w:u w:val="single"/>
          <w:lang w:val="en-US" w:eastAsia="zh-CN"/>
        </w:rPr>
        <w:t xml:space="preserve"> </w:t>
      </w:r>
      <w:r w:rsidR="003648E2">
        <w:rPr>
          <w:rFonts w:ascii="Arial-BoldMT" w:hAnsi="Arial-BoldMT" w:cs="Arial-BoldMT"/>
          <w:bCs/>
          <w:color w:val="FF0000"/>
          <w:sz w:val="24"/>
          <w:szCs w:val="24"/>
          <w:u w:val="single"/>
          <w:lang w:val="en-US" w:eastAsia="zh-CN"/>
        </w:rPr>
        <w:t xml:space="preserve">in which </w:t>
      </w:r>
      <w:r w:rsidR="00983ED2">
        <w:rPr>
          <w:rFonts w:ascii="Arial-BoldMT" w:hAnsi="Arial-BoldMT" w:cs="Arial-BoldMT"/>
          <w:bCs/>
          <w:color w:val="FF0000"/>
          <w:sz w:val="24"/>
          <w:szCs w:val="24"/>
          <w:u w:val="single"/>
          <w:lang w:val="en-US" w:eastAsia="zh-CN"/>
        </w:rPr>
        <w:t>the schedule</w:t>
      </w:r>
      <w:r w:rsidRPr="000E5825">
        <w:rPr>
          <w:rFonts w:ascii="Arial-BoldMT" w:hAnsi="Arial-BoldMT" w:cs="Arial-BoldMT"/>
          <w:bCs/>
          <w:color w:val="FF0000"/>
          <w:sz w:val="24"/>
          <w:szCs w:val="24"/>
          <w:u w:val="single"/>
          <w:lang w:val="en-US" w:eastAsia="zh-CN"/>
        </w:rPr>
        <w:t xml:space="preserve"> take</w:t>
      </w:r>
      <w:r w:rsidR="003648E2">
        <w:rPr>
          <w:rFonts w:ascii="Arial-BoldMT" w:hAnsi="Arial-BoldMT" w:cs="Arial-BoldMT"/>
          <w:bCs/>
          <w:color w:val="FF0000"/>
          <w:sz w:val="24"/>
          <w:szCs w:val="24"/>
          <w:u w:val="single"/>
          <w:lang w:val="en-US" w:eastAsia="zh-CN"/>
        </w:rPr>
        <w:t>s</w:t>
      </w:r>
      <w:r w:rsidRPr="000E5825">
        <w:rPr>
          <w:rFonts w:ascii="Arial-BoldMT" w:hAnsi="Arial-BoldMT" w:cs="Arial-BoldMT"/>
          <w:bCs/>
          <w:color w:val="FF0000"/>
          <w:sz w:val="24"/>
          <w:szCs w:val="24"/>
          <w:u w:val="single"/>
          <w:lang w:val="en-US" w:eastAsia="zh-CN"/>
        </w:rPr>
        <w:t xml:space="preserve"> effect.</w:t>
      </w:r>
    </w:p>
    <w:p w14:paraId="5AE26418"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3A26D924" w14:textId="2ABB3DBD"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Number of TDD </w:t>
      </w:r>
      <w:r w:rsidR="00983ED2">
        <w:rPr>
          <w:rFonts w:ascii="Arial-BoldMT" w:hAnsi="Arial-BoldMT" w:cs="Arial-BoldMT"/>
          <w:bCs/>
          <w:color w:val="FF0000"/>
          <w:sz w:val="24"/>
          <w:szCs w:val="24"/>
          <w:u w:val="single"/>
          <w:lang w:val="en-US" w:eastAsia="zh-CN"/>
        </w:rPr>
        <w:t>Intervals</w:t>
      </w:r>
      <w:r w:rsidR="00983ED2" w:rsidRPr="000E5825">
        <w:rPr>
          <w:rFonts w:ascii="Arial-BoldMT" w:hAnsi="Arial-BoldMT" w:cs="Arial-BoldMT"/>
          <w:bCs/>
          <w:color w:val="FF0000"/>
          <w:sz w:val="24"/>
          <w:szCs w:val="24"/>
          <w:u w:val="single"/>
          <w:lang w:val="en-US" w:eastAsia="zh-CN"/>
        </w:rPr>
        <w:t xml:space="preserve"> </w:t>
      </w:r>
      <w:r w:rsidR="003648E2">
        <w:rPr>
          <w:rFonts w:ascii="Arial-BoldMT" w:hAnsi="Arial-BoldMT" w:cs="Arial-BoldMT"/>
          <w:bCs/>
          <w:color w:val="FF0000"/>
          <w:sz w:val="24"/>
          <w:szCs w:val="24"/>
          <w:u w:val="single"/>
          <w:lang w:val="en-US" w:eastAsia="zh-CN"/>
        </w:rPr>
        <w:t xml:space="preserve">in the Bitmap </w:t>
      </w:r>
      <w:r w:rsidRPr="000E5825">
        <w:rPr>
          <w:rFonts w:ascii="Arial-BoldMT" w:hAnsi="Arial-BoldMT" w:cs="Arial-BoldMT"/>
          <w:bCs/>
          <w:color w:val="FF0000"/>
          <w:sz w:val="24"/>
          <w:szCs w:val="24"/>
          <w:u w:val="single"/>
          <w:lang w:val="en-US" w:eastAsia="zh-CN"/>
        </w:rPr>
        <w:t xml:space="preserve">subfield indicates the number of TDD </w:t>
      </w:r>
      <w:r w:rsidR="00983ED2">
        <w:rPr>
          <w:rFonts w:ascii="Arial-BoldMT" w:hAnsi="Arial-BoldMT" w:cs="Arial-BoldMT"/>
          <w:bCs/>
          <w:color w:val="FF0000"/>
          <w:sz w:val="24"/>
          <w:szCs w:val="24"/>
          <w:u w:val="single"/>
          <w:lang w:val="en-US" w:eastAsia="zh-CN"/>
        </w:rPr>
        <w:t>intervals</w:t>
      </w:r>
      <w:r w:rsidR="00983ED2" w:rsidRPr="000E5825">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in the </w:t>
      </w:r>
      <w:r w:rsidR="003648E2">
        <w:rPr>
          <w:rFonts w:ascii="Arial-BoldMT" w:hAnsi="Arial-BoldMT" w:cs="Arial-BoldMT"/>
          <w:bCs/>
          <w:color w:val="FF0000"/>
          <w:sz w:val="24"/>
          <w:szCs w:val="24"/>
          <w:u w:val="single"/>
          <w:lang w:val="en-US" w:eastAsia="zh-CN"/>
        </w:rPr>
        <w:t>b</w:t>
      </w:r>
      <w:r w:rsidR="003648E2" w:rsidRPr="000E5825">
        <w:rPr>
          <w:rFonts w:ascii="Arial-BoldMT" w:hAnsi="Arial-BoldMT" w:cs="Arial-BoldMT"/>
          <w:bCs/>
          <w:color w:val="FF0000"/>
          <w:sz w:val="24"/>
          <w:szCs w:val="24"/>
          <w:u w:val="single"/>
          <w:lang w:val="en-US" w:eastAsia="zh-CN"/>
        </w:rPr>
        <w:t xml:space="preserve">itmap </w:t>
      </w:r>
      <w:r w:rsidRPr="000E5825">
        <w:rPr>
          <w:rFonts w:ascii="Arial-BoldMT" w:hAnsi="Arial-BoldMT" w:cs="Arial-BoldMT"/>
          <w:bCs/>
          <w:color w:val="FF0000"/>
          <w:sz w:val="24"/>
          <w:szCs w:val="24"/>
          <w:u w:val="single"/>
          <w:lang w:val="en-US" w:eastAsia="zh-CN"/>
        </w:rPr>
        <w:t xml:space="preserve">following the </w:t>
      </w:r>
      <w:r w:rsidR="003648E2">
        <w:rPr>
          <w:rFonts w:ascii="Arial-BoldMT" w:hAnsi="Arial-BoldMT" w:cs="Arial-BoldMT"/>
          <w:bCs/>
          <w:color w:val="FF0000"/>
          <w:sz w:val="24"/>
          <w:szCs w:val="24"/>
          <w:u w:val="single"/>
          <w:lang w:val="en-US" w:eastAsia="zh-CN"/>
        </w:rPr>
        <w:t xml:space="preserve">time indicated by the </w:t>
      </w:r>
      <w:r w:rsidRPr="000E5825">
        <w:rPr>
          <w:rFonts w:ascii="Arial-BoldMT" w:hAnsi="Arial-BoldMT" w:cs="Arial-BoldMT"/>
          <w:bCs/>
          <w:color w:val="FF0000"/>
          <w:sz w:val="24"/>
          <w:szCs w:val="24"/>
          <w:u w:val="single"/>
          <w:lang w:val="en-US" w:eastAsia="zh-CN"/>
        </w:rPr>
        <w:t xml:space="preserve">Slot </w:t>
      </w:r>
      <w:r w:rsidR="00A16597">
        <w:rPr>
          <w:rFonts w:ascii="Arial-BoldMT" w:hAnsi="Arial-BoldMT" w:cs="Arial-BoldMT"/>
          <w:bCs/>
          <w:color w:val="FF0000"/>
          <w:sz w:val="24"/>
          <w:szCs w:val="24"/>
          <w:u w:val="single"/>
          <w:lang w:val="en-US" w:eastAsia="zh-CN"/>
        </w:rPr>
        <w:t xml:space="preserve">Schedule </w:t>
      </w:r>
      <w:r w:rsidRPr="000E5825">
        <w:rPr>
          <w:rFonts w:ascii="Arial-BoldMT" w:hAnsi="Arial-BoldMT" w:cs="Arial-BoldMT"/>
          <w:bCs/>
          <w:color w:val="FF0000"/>
          <w:sz w:val="24"/>
          <w:szCs w:val="24"/>
          <w:u w:val="single"/>
          <w:lang w:val="en-US" w:eastAsia="zh-CN"/>
        </w:rPr>
        <w:t>Start Time</w:t>
      </w:r>
      <w:r w:rsidR="003648E2">
        <w:rPr>
          <w:rFonts w:ascii="Arial-BoldMT" w:hAnsi="Arial-BoldMT" w:cs="Arial-BoldMT"/>
          <w:bCs/>
          <w:color w:val="FF0000"/>
          <w:sz w:val="24"/>
          <w:szCs w:val="24"/>
          <w:u w:val="single"/>
          <w:lang w:val="en-US" w:eastAsia="zh-CN"/>
        </w:rPr>
        <w:t xml:space="preserve"> subfield</w:t>
      </w:r>
      <w:r w:rsidRPr="000E5825">
        <w:rPr>
          <w:rFonts w:ascii="Arial-BoldMT" w:hAnsi="Arial-BoldMT" w:cs="Arial-BoldMT"/>
          <w:bCs/>
          <w:color w:val="FF0000"/>
          <w:sz w:val="24"/>
          <w:szCs w:val="24"/>
          <w:u w:val="single"/>
          <w:lang w:val="en-US" w:eastAsia="zh-CN"/>
        </w:rPr>
        <w:t>.</w:t>
      </w:r>
    </w:p>
    <w:p w14:paraId="7F650D8B"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62C59B09" w14:textId="3CFA45BE" w:rsidR="0063701C"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The Allocation ID</w:t>
      </w:r>
      <w:r w:rsidRPr="000E5825">
        <w:rPr>
          <w:rFonts w:ascii="Arial-BoldMT" w:hAnsi="Arial-BoldMT" w:cs="Arial-BoldMT" w:hint="eastAsia"/>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subfield is set to the same value </w:t>
      </w:r>
      <w:r w:rsidR="003648E2">
        <w:rPr>
          <w:rFonts w:ascii="Arial-BoldMT" w:hAnsi="Arial-BoldMT" w:cs="Arial-BoldMT"/>
          <w:bCs/>
          <w:color w:val="FF0000"/>
          <w:sz w:val="24"/>
          <w:szCs w:val="24"/>
          <w:u w:val="single"/>
          <w:lang w:val="en-US" w:eastAsia="zh-CN"/>
        </w:rPr>
        <w:t>of</w:t>
      </w:r>
      <w:r w:rsidR="003648E2" w:rsidRPr="000E5825">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the Allocation ID subfield in Allocation Control field </w:t>
      </w:r>
      <w:r w:rsidR="003648E2">
        <w:rPr>
          <w:rFonts w:ascii="Arial-BoldMT" w:hAnsi="Arial-BoldMT" w:cs="Arial-BoldMT"/>
          <w:bCs/>
          <w:color w:val="FF0000"/>
          <w:sz w:val="24"/>
          <w:szCs w:val="24"/>
          <w:u w:val="single"/>
          <w:lang w:val="en-US" w:eastAsia="zh-CN"/>
        </w:rPr>
        <w:t>of</w:t>
      </w:r>
      <w:r w:rsidR="003648E2" w:rsidRPr="000E5825">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the </w:t>
      </w:r>
      <w:r w:rsidR="003648E2">
        <w:rPr>
          <w:rFonts w:ascii="Arial-BoldMT" w:hAnsi="Arial-BoldMT" w:cs="Arial-BoldMT"/>
          <w:bCs/>
          <w:color w:val="FF0000"/>
          <w:sz w:val="24"/>
          <w:szCs w:val="24"/>
          <w:u w:val="single"/>
          <w:lang w:val="en-US" w:eastAsia="zh-CN"/>
        </w:rPr>
        <w:t xml:space="preserve">Extended Schedule element describing the </w:t>
      </w:r>
      <w:r w:rsidRPr="000E5825">
        <w:rPr>
          <w:rFonts w:ascii="Arial-BoldMT" w:hAnsi="Arial-BoldMT" w:cs="Arial-BoldMT"/>
          <w:bCs/>
          <w:color w:val="FF0000"/>
          <w:sz w:val="24"/>
          <w:szCs w:val="24"/>
          <w:u w:val="single"/>
          <w:lang w:val="en-US" w:eastAsia="zh-CN"/>
        </w:rPr>
        <w:t>SP allocation.</w:t>
      </w:r>
    </w:p>
    <w:p w14:paraId="158EF4CA" w14:textId="77777777" w:rsidR="005F1871" w:rsidRDefault="005F1871"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5D7CFB48" w14:textId="77777777" w:rsidR="005F1871" w:rsidRPr="000E5825" w:rsidRDefault="005F1871" w:rsidP="005F1871">
      <w:pPr>
        <w:widowControl w:val="0"/>
        <w:autoSpaceDE w:val="0"/>
        <w:autoSpaceDN w:val="0"/>
        <w:adjustRightInd w:val="0"/>
        <w:rPr>
          <w:rFonts w:ascii="Arial-BoldMT" w:hAnsi="Arial-BoldMT" w:cs="Arial-BoldMT"/>
          <w:bCs/>
          <w:color w:val="FF0000"/>
          <w:sz w:val="24"/>
          <w:szCs w:val="24"/>
          <w:u w:val="single"/>
          <w:lang w:val="en-US" w:eastAsia="zh-CN"/>
        </w:rPr>
      </w:pPr>
      <w:r w:rsidRPr="000E5825">
        <w:rPr>
          <w:rFonts w:ascii="Arial-BoldMT" w:hAnsi="Arial-BoldMT" w:cs="Arial-BoldMT"/>
          <w:bCs/>
          <w:color w:val="FF0000"/>
          <w:sz w:val="24"/>
          <w:szCs w:val="24"/>
          <w:u w:val="single"/>
          <w:lang w:val="en-US" w:eastAsia="zh-CN"/>
        </w:rPr>
        <w:t xml:space="preserve">The Bitmap and Access Type Schedule field defines the type </w:t>
      </w:r>
      <w:r>
        <w:rPr>
          <w:rFonts w:ascii="Arial-BoldMT" w:hAnsi="Arial-BoldMT" w:cs="Arial-BoldMT"/>
          <w:bCs/>
          <w:color w:val="FF0000"/>
          <w:sz w:val="24"/>
          <w:szCs w:val="24"/>
          <w:u w:val="single"/>
          <w:lang w:val="en-US" w:eastAsia="zh-CN"/>
        </w:rPr>
        <w:t xml:space="preserve">of a TDD slot and the </w:t>
      </w:r>
      <w:r w:rsidRPr="000E5825">
        <w:rPr>
          <w:rFonts w:ascii="Arial-BoldMT" w:hAnsi="Arial-BoldMT" w:cs="Arial-BoldMT"/>
          <w:bCs/>
          <w:color w:val="FF0000"/>
          <w:sz w:val="24"/>
          <w:szCs w:val="24"/>
          <w:u w:val="single"/>
          <w:lang w:val="en-US" w:eastAsia="zh-CN"/>
        </w:rPr>
        <w:t xml:space="preserve">access permission of a DMG STA to </w:t>
      </w:r>
      <w:r>
        <w:rPr>
          <w:rFonts w:ascii="Arial-BoldMT" w:hAnsi="Arial-BoldMT" w:cs="Arial-BoldMT"/>
          <w:bCs/>
          <w:color w:val="FF0000"/>
          <w:sz w:val="24"/>
          <w:szCs w:val="24"/>
          <w:u w:val="single"/>
          <w:lang w:val="en-US" w:eastAsia="zh-CN"/>
        </w:rPr>
        <w:t>the</w:t>
      </w:r>
      <w:r w:rsidRPr="000E5825">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TDD slot</w:t>
      </w:r>
      <w:r w:rsidRPr="000E5825">
        <w:rPr>
          <w:rFonts w:ascii="Arial-BoldMT" w:hAnsi="Arial-BoldMT" w:cs="Arial-BoldMT"/>
          <w:bCs/>
          <w:color w:val="FF0000"/>
          <w:sz w:val="24"/>
          <w:szCs w:val="24"/>
          <w:u w:val="single"/>
          <w:lang w:val="en-US" w:eastAsia="zh-CN"/>
        </w:rPr>
        <w:t xml:space="preserve">s covered by this bitmap. Each pair of consecutive 2 bits indicates the </w:t>
      </w:r>
      <w:r>
        <w:rPr>
          <w:rFonts w:ascii="Arial-BoldMT" w:hAnsi="Arial-BoldMT" w:cs="Arial-BoldMT"/>
          <w:bCs/>
          <w:color w:val="FF0000"/>
          <w:sz w:val="24"/>
          <w:szCs w:val="24"/>
          <w:u w:val="single"/>
          <w:lang w:val="en-US" w:eastAsia="zh-CN"/>
        </w:rPr>
        <w:t xml:space="preserve">type and </w:t>
      </w:r>
      <w:r w:rsidRPr="000E5825">
        <w:rPr>
          <w:rFonts w:ascii="Arial-BoldMT" w:hAnsi="Arial-BoldMT" w:cs="Arial-BoldMT"/>
          <w:bCs/>
          <w:color w:val="FF0000"/>
          <w:sz w:val="24"/>
          <w:szCs w:val="24"/>
          <w:u w:val="single"/>
          <w:lang w:val="en-US" w:eastAsia="zh-CN"/>
        </w:rPr>
        <w:t xml:space="preserve">access permission </w:t>
      </w:r>
      <w:r>
        <w:rPr>
          <w:rFonts w:ascii="Arial-BoldMT" w:hAnsi="Arial-BoldMT" w:cs="Arial-BoldMT"/>
          <w:bCs/>
          <w:color w:val="FF0000"/>
          <w:sz w:val="24"/>
          <w:szCs w:val="24"/>
          <w:u w:val="single"/>
          <w:lang w:val="en-US" w:eastAsia="zh-CN"/>
        </w:rPr>
        <w:t>of the</w:t>
      </w:r>
      <w:r w:rsidRPr="000E5825">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TDD slot</w:t>
      </w:r>
      <w:r w:rsidRPr="000E5825">
        <w:rPr>
          <w:rFonts w:ascii="Arial-BoldMT" w:hAnsi="Arial-BoldMT" w:cs="Arial-BoldMT"/>
          <w:bCs/>
          <w:color w:val="FF0000"/>
          <w:sz w:val="24"/>
          <w:szCs w:val="24"/>
          <w:u w:val="single"/>
          <w:lang w:val="en-US" w:eastAsia="zh-CN"/>
        </w:rPr>
        <w:t xml:space="preserve">. A value of </w:t>
      </w:r>
      <w:r w:rsidRPr="000E5825">
        <w:rPr>
          <w:rFonts w:ascii="Arial-BoldMT" w:hAnsi="Arial-BoldMT" w:cs="Arial-BoldMT"/>
          <w:bCs/>
          <w:color w:val="FF0000"/>
          <w:sz w:val="24"/>
          <w:szCs w:val="24"/>
          <w:u w:val="single"/>
          <w:lang w:val="en-US" w:eastAsia="zh-CN"/>
        </w:rPr>
        <w:lastRenderedPageBreak/>
        <w:t>00</w:t>
      </w:r>
      <w:r>
        <w:rPr>
          <w:rFonts w:ascii="Arial-BoldMT" w:hAnsi="Arial-BoldMT" w:cs="Arial-BoldMT"/>
          <w:bCs/>
          <w:color w:val="FF0000"/>
          <w:sz w:val="24"/>
          <w:szCs w:val="24"/>
          <w:u w:val="single"/>
          <w:lang w:val="en-US" w:eastAsia="zh-CN"/>
        </w:rPr>
        <w:t xml:space="preserve"> (binary)</w:t>
      </w:r>
      <w:r w:rsidRPr="000E5825">
        <w:rPr>
          <w:rFonts w:ascii="Arial-BoldMT" w:hAnsi="Arial-BoldMT" w:cs="Arial-BoldMT"/>
          <w:bCs/>
          <w:color w:val="FF0000"/>
          <w:sz w:val="24"/>
          <w:szCs w:val="24"/>
          <w:u w:val="single"/>
          <w:lang w:val="en-US" w:eastAsia="zh-CN"/>
        </w:rPr>
        <w:t xml:space="preserve"> indicates </w:t>
      </w:r>
      <w:r>
        <w:rPr>
          <w:rFonts w:ascii="Arial-BoldMT" w:hAnsi="Arial-BoldMT" w:cs="Arial-BoldMT"/>
          <w:bCs/>
          <w:color w:val="FF0000"/>
          <w:sz w:val="24"/>
          <w:szCs w:val="24"/>
          <w:u w:val="single"/>
          <w:lang w:val="en-US" w:eastAsia="zh-CN"/>
        </w:rPr>
        <w:t xml:space="preserve">that </w:t>
      </w:r>
      <w:r w:rsidRPr="000E5825">
        <w:rPr>
          <w:rFonts w:ascii="Arial-BoldMT" w:hAnsi="Arial-BoldMT" w:cs="Arial-BoldMT"/>
          <w:bCs/>
          <w:color w:val="FF0000"/>
          <w:sz w:val="24"/>
          <w:szCs w:val="24"/>
          <w:u w:val="single"/>
          <w:lang w:val="en-US" w:eastAsia="zh-CN"/>
        </w:rPr>
        <w:t xml:space="preserve">the </w:t>
      </w:r>
      <w:r>
        <w:rPr>
          <w:rFonts w:ascii="Arial-BoldMT" w:hAnsi="Arial-BoldMT" w:cs="Arial-BoldMT"/>
          <w:bCs/>
          <w:color w:val="FF0000"/>
          <w:sz w:val="24"/>
          <w:szCs w:val="24"/>
          <w:u w:val="single"/>
          <w:lang w:val="en-US" w:eastAsia="zh-CN"/>
        </w:rPr>
        <w:t>TDD slot is unassigned</w:t>
      </w:r>
      <w:r w:rsidRPr="000E5825">
        <w:rPr>
          <w:rFonts w:ascii="Arial-BoldMT" w:hAnsi="Arial-BoldMT" w:cs="Arial-BoldMT"/>
          <w:bCs/>
          <w:color w:val="FF0000"/>
          <w:sz w:val="24"/>
          <w:szCs w:val="24"/>
          <w:u w:val="single"/>
          <w:lang w:val="en-US" w:eastAsia="zh-CN"/>
        </w:rPr>
        <w:t xml:space="preserve">. A value of 01 </w:t>
      </w:r>
      <w:r>
        <w:rPr>
          <w:rFonts w:ascii="Arial-BoldMT" w:hAnsi="Arial-BoldMT" w:cs="Arial-BoldMT"/>
          <w:bCs/>
          <w:color w:val="FF0000"/>
          <w:sz w:val="24"/>
          <w:szCs w:val="24"/>
          <w:u w:val="single"/>
          <w:lang w:val="en-US" w:eastAsia="zh-CN"/>
        </w:rPr>
        <w:t xml:space="preserve">(binary) </w:t>
      </w:r>
      <w:r w:rsidRPr="000E5825">
        <w:rPr>
          <w:rFonts w:ascii="Arial-BoldMT" w:hAnsi="Arial-BoldMT" w:cs="Arial-BoldMT"/>
          <w:bCs/>
          <w:color w:val="FF0000"/>
          <w:sz w:val="24"/>
          <w:szCs w:val="24"/>
          <w:u w:val="single"/>
          <w:lang w:val="en-US" w:eastAsia="zh-CN"/>
        </w:rPr>
        <w:t xml:space="preserve">indicates the STA is assigned to a simplex TX </w:t>
      </w:r>
      <w:r>
        <w:rPr>
          <w:rFonts w:ascii="Arial-BoldMT" w:hAnsi="Arial-BoldMT" w:cs="Arial-BoldMT"/>
          <w:bCs/>
          <w:color w:val="FF0000"/>
          <w:sz w:val="24"/>
          <w:szCs w:val="24"/>
          <w:u w:val="single"/>
          <w:lang w:val="en-US" w:eastAsia="zh-CN"/>
        </w:rPr>
        <w:t>TDD slot</w:t>
      </w:r>
      <w:r w:rsidRPr="000E5825">
        <w:rPr>
          <w:rFonts w:ascii="Arial-BoldMT" w:hAnsi="Arial-BoldMT" w:cs="Arial-BoldMT"/>
          <w:bCs/>
          <w:color w:val="FF0000"/>
          <w:sz w:val="24"/>
          <w:szCs w:val="24"/>
          <w:u w:val="single"/>
          <w:lang w:val="en-US" w:eastAsia="zh-CN"/>
        </w:rPr>
        <w:t xml:space="preserve">. A value of 10 </w:t>
      </w:r>
      <w:r>
        <w:rPr>
          <w:rFonts w:ascii="Arial-BoldMT" w:hAnsi="Arial-BoldMT" w:cs="Arial-BoldMT"/>
          <w:bCs/>
          <w:color w:val="FF0000"/>
          <w:sz w:val="24"/>
          <w:szCs w:val="24"/>
          <w:u w:val="single"/>
          <w:lang w:val="en-US" w:eastAsia="zh-CN"/>
        </w:rPr>
        <w:t xml:space="preserve">(binary) </w:t>
      </w:r>
      <w:r w:rsidRPr="000E5825">
        <w:rPr>
          <w:rFonts w:ascii="Arial-BoldMT" w:hAnsi="Arial-BoldMT" w:cs="Arial-BoldMT"/>
          <w:bCs/>
          <w:color w:val="FF0000"/>
          <w:sz w:val="24"/>
          <w:szCs w:val="24"/>
          <w:u w:val="single"/>
          <w:lang w:val="en-US" w:eastAsia="zh-CN"/>
        </w:rPr>
        <w:t xml:space="preserve">indicates the STA is assigned to a simplex RX </w:t>
      </w:r>
      <w:r>
        <w:rPr>
          <w:rFonts w:ascii="Arial-BoldMT" w:hAnsi="Arial-BoldMT" w:cs="Arial-BoldMT"/>
          <w:bCs/>
          <w:color w:val="FF0000"/>
          <w:sz w:val="24"/>
          <w:szCs w:val="24"/>
          <w:u w:val="single"/>
          <w:lang w:val="en-US" w:eastAsia="zh-CN"/>
        </w:rPr>
        <w:t>TDD slot</w:t>
      </w:r>
      <w:r w:rsidRPr="000E5825">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V</w:t>
      </w:r>
      <w:r w:rsidRPr="000E5825">
        <w:rPr>
          <w:rFonts w:ascii="Arial-BoldMT" w:hAnsi="Arial-BoldMT" w:cs="Arial-BoldMT"/>
          <w:bCs/>
          <w:color w:val="FF0000"/>
          <w:sz w:val="24"/>
          <w:szCs w:val="24"/>
          <w:u w:val="single"/>
          <w:lang w:val="en-US" w:eastAsia="zh-CN"/>
        </w:rPr>
        <w:t xml:space="preserve">alue 11 </w:t>
      </w:r>
      <w:r>
        <w:rPr>
          <w:rFonts w:ascii="Arial-BoldMT" w:hAnsi="Arial-BoldMT" w:cs="Arial-BoldMT"/>
          <w:bCs/>
          <w:color w:val="FF0000"/>
          <w:sz w:val="24"/>
          <w:szCs w:val="24"/>
          <w:u w:val="single"/>
          <w:lang w:val="en-US" w:eastAsia="zh-CN"/>
        </w:rPr>
        <w:t xml:space="preserve">(binary) </w:t>
      </w:r>
      <w:r w:rsidRPr="000E5825">
        <w:rPr>
          <w:rFonts w:ascii="Arial-BoldMT" w:hAnsi="Arial-BoldMT" w:cs="Arial-BoldMT"/>
          <w:bCs/>
          <w:color w:val="FF0000"/>
          <w:sz w:val="24"/>
          <w:szCs w:val="24"/>
          <w:u w:val="single"/>
          <w:lang w:val="en-US" w:eastAsia="zh-CN"/>
        </w:rPr>
        <w:t>is reserved.</w:t>
      </w:r>
      <w:r>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The </w:t>
      </w:r>
      <w:r>
        <w:rPr>
          <w:rFonts w:ascii="Arial-BoldMT" w:hAnsi="Arial-BoldMT" w:cs="Arial-BoldMT"/>
          <w:bCs/>
          <w:color w:val="FF0000"/>
          <w:sz w:val="24"/>
          <w:szCs w:val="24"/>
          <w:u w:val="single"/>
          <w:lang w:val="en-US" w:eastAsia="zh-CN"/>
        </w:rPr>
        <w:t xml:space="preserve">size of the </w:t>
      </w:r>
      <w:r w:rsidRPr="000E5825">
        <w:rPr>
          <w:rFonts w:ascii="Arial-BoldMT" w:hAnsi="Arial-BoldMT" w:cs="Arial-BoldMT"/>
          <w:bCs/>
          <w:color w:val="FF0000"/>
          <w:sz w:val="24"/>
          <w:szCs w:val="24"/>
          <w:u w:val="single"/>
          <w:lang w:val="en-US" w:eastAsia="zh-CN"/>
        </w:rPr>
        <w:t>Bitmap and Access Type Schedule field</w:t>
      </w:r>
      <w:r>
        <w:rPr>
          <w:rFonts w:ascii="Arial-BoldMT" w:hAnsi="Arial-BoldMT" w:cs="Arial-BoldMT"/>
          <w:bCs/>
          <w:color w:val="FF0000"/>
          <w:sz w:val="24"/>
          <w:szCs w:val="24"/>
          <w:u w:val="single"/>
          <w:lang w:val="en-US" w:eastAsia="zh-CN"/>
        </w:rPr>
        <w:t xml:space="preserve"> </w:t>
      </w:r>
      <w:r w:rsidRPr="000E5825">
        <w:rPr>
          <w:rFonts w:ascii="Arial-BoldMT" w:hAnsi="Arial-BoldMT" w:cs="Arial-BoldMT"/>
          <w:bCs/>
          <w:color w:val="FF0000"/>
          <w:sz w:val="24"/>
          <w:szCs w:val="24"/>
          <w:u w:val="single"/>
          <w:lang w:val="en-US" w:eastAsia="zh-CN"/>
        </w:rPr>
        <w:t xml:space="preserve">is </w:t>
      </w:r>
      <w:r>
        <w:rPr>
          <w:rFonts w:ascii="Arial-BoldMT" w:hAnsi="Arial-BoldMT" w:cs="Arial-BoldMT"/>
          <w:bCs/>
          <w:color w:val="FF0000"/>
          <w:sz w:val="24"/>
          <w:szCs w:val="24"/>
          <w:u w:val="single"/>
          <w:lang w:val="en-US" w:eastAsia="zh-CN"/>
        </w:rPr>
        <w:t xml:space="preserve">a function of the </w:t>
      </w:r>
      <w:r w:rsidRPr="000E5825">
        <w:rPr>
          <w:rFonts w:ascii="Arial-BoldMT" w:hAnsi="Arial-BoldMT" w:cs="Arial-BoldMT"/>
          <w:bCs/>
          <w:color w:val="FF0000"/>
          <w:sz w:val="24"/>
          <w:szCs w:val="24"/>
          <w:u w:val="single"/>
          <w:lang w:val="en-US" w:eastAsia="zh-CN"/>
        </w:rPr>
        <w:t xml:space="preserve">value of the Number of </w:t>
      </w:r>
      <w:r>
        <w:rPr>
          <w:rFonts w:ascii="Arial-BoldMT" w:hAnsi="Arial-BoldMT" w:cs="Arial-BoldMT"/>
          <w:bCs/>
          <w:color w:val="FF0000"/>
          <w:sz w:val="24"/>
          <w:szCs w:val="24"/>
          <w:u w:val="single"/>
          <w:lang w:val="en-US" w:eastAsia="zh-CN"/>
        </w:rPr>
        <w:t>TDD Slot</w:t>
      </w:r>
      <w:r w:rsidRPr="000E5825">
        <w:rPr>
          <w:rFonts w:ascii="Arial-BoldMT" w:hAnsi="Arial-BoldMT" w:cs="Arial-BoldMT"/>
          <w:bCs/>
          <w:color w:val="FF0000"/>
          <w:sz w:val="24"/>
          <w:szCs w:val="24"/>
          <w:u w:val="single"/>
          <w:lang w:val="en-US" w:eastAsia="zh-CN"/>
        </w:rPr>
        <w:t xml:space="preserve">s per TDD </w:t>
      </w:r>
      <w:r>
        <w:rPr>
          <w:rFonts w:ascii="Arial-BoldMT" w:hAnsi="Arial-BoldMT" w:cs="Arial-BoldMT"/>
          <w:bCs/>
          <w:color w:val="FF0000"/>
          <w:sz w:val="24"/>
          <w:szCs w:val="24"/>
          <w:u w:val="single"/>
          <w:lang w:val="en-US" w:eastAsia="zh-CN"/>
        </w:rPr>
        <w:t>Interval</w:t>
      </w:r>
      <w:r w:rsidRPr="000E5825">
        <w:rPr>
          <w:rFonts w:ascii="Arial-BoldMT" w:hAnsi="Arial-BoldMT" w:cs="Arial-BoldMT"/>
          <w:bCs/>
          <w:color w:val="FF0000"/>
          <w:sz w:val="24"/>
          <w:szCs w:val="24"/>
          <w:u w:val="single"/>
          <w:lang w:val="en-US" w:eastAsia="zh-CN"/>
        </w:rPr>
        <w:t xml:space="preserve"> subfield</w:t>
      </w:r>
      <w:r>
        <w:rPr>
          <w:rFonts w:ascii="Arial-BoldMT" w:hAnsi="Arial-BoldMT" w:cs="Arial-BoldMT"/>
          <w:bCs/>
          <w:color w:val="FF0000"/>
          <w:sz w:val="24"/>
          <w:szCs w:val="24"/>
          <w:u w:val="single"/>
          <w:lang w:val="en-US" w:eastAsia="zh-CN"/>
        </w:rPr>
        <w:t xml:space="preserve"> in the TDD S</w:t>
      </w:r>
      <w:r>
        <w:rPr>
          <w:rFonts w:ascii="Arial-BoldMT" w:hAnsi="Arial-BoldMT" w:cs="Arial-BoldMT" w:hint="eastAsia"/>
          <w:bCs/>
          <w:color w:val="FF0000"/>
          <w:sz w:val="24"/>
          <w:szCs w:val="24"/>
          <w:u w:val="single"/>
          <w:lang w:val="en-US" w:eastAsia="zh-CN"/>
        </w:rPr>
        <w:t>l</w:t>
      </w:r>
      <w:r>
        <w:rPr>
          <w:rFonts w:ascii="Arial-BoldMT" w:hAnsi="Arial-BoldMT" w:cs="Arial-BoldMT"/>
          <w:bCs/>
          <w:color w:val="FF0000"/>
          <w:sz w:val="24"/>
          <w:szCs w:val="24"/>
          <w:u w:val="single"/>
          <w:lang w:val="en-US" w:eastAsia="zh-CN"/>
        </w:rPr>
        <w:t xml:space="preserve">ot Structure element, </w:t>
      </w:r>
      <w:r w:rsidRPr="009F61DC">
        <w:rPr>
          <w:rFonts w:ascii="Arial-BoldMT" w:hAnsi="Arial-BoldMT" w:cs="Arial-BoldMT" w:hint="eastAsia"/>
          <w:bCs/>
          <w:i/>
          <w:color w:val="FF0000"/>
          <w:sz w:val="24"/>
          <w:szCs w:val="24"/>
          <w:u w:val="single"/>
          <w:lang w:val="en-US" w:eastAsia="zh-CN"/>
        </w:rPr>
        <w:t>M</w:t>
      </w:r>
      <w:r>
        <w:rPr>
          <w:rFonts w:ascii="Arial-BoldMT" w:hAnsi="Arial-BoldMT" w:cs="Arial-BoldMT"/>
          <w:bCs/>
          <w:color w:val="FF0000"/>
          <w:sz w:val="24"/>
          <w:szCs w:val="24"/>
          <w:u w:val="single"/>
          <w:lang w:val="en-US" w:eastAsia="zh-CN"/>
        </w:rPr>
        <w:t xml:space="preserve">, and the </w:t>
      </w:r>
      <w:r w:rsidRPr="000E5825">
        <w:rPr>
          <w:rFonts w:ascii="Arial-BoldMT" w:hAnsi="Arial-BoldMT" w:cs="Arial-BoldMT"/>
          <w:bCs/>
          <w:color w:val="FF0000"/>
          <w:sz w:val="24"/>
          <w:szCs w:val="24"/>
          <w:u w:val="single"/>
          <w:lang w:val="en-US" w:eastAsia="zh-CN"/>
        </w:rPr>
        <w:t xml:space="preserve">value of the Number of TDD </w:t>
      </w:r>
      <w:r>
        <w:rPr>
          <w:rFonts w:ascii="Arial-BoldMT" w:hAnsi="Arial-BoldMT" w:cs="Arial-BoldMT"/>
          <w:bCs/>
          <w:color w:val="FF0000"/>
          <w:sz w:val="24"/>
          <w:szCs w:val="24"/>
          <w:u w:val="single"/>
          <w:lang w:val="en-US" w:eastAsia="zh-CN"/>
        </w:rPr>
        <w:t>Intervals</w:t>
      </w:r>
      <w:r w:rsidRPr="000E5825">
        <w:rPr>
          <w:rFonts w:ascii="Arial-BoldMT" w:hAnsi="Arial-BoldMT" w:cs="Arial-BoldMT"/>
          <w:bCs/>
          <w:color w:val="FF0000"/>
          <w:sz w:val="24"/>
          <w:szCs w:val="24"/>
          <w:u w:val="single"/>
          <w:lang w:val="en-US" w:eastAsia="zh-CN"/>
        </w:rPr>
        <w:t xml:space="preserve"> in the Bitmap subfield</w:t>
      </w:r>
      <w:r>
        <w:rPr>
          <w:rFonts w:ascii="Arial-BoldMT" w:hAnsi="Arial-BoldMT" w:cs="Arial-BoldMT"/>
          <w:bCs/>
          <w:color w:val="FF0000"/>
          <w:sz w:val="24"/>
          <w:szCs w:val="24"/>
          <w:u w:val="single"/>
          <w:lang w:val="en-US" w:eastAsia="zh-CN"/>
        </w:rPr>
        <w:t xml:space="preserve">, </w:t>
      </w:r>
      <w:r w:rsidRPr="009F61DC">
        <w:rPr>
          <w:rFonts w:ascii="Arial-BoldMT" w:hAnsi="Arial-BoldMT" w:cs="Arial-BoldMT" w:hint="eastAsia"/>
          <w:bCs/>
          <w:i/>
          <w:color w:val="FF0000"/>
          <w:sz w:val="24"/>
          <w:szCs w:val="24"/>
          <w:u w:val="single"/>
          <w:lang w:val="en-US" w:eastAsia="zh-CN"/>
        </w:rPr>
        <w:t>Q</w:t>
      </w:r>
      <w:r>
        <w:rPr>
          <w:rFonts w:ascii="Arial-BoldMT" w:hAnsi="Arial-BoldMT" w:cs="Arial-BoldMT"/>
          <w:bCs/>
          <w:color w:val="FF0000"/>
          <w:sz w:val="24"/>
          <w:szCs w:val="24"/>
          <w:u w:val="single"/>
          <w:lang w:val="en-US" w:eastAsia="zh-CN"/>
        </w:rPr>
        <w:t>.</w:t>
      </w:r>
    </w:p>
    <w:p w14:paraId="51D986C1" w14:textId="77777777" w:rsidR="0063701C" w:rsidRPr="000E5825" w:rsidRDefault="0063701C" w:rsidP="0063701C">
      <w:pPr>
        <w:widowControl w:val="0"/>
        <w:autoSpaceDE w:val="0"/>
        <w:autoSpaceDN w:val="0"/>
        <w:adjustRightInd w:val="0"/>
        <w:rPr>
          <w:rFonts w:ascii="Arial-BoldMT" w:hAnsi="Arial-BoldMT" w:cs="Arial-BoldMT"/>
          <w:bCs/>
          <w:color w:val="FF0000"/>
          <w:sz w:val="24"/>
          <w:szCs w:val="24"/>
          <w:u w:val="single"/>
          <w:lang w:val="en-US" w:eastAsia="zh-CN"/>
        </w:rPr>
      </w:pPr>
    </w:p>
    <w:p w14:paraId="159E0A5D" w14:textId="77777777" w:rsidR="0063701C" w:rsidRPr="00246D07" w:rsidRDefault="0063701C" w:rsidP="002E0633">
      <w:pPr>
        <w:widowControl w:val="0"/>
        <w:autoSpaceDE w:val="0"/>
        <w:autoSpaceDN w:val="0"/>
        <w:adjustRightInd w:val="0"/>
        <w:rPr>
          <w:rFonts w:ascii="Arial-BoldMT" w:hAnsi="Arial-BoldMT" w:cs="Arial-BoldMT"/>
          <w:b/>
          <w:bCs/>
          <w:color w:val="FF0000"/>
          <w:sz w:val="20"/>
          <w:u w:val="single"/>
          <w:lang w:val="en-US" w:eastAsia="zh-CN"/>
        </w:rPr>
      </w:pPr>
    </w:p>
    <w:p w14:paraId="07410CDF" w14:textId="2062F17E" w:rsidR="00F24BF6" w:rsidRPr="00A605A4" w:rsidRDefault="003D74CF" w:rsidP="00F24BF6">
      <w:pPr>
        <w:pStyle w:val="IEEEStdsParagraph"/>
        <w:tabs>
          <w:tab w:val="left" w:pos="1260"/>
        </w:tabs>
        <w:jc w:val="left"/>
        <w:rPr>
          <w:b/>
        </w:rPr>
      </w:pPr>
      <w:r>
        <w:rPr>
          <w:b/>
        </w:rPr>
        <w:t>Straw Poll</w:t>
      </w:r>
      <w:r w:rsidR="00F24BF6" w:rsidRPr="00A605A4">
        <w:rPr>
          <w:b/>
        </w:rPr>
        <w:t>:</w:t>
      </w:r>
    </w:p>
    <w:p w14:paraId="65977A1C" w14:textId="77777777" w:rsidR="00F24BF6" w:rsidRPr="00F24BF6" w:rsidRDefault="00F24BF6" w:rsidP="00F24BF6">
      <w:pPr>
        <w:pStyle w:val="ListParagraph"/>
        <w:numPr>
          <w:ilvl w:val="0"/>
          <w:numId w:val="26"/>
        </w:numPr>
        <w:rPr>
          <w:rFonts w:ascii="Arial-BoldMT" w:hAnsi="Arial-BoldMT" w:cs="Arial-BoldMT" w:hint="eastAsia"/>
          <w:bCs/>
          <w:color w:val="000000" w:themeColor="text1"/>
          <w:sz w:val="20"/>
          <w:lang w:val="en-US" w:eastAsia="zh-CN"/>
        </w:rPr>
      </w:pPr>
      <w:r w:rsidRPr="00F24BF6">
        <w:rPr>
          <w:b/>
          <w:bCs/>
          <w:szCs w:val="22"/>
          <w:lang w:val="en-US" w:eastAsia="ja-JP"/>
        </w:rPr>
        <w:t>D</w:t>
      </w:r>
      <w:r w:rsidRPr="00F24BF6">
        <w:rPr>
          <w:b/>
          <w:bCs/>
          <w:szCs w:val="22"/>
        </w:rPr>
        <w:t xml:space="preserve">o you agree </w:t>
      </w:r>
      <w:r w:rsidRPr="00F24BF6">
        <w:rPr>
          <w:b/>
          <w:bCs/>
          <w:szCs w:val="22"/>
          <w:lang w:eastAsia="ja-JP"/>
        </w:rPr>
        <w:t>to include the text changes proposed in (11-17-16</w:t>
      </w:r>
      <w:r>
        <w:rPr>
          <w:b/>
          <w:bCs/>
          <w:szCs w:val="22"/>
          <w:lang w:eastAsia="ja-JP"/>
        </w:rPr>
        <w:t>40</w:t>
      </w:r>
      <w:r w:rsidRPr="00F24BF6">
        <w:rPr>
          <w:b/>
          <w:bCs/>
          <w:szCs w:val="22"/>
          <w:lang w:eastAsia="ja-JP"/>
        </w:rPr>
        <w:t xml:space="preserve">-00-00ay-Draft text for Scheduling for </w:t>
      </w:r>
      <w:proofErr w:type="spellStart"/>
      <w:r w:rsidRPr="00F24BF6">
        <w:rPr>
          <w:b/>
          <w:bCs/>
          <w:szCs w:val="22"/>
          <w:lang w:eastAsia="ja-JP"/>
        </w:rPr>
        <w:t>mmWave</w:t>
      </w:r>
      <w:proofErr w:type="spellEnd"/>
      <w:r w:rsidRPr="00F24BF6">
        <w:rPr>
          <w:b/>
          <w:bCs/>
          <w:szCs w:val="22"/>
          <w:lang w:eastAsia="ja-JP"/>
        </w:rPr>
        <w:t xml:space="preserve"> Distribution Networks) to the spec draft?</w:t>
      </w:r>
    </w:p>
    <w:p w14:paraId="211375D4" w14:textId="77777777" w:rsidR="0063701C" w:rsidRDefault="0063701C" w:rsidP="002E0633">
      <w:pPr>
        <w:widowControl w:val="0"/>
        <w:autoSpaceDE w:val="0"/>
        <w:autoSpaceDN w:val="0"/>
        <w:adjustRightInd w:val="0"/>
        <w:rPr>
          <w:rFonts w:ascii="Arial-BoldMT" w:hAnsi="Arial-BoldMT" w:cs="Arial-BoldMT"/>
          <w:b/>
          <w:bCs/>
          <w:color w:val="FF0000"/>
          <w:sz w:val="20"/>
          <w:u w:val="single"/>
          <w:lang w:val="en-US" w:eastAsia="zh-CN"/>
        </w:rPr>
      </w:pPr>
    </w:p>
    <w:p w14:paraId="7F347FBA" w14:textId="77777777" w:rsidR="00F24BF6" w:rsidRDefault="00F24BF6" w:rsidP="002E0633">
      <w:pPr>
        <w:widowControl w:val="0"/>
        <w:autoSpaceDE w:val="0"/>
        <w:autoSpaceDN w:val="0"/>
        <w:adjustRightInd w:val="0"/>
        <w:rPr>
          <w:rFonts w:ascii="Arial-BoldMT" w:hAnsi="Arial-BoldMT" w:cs="Arial-BoldMT"/>
          <w:b/>
          <w:bCs/>
          <w:color w:val="FF0000"/>
          <w:sz w:val="20"/>
          <w:u w:val="single"/>
          <w:lang w:val="en-US" w:eastAsia="zh-CN"/>
        </w:rPr>
      </w:pPr>
    </w:p>
    <w:p w14:paraId="1C14F091" w14:textId="77777777" w:rsidR="00F24BF6" w:rsidRPr="00F24BF6" w:rsidRDefault="00F24BF6" w:rsidP="002E0633">
      <w:pPr>
        <w:widowControl w:val="0"/>
        <w:autoSpaceDE w:val="0"/>
        <w:autoSpaceDN w:val="0"/>
        <w:adjustRightInd w:val="0"/>
        <w:rPr>
          <w:rFonts w:ascii="Arial-BoldMT" w:hAnsi="Arial-BoldMT" w:cs="Arial-BoldMT"/>
          <w:b/>
          <w:bCs/>
          <w:color w:val="FF0000"/>
          <w:sz w:val="20"/>
          <w:u w:val="single"/>
          <w:lang w:val="en-US" w:eastAsia="zh-CN"/>
        </w:rPr>
      </w:pPr>
    </w:p>
    <w:p w14:paraId="56F65349" w14:textId="0E6B1A9F" w:rsidR="00BA4DB1" w:rsidRPr="00246D07" w:rsidRDefault="00BA4DB1" w:rsidP="00B4459F">
      <w:pPr>
        <w:widowControl w:val="0"/>
        <w:autoSpaceDE w:val="0"/>
        <w:autoSpaceDN w:val="0"/>
        <w:adjustRightInd w:val="0"/>
        <w:outlineLvl w:val="0"/>
        <w:rPr>
          <w:rFonts w:ascii="Arial-BoldMT" w:hAnsi="Arial-BoldMT" w:cs="Arial-BoldMT"/>
          <w:bCs/>
          <w:color w:val="000000" w:themeColor="text1"/>
          <w:sz w:val="20"/>
          <w:u w:val="single"/>
          <w:lang w:val="en-US" w:eastAsia="zh-CN"/>
        </w:rPr>
      </w:pPr>
      <w:r w:rsidRPr="00246D07">
        <w:rPr>
          <w:rFonts w:ascii="Arial-BoldMT" w:hAnsi="Arial-BoldMT" w:cs="Arial-BoldMT"/>
          <w:bCs/>
          <w:color w:val="000000" w:themeColor="text1"/>
          <w:sz w:val="20"/>
          <w:u w:val="single"/>
          <w:lang w:val="en-US" w:eastAsia="zh-CN"/>
        </w:rPr>
        <w:t>References:</w:t>
      </w:r>
    </w:p>
    <w:p w14:paraId="51EFEF9D" w14:textId="797B2874" w:rsidR="002E0633" w:rsidRPr="00246D07" w:rsidRDefault="00BA4DB1" w:rsidP="000E5825">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sidRPr="00246D07">
        <w:rPr>
          <w:rFonts w:ascii="Arial-BoldMT" w:hAnsi="Arial-BoldMT" w:cs="Arial-BoldMT"/>
          <w:bCs/>
          <w:color w:val="000000" w:themeColor="text1"/>
          <w:sz w:val="20"/>
          <w:lang w:val="en-US" w:eastAsia="zh-CN"/>
        </w:rPr>
        <w:t>11-17-1323-02-00ay-scheduling-for-mmwave-distribution-networks.pptx</w:t>
      </w:r>
    </w:p>
    <w:p w14:paraId="1D82C16C" w14:textId="49D02A12" w:rsidR="000E5825" w:rsidRDefault="000E5825" w:rsidP="000E5825">
      <w:pPr>
        <w:pStyle w:val="ListParagraph"/>
        <w:widowControl w:val="0"/>
        <w:numPr>
          <w:ilvl w:val="0"/>
          <w:numId w:val="23"/>
        </w:numPr>
        <w:autoSpaceDE w:val="0"/>
        <w:autoSpaceDN w:val="0"/>
        <w:adjustRightInd w:val="0"/>
        <w:rPr>
          <w:rFonts w:ascii="Arial-BoldMT" w:hAnsi="Arial-BoldMT" w:cs="Arial-BoldMT"/>
          <w:bCs/>
          <w:color w:val="000000" w:themeColor="text1"/>
          <w:sz w:val="20"/>
          <w:lang w:val="en-US" w:eastAsia="zh-CN"/>
        </w:rPr>
      </w:pPr>
      <w:r w:rsidRPr="00246D07">
        <w:rPr>
          <w:rFonts w:ascii="Arial-BoldMT" w:hAnsi="Arial-BoldMT" w:cs="Arial-BoldMT"/>
          <w:bCs/>
          <w:color w:val="000000" w:themeColor="text1"/>
          <w:sz w:val="20"/>
          <w:lang w:val="en-US" w:eastAsia="zh-CN"/>
        </w:rPr>
        <w:t>802.11ay D0.</w:t>
      </w:r>
      <w:r w:rsidR="005F1871" w:rsidRPr="00246D07">
        <w:rPr>
          <w:rFonts w:ascii="Arial-BoldMT" w:hAnsi="Arial-BoldMT" w:cs="Arial-BoldMT"/>
          <w:bCs/>
          <w:color w:val="000000" w:themeColor="text1"/>
          <w:sz w:val="20"/>
          <w:lang w:val="en-US" w:eastAsia="zh-CN"/>
        </w:rPr>
        <w:t>8</w:t>
      </w:r>
    </w:p>
    <w:p w14:paraId="73FD4BE4" w14:textId="77777777" w:rsidR="00F24BF6" w:rsidRDefault="00F24BF6" w:rsidP="00F24BF6">
      <w:pPr>
        <w:widowControl w:val="0"/>
        <w:autoSpaceDE w:val="0"/>
        <w:autoSpaceDN w:val="0"/>
        <w:adjustRightInd w:val="0"/>
        <w:rPr>
          <w:rFonts w:ascii="Arial-BoldMT" w:hAnsi="Arial-BoldMT" w:cs="Arial-BoldMT"/>
          <w:bCs/>
          <w:color w:val="000000" w:themeColor="text1"/>
          <w:sz w:val="20"/>
          <w:lang w:val="en-US" w:eastAsia="zh-CN"/>
        </w:rPr>
      </w:pPr>
    </w:p>
    <w:p w14:paraId="4F0CEEEC" w14:textId="77777777" w:rsidR="00F24BF6" w:rsidRDefault="00F24BF6" w:rsidP="00F24BF6">
      <w:pPr>
        <w:widowControl w:val="0"/>
        <w:autoSpaceDE w:val="0"/>
        <w:autoSpaceDN w:val="0"/>
        <w:adjustRightInd w:val="0"/>
        <w:rPr>
          <w:rFonts w:ascii="Arial-BoldMT" w:hAnsi="Arial-BoldMT" w:cs="Arial-BoldMT"/>
          <w:bCs/>
          <w:color w:val="000000" w:themeColor="text1"/>
          <w:sz w:val="20"/>
          <w:lang w:val="en-US" w:eastAsia="zh-CN"/>
        </w:rPr>
      </w:pPr>
    </w:p>
    <w:p w14:paraId="55769200" w14:textId="77777777" w:rsidR="00F24BF6" w:rsidRDefault="00F24BF6" w:rsidP="00F24BF6"/>
    <w:sectPr w:rsidR="00F24BF6">
      <w:headerReference w:type="default" r:id="rId10"/>
      <w:footerReference w:type="default" r:id="rId11"/>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C7213" w16cid:durableId="1D7E06CF"/>
  <w16cid:commentId w16cid:paraId="419396F4" w16cid:durableId="1D7E07C7"/>
  <w16cid:commentId w16cid:paraId="498FA1A9" w16cid:durableId="1D7E0782"/>
  <w16cid:commentId w16cid:paraId="6EDC0246" w16cid:durableId="1D7E0867"/>
  <w16cid:commentId w16cid:paraId="04687341" w16cid:durableId="1D7E0A9C"/>
  <w16cid:commentId w16cid:paraId="3AC89FFE" w16cid:durableId="1D7E0B5C"/>
  <w16cid:commentId w16cid:paraId="74EEE83D" w16cid:durableId="1D7E0C6E"/>
  <w16cid:commentId w16cid:paraId="3137738E" w16cid:durableId="1D7E0CB6"/>
  <w16cid:commentId w16cid:paraId="7C5F94A5" w16cid:durableId="1D7E0FEC"/>
  <w16cid:commentId w16cid:paraId="22C0E1E3" w16cid:durableId="1D7E0E81"/>
  <w16cid:commentId w16cid:paraId="50C55F0D" w16cid:durableId="1D7E1262"/>
  <w16cid:commentId w16cid:paraId="75FFCB48" w16cid:durableId="1D7E10BA"/>
  <w16cid:commentId w16cid:paraId="7EFF660E" w16cid:durableId="1D7E756E"/>
  <w16cid:commentId w16cid:paraId="275DE6B7" w16cid:durableId="1D7E7630"/>
  <w16cid:commentId w16cid:paraId="0942D9C7" w16cid:durableId="1D7E7696"/>
  <w16cid:commentId w16cid:paraId="495A4BB2" w16cid:durableId="1D7E7725"/>
  <w16cid:commentId w16cid:paraId="7539708F" w16cid:durableId="1D7E77E9"/>
  <w16cid:commentId w16cid:paraId="28C11407" w16cid:durableId="1D7E15A4"/>
  <w16cid:commentId w16cid:paraId="4CF26E18" w16cid:durableId="1D7E1BB0"/>
  <w16cid:commentId w16cid:paraId="419050F0" w16cid:durableId="1D7E17BB"/>
  <w16cid:commentId w16cid:paraId="5AA8374A" w16cid:durableId="1D7E1D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FC375" w14:textId="77777777" w:rsidR="00802072" w:rsidRDefault="00802072">
      <w:r>
        <w:separator/>
      </w:r>
    </w:p>
  </w:endnote>
  <w:endnote w:type="continuationSeparator" w:id="0">
    <w:p w14:paraId="76A4217C" w14:textId="77777777" w:rsidR="00802072" w:rsidRDefault="008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Arial-BoldMT">
    <w:altName w:val="Arial"/>
    <w:charset w:val="00"/>
    <w:family w:val="swiss"/>
    <w:pitch w:val="variable"/>
    <w:sig w:usb0="00000000" w:usb1="C0007843"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02598C24" w:rsidR="006B79ED" w:rsidRDefault="00CF0131">
    <w:pPr>
      <w:pStyle w:val="Footer"/>
      <w:tabs>
        <w:tab w:val="clear" w:pos="6480"/>
        <w:tab w:val="center" w:pos="4680"/>
        <w:tab w:val="right" w:pos="9360"/>
      </w:tabs>
    </w:pPr>
    <w:fldSimple w:instr=" SUBJECT  \* MERGEFORMAT ">
      <w:r w:rsidR="006B79ED">
        <w:t>Submission</w:t>
      </w:r>
    </w:fldSimple>
    <w:r w:rsidR="006B79ED">
      <w:tab/>
      <w:t xml:space="preserve">page </w:t>
    </w:r>
    <w:r w:rsidR="006B79ED">
      <w:fldChar w:fldCharType="begin"/>
    </w:r>
    <w:r w:rsidR="006B79ED">
      <w:instrText xml:space="preserve">page </w:instrText>
    </w:r>
    <w:r w:rsidR="006B79ED">
      <w:fldChar w:fldCharType="separate"/>
    </w:r>
    <w:r w:rsidR="00B41A7E">
      <w:rPr>
        <w:noProof/>
      </w:rPr>
      <w:t>8</w:t>
    </w:r>
    <w:r w:rsidR="006B79ED">
      <w:fldChar w:fldCharType="end"/>
    </w:r>
    <w:r w:rsidR="006B79ED">
      <w:tab/>
    </w:r>
    <w:fldSimple w:instr=" COMMENTS  \* MERGEFORMAT ">
      <w:r w:rsidR="006B79ED">
        <w:t>Carlos Cordeiro, Intel</w:t>
      </w:r>
    </w:fldSimple>
  </w:p>
  <w:p w14:paraId="5C69FA55" w14:textId="77777777" w:rsidR="006B79ED" w:rsidRDefault="006B79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697A4" w14:textId="77777777" w:rsidR="00802072" w:rsidRDefault="00802072">
      <w:r>
        <w:separator/>
      </w:r>
    </w:p>
  </w:footnote>
  <w:footnote w:type="continuationSeparator" w:id="0">
    <w:p w14:paraId="448AEBD7" w14:textId="77777777" w:rsidR="00802072" w:rsidRDefault="008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77777777" w:rsidR="006B79ED" w:rsidRDefault="00CF0131">
    <w:pPr>
      <w:pStyle w:val="Header"/>
      <w:tabs>
        <w:tab w:val="clear" w:pos="6480"/>
        <w:tab w:val="center" w:pos="4680"/>
        <w:tab w:val="right" w:pos="9360"/>
      </w:tabs>
    </w:pPr>
    <w:fldSimple w:instr=" KEYWORDS  \* MERGEFORMAT ">
      <w:r w:rsidR="00F24BF6">
        <w:t>November 2017</w:t>
      </w:r>
    </w:fldSimple>
    <w:r w:rsidR="006B79ED">
      <w:tab/>
    </w:r>
    <w:r w:rsidR="006B79ED">
      <w:tab/>
    </w:r>
    <w:fldSimple w:instr=" TITLE  \* MERGEFORMAT ">
      <w:r w:rsidR="00F24BF6">
        <w:t>doc.: IEEE 802.11-17/1640r0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6"/>
  </w:num>
  <w:num w:numId="5">
    <w:abstractNumId w:val="6"/>
  </w:num>
  <w:num w:numId="6">
    <w:abstractNumId w:val="16"/>
  </w:num>
  <w:num w:numId="7">
    <w:abstractNumId w:val="16"/>
  </w:num>
  <w:num w:numId="8">
    <w:abstractNumId w:val="13"/>
  </w:num>
  <w:num w:numId="9">
    <w:abstractNumId w:val="19"/>
  </w:num>
  <w:num w:numId="10">
    <w:abstractNumId w:val="7"/>
  </w:num>
  <w:num w:numId="1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5"/>
  </w:num>
  <w:num w:numId="16">
    <w:abstractNumId w:val="11"/>
  </w:num>
  <w:num w:numId="17">
    <w:abstractNumId w:val="16"/>
  </w:num>
  <w:num w:numId="18">
    <w:abstractNumId w:val="9"/>
  </w:num>
  <w:num w:numId="19">
    <w:abstractNumId w:val="10"/>
  </w:num>
  <w:num w:numId="20">
    <w:abstractNumId w:val="8"/>
  </w:num>
  <w:num w:numId="21">
    <w:abstractNumId w:val="20"/>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num>
  <w:num w:numId="24">
    <w:abstractNumId w:val="17"/>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5E6"/>
    <w:rsid w:val="000131B6"/>
    <w:rsid w:val="000152F9"/>
    <w:rsid w:val="0001761A"/>
    <w:rsid w:val="00024588"/>
    <w:rsid w:val="00030709"/>
    <w:rsid w:val="00034747"/>
    <w:rsid w:val="000377E9"/>
    <w:rsid w:val="00045021"/>
    <w:rsid w:val="0004589F"/>
    <w:rsid w:val="000541D4"/>
    <w:rsid w:val="00055ACF"/>
    <w:rsid w:val="000561F8"/>
    <w:rsid w:val="00070C95"/>
    <w:rsid w:val="00071870"/>
    <w:rsid w:val="000762BA"/>
    <w:rsid w:val="000767E6"/>
    <w:rsid w:val="000771C3"/>
    <w:rsid w:val="00077C3D"/>
    <w:rsid w:val="00084E77"/>
    <w:rsid w:val="0008677D"/>
    <w:rsid w:val="000874BE"/>
    <w:rsid w:val="0009259F"/>
    <w:rsid w:val="000934C4"/>
    <w:rsid w:val="000A3030"/>
    <w:rsid w:val="000C55C6"/>
    <w:rsid w:val="000D2043"/>
    <w:rsid w:val="000D4550"/>
    <w:rsid w:val="000D6DF7"/>
    <w:rsid w:val="000E4006"/>
    <w:rsid w:val="000E5825"/>
    <w:rsid w:val="000E6595"/>
    <w:rsid w:val="000F32D0"/>
    <w:rsid w:val="001029BF"/>
    <w:rsid w:val="00102FA5"/>
    <w:rsid w:val="00116260"/>
    <w:rsid w:val="00124182"/>
    <w:rsid w:val="001248FF"/>
    <w:rsid w:val="001321FC"/>
    <w:rsid w:val="00134B0D"/>
    <w:rsid w:val="00136542"/>
    <w:rsid w:val="001400D2"/>
    <w:rsid w:val="0014392C"/>
    <w:rsid w:val="00157242"/>
    <w:rsid w:val="00161494"/>
    <w:rsid w:val="001742DF"/>
    <w:rsid w:val="00175BC5"/>
    <w:rsid w:val="001761AA"/>
    <w:rsid w:val="001841E1"/>
    <w:rsid w:val="001850B4"/>
    <w:rsid w:val="001B0E34"/>
    <w:rsid w:val="001B7F25"/>
    <w:rsid w:val="001C4631"/>
    <w:rsid w:val="001D723B"/>
    <w:rsid w:val="001E43EC"/>
    <w:rsid w:val="001F1570"/>
    <w:rsid w:val="001F3DC5"/>
    <w:rsid w:val="001F6E53"/>
    <w:rsid w:val="00202F50"/>
    <w:rsid w:val="002105D8"/>
    <w:rsid w:val="002113E4"/>
    <w:rsid w:val="002166C1"/>
    <w:rsid w:val="00217583"/>
    <w:rsid w:val="00222654"/>
    <w:rsid w:val="00222F05"/>
    <w:rsid w:val="0023047A"/>
    <w:rsid w:val="00234E4A"/>
    <w:rsid w:val="00246D07"/>
    <w:rsid w:val="00251845"/>
    <w:rsid w:val="00251E2D"/>
    <w:rsid w:val="00251ED5"/>
    <w:rsid w:val="002555C0"/>
    <w:rsid w:val="00265CA7"/>
    <w:rsid w:val="002732F8"/>
    <w:rsid w:val="002768A6"/>
    <w:rsid w:val="0028098F"/>
    <w:rsid w:val="002810DB"/>
    <w:rsid w:val="0029020B"/>
    <w:rsid w:val="0029286F"/>
    <w:rsid w:val="002973BB"/>
    <w:rsid w:val="002A2139"/>
    <w:rsid w:val="002A38E6"/>
    <w:rsid w:val="002B2C16"/>
    <w:rsid w:val="002B5C52"/>
    <w:rsid w:val="002B78A5"/>
    <w:rsid w:val="002C1896"/>
    <w:rsid w:val="002C4947"/>
    <w:rsid w:val="002D20D6"/>
    <w:rsid w:val="002D44BE"/>
    <w:rsid w:val="002E0633"/>
    <w:rsid w:val="002E23EB"/>
    <w:rsid w:val="002E6DC1"/>
    <w:rsid w:val="002E7394"/>
    <w:rsid w:val="002F0B19"/>
    <w:rsid w:val="002F2172"/>
    <w:rsid w:val="002F47FC"/>
    <w:rsid w:val="002F7240"/>
    <w:rsid w:val="00301794"/>
    <w:rsid w:val="003064BC"/>
    <w:rsid w:val="003157A3"/>
    <w:rsid w:val="003249B5"/>
    <w:rsid w:val="00324D42"/>
    <w:rsid w:val="003269C3"/>
    <w:rsid w:val="00333DA6"/>
    <w:rsid w:val="00343567"/>
    <w:rsid w:val="003436AA"/>
    <w:rsid w:val="003461C0"/>
    <w:rsid w:val="003526C8"/>
    <w:rsid w:val="003648E2"/>
    <w:rsid w:val="00370520"/>
    <w:rsid w:val="00374A31"/>
    <w:rsid w:val="00387069"/>
    <w:rsid w:val="003912DF"/>
    <w:rsid w:val="003A70F8"/>
    <w:rsid w:val="003B5C0D"/>
    <w:rsid w:val="003B7411"/>
    <w:rsid w:val="003C0060"/>
    <w:rsid w:val="003D74CF"/>
    <w:rsid w:val="003D7F73"/>
    <w:rsid w:val="003E05AB"/>
    <w:rsid w:val="003E10B5"/>
    <w:rsid w:val="003E138C"/>
    <w:rsid w:val="003F1780"/>
    <w:rsid w:val="003F1D4B"/>
    <w:rsid w:val="003F2081"/>
    <w:rsid w:val="00414111"/>
    <w:rsid w:val="0041567F"/>
    <w:rsid w:val="00421F8E"/>
    <w:rsid w:val="00435190"/>
    <w:rsid w:val="004368EF"/>
    <w:rsid w:val="00442037"/>
    <w:rsid w:val="00447A91"/>
    <w:rsid w:val="00447E6A"/>
    <w:rsid w:val="00455702"/>
    <w:rsid w:val="004563CB"/>
    <w:rsid w:val="004606AB"/>
    <w:rsid w:val="00461FA9"/>
    <w:rsid w:val="00463238"/>
    <w:rsid w:val="004746C3"/>
    <w:rsid w:val="00477D1F"/>
    <w:rsid w:val="00481BFA"/>
    <w:rsid w:val="00486E4A"/>
    <w:rsid w:val="004875EE"/>
    <w:rsid w:val="00490B79"/>
    <w:rsid w:val="00491D97"/>
    <w:rsid w:val="004A7AA7"/>
    <w:rsid w:val="004B064B"/>
    <w:rsid w:val="004B0C6F"/>
    <w:rsid w:val="004B4DFF"/>
    <w:rsid w:val="004C06F3"/>
    <w:rsid w:val="004C13C7"/>
    <w:rsid w:val="004C412D"/>
    <w:rsid w:val="004C6FB1"/>
    <w:rsid w:val="004D01E3"/>
    <w:rsid w:val="004D127B"/>
    <w:rsid w:val="004D3C36"/>
    <w:rsid w:val="004D3C38"/>
    <w:rsid w:val="004E46C3"/>
    <w:rsid w:val="004E5069"/>
    <w:rsid w:val="004E7890"/>
    <w:rsid w:val="004F12FF"/>
    <w:rsid w:val="0050271E"/>
    <w:rsid w:val="0050606D"/>
    <w:rsid w:val="00516895"/>
    <w:rsid w:val="0052654A"/>
    <w:rsid w:val="00531105"/>
    <w:rsid w:val="00541C59"/>
    <w:rsid w:val="00543E4E"/>
    <w:rsid w:val="00544B79"/>
    <w:rsid w:val="00547C59"/>
    <w:rsid w:val="005536D3"/>
    <w:rsid w:val="005571C6"/>
    <w:rsid w:val="00566BAB"/>
    <w:rsid w:val="00570C31"/>
    <w:rsid w:val="005716A0"/>
    <w:rsid w:val="00575738"/>
    <w:rsid w:val="00585917"/>
    <w:rsid w:val="005B0FAF"/>
    <w:rsid w:val="005B338E"/>
    <w:rsid w:val="005C01F6"/>
    <w:rsid w:val="005C2205"/>
    <w:rsid w:val="005C51B7"/>
    <w:rsid w:val="005D1E4E"/>
    <w:rsid w:val="005D2EE4"/>
    <w:rsid w:val="005E4F57"/>
    <w:rsid w:val="005F1871"/>
    <w:rsid w:val="005F3840"/>
    <w:rsid w:val="00602C7D"/>
    <w:rsid w:val="00604414"/>
    <w:rsid w:val="00604CCA"/>
    <w:rsid w:val="00611ED5"/>
    <w:rsid w:val="006143D6"/>
    <w:rsid w:val="006144D8"/>
    <w:rsid w:val="0062440B"/>
    <w:rsid w:val="00624C2D"/>
    <w:rsid w:val="006301BA"/>
    <w:rsid w:val="0063199E"/>
    <w:rsid w:val="0063701C"/>
    <w:rsid w:val="006420E8"/>
    <w:rsid w:val="006473C2"/>
    <w:rsid w:val="00660680"/>
    <w:rsid w:val="0066126B"/>
    <w:rsid w:val="00661B6A"/>
    <w:rsid w:val="006716A6"/>
    <w:rsid w:val="0069012E"/>
    <w:rsid w:val="006A33D3"/>
    <w:rsid w:val="006A484D"/>
    <w:rsid w:val="006A72F8"/>
    <w:rsid w:val="006B749D"/>
    <w:rsid w:val="006B79ED"/>
    <w:rsid w:val="006C0727"/>
    <w:rsid w:val="006D7B9F"/>
    <w:rsid w:val="006E0B61"/>
    <w:rsid w:val="006E145F"/>
    <w:rsid w:val="006E6A84"/>
    <w:rsid w:val="006F271C"/>
    <w:rsid w:val="006F544B"/>
    <w:rsid w:val="0070068C"/>
    <w:rsid w:val="007027F1"/>
    <w:rsid w:val="00705EBC"/>
    <w:rsid w:val="00711A58"/>
    <w:rsid w:val="00711F6F"/>
    <w:rsid w:val="00713C50"/>
    <w:rsid w:val="0071765F"/>
    <w:rsid w:val="007238AE"/>
    <w:rsid w:val="007426CA"/>
    <w:rsid w:val="00746907"/>
    <w:rsid w:val="0075553C"/>
    <w:rsid w:val="00770572"/>
    <w:rsid w:val="00771622"/>
    <w:rsid w:val="00773908"/>
    <w:rsid w:val="00783EC7"/>
    <w:rsid w:val="00784476"/>
    <w:rsid w:val="0079072A"/>
    <w:rsid w:val="00797841"/>
    <w:rsid w:val="007A0FC0"/>
    <w:rsid w:val="007A4346"/>
    <w:rsid w:val="007A504E"/>
    <w:rsid w:val="007B29A7"/>
    <w:rsid w:val="007C167B"/>
    <w:rsid w:val="007C6EE4"/>
    <w:rsid w:val="007D1618"/>
    <w:rsid w:val="007D6A9F"/>
    <w:rsid w:val="007D7500"/>
    <w:rsid w:val="007E0E78"/>
    <w:rsid w:val="007E2A58"/>
    <w:rsid w:val="007F56F0"/>
    <w:rsid w:val="007F7B8F"/>
    <w:rsid w:val="00800180"/>
    <w:rsid w:val="00802072"/>
    <w:rsid w:val="0081351A"/>
    <w:rsid w:val="0082108B"/>
    <w:rsid w:val="008250AF"/>
    <w:rsid w:val="0083301E"/>
    <w:rsid w:val="00852CCA"/>
    <w:rsid w:val="008606D7"/>
    <w:rsid w:val="00876885"/>
    <w:rsid w:val="00876EE1"/>
    <w:rsid w:val="00880709"/>
    <w:rsid w:val="008879CE"/>
    <w:rsid w:val="008908D1"/>
    <w:rsid w:val="008961FC"/>
    <w:rsid w:val="0089794E"/>
    <w:rsid w:val="008A448D"/>
    <w:rsid w:val="008A470F"/>
    <w:rsid w:val="008B29FB"/>
    <w:rsid w:val="008B4109"/>
    <w:rsid w:val="008B4EFA"/>
    <w:rsid w:val="008B56CF"/>
    <w:rsid w:val="008B5CAA"/>
    <w:rsid w:val="008B608E"/>
    <w:rsid w:val="008E2AA5"/>
    <w:rsid w:val="008E73FC"/>
    <w:rsid w:val="008F3ECD"/>
    <w:rsid w:val="008F433C"/>
    <w:rsid w:val="008F4543"/>
    <w:rsid w:val="0091379F"/>
    <w:rsid w:val="0093048C"/>
    <w:rsid w:val="009317AF"/>
    <w:rsid w:val="00932656"/>
    <w:rsid w:val="00935043"/>
    <w:rsid w:val="00941969"/>
    <w:rsid w:val="00947039"/>
    <w:rsid w:val="00950A6B"/>
    <w:rsid w:val="009510B0"/>
    <w:rsid w:val="00953EFC"/>
    <w:rsid w:val="009579DA"/>
    <w:rsid w:val="0096045C"/>
    <w:rsid w:val="00960EA6"/>
    <w:rsid w:val="00963D26"/>
    <w:rsid w:val="0096519C"/>
    <w:rsid w:val="009753AD"/>
    <w:rsid w:val="0097570E"/>
    <w:rsid w:val="00983ED2"/>
    <w:rsid w:val="00995A4D"/>
    <w:rsid w:val="009970C5"/>
    <w:rsid w:val="009C1204"/>
    <w:rsid w:val="009C1A8B"/>
    <w:rsid w:val="009C2F9F"/>
    <w:rsid w:val="009C3028"/>
    <w:rsid w:val="009C56D6"/>
    <w:rsid w:val="009D10D5"/>
    <w:rsid w:val="009D6147"/>
    <w:rsid w:val="009E1F40"/>
    <w:rsid w:val="009E5E2A"/>
    <w:rsid w:val="009F2FBC"/>
    <w:rsid w:val="009F364F"/>
    <w:rsid w:val="009F37AC"/>
    <w:rsid w:val="009F61DC"/>
    <w:rsid w:val="009F7E57"/>
    <w:rsid w:val="00A050D8"/>
    <w:rsid w:val="00A06CAD"/>
    <w:rsid w:val="00A11C7A"/>
    <w:rsid w:val="00A16597"/>
    <w:rsid w:val="00A20565"/>
    <w:rsid w:val="00A23406"/>
    <w:rsid w:val="00A26E4E"/>
    <w:rsid w:val="00A3215B"/>
    <w:rsid w:val="00A324DD"/>
    <w:rsid w:val="00A4209F"/>
    <w:rsid w:val="00A428B3"/>
    <w:rsid w:val="00A465F2"/>
    <w:rsid w:val="00A53C40"/>
    <w:rsid w:val="00A57095"/>
    <w:rsid w:val="00A732BB"/>
    <w:rsid w:val="00A7700B"/>
    <w:rsid w:val="00A92948"/>
    <w:rsid w:val="00A93C4F"/>
    <w:rsid w:val="00AA0535"/>
    <w:rsid w:val="00AA38F9"/>
    <w:rsid w:val="00AA427C"/>
    <w:rsid w:val="00AB09AF"/>
    <w:rsid w:val="00AB2910"/>
    <w:rsid w:val="00AB557A"/>
    <w:rsid w:val="00AB6A91"/>
    <w:rsid w:val="00AD1B07"/>
    <w:rsid w:val="00AD6C2A"/>
    <w:rsid w:val="00AE02EA"/>
    <w:rsid w:val="00AE7715"/>
    <w:rsid w:val="00AF63E8"/>
    <w:rsid w:val="00B04410"/>
    <w:rsid w:val="00B0733F"/>
    <w:rsid w:val="00B07C83"/>
    <w:rsid w:val="00B25BF9"/>
    <w:rsid w:val="00B32E78"/>
    <w:rsid w:val="00B36B1B"/>
    <w:rsid w:val="00B41A7E"/>
    <w:rsid w:val="00B4459F"/>
    <w:rsid w:val="00B4547E"/>
    <w:rsid w:val="00B54CDD"/>
    <w:rsid w:val="00B67FA8"/>
    <w:rsid w:val="00B7218B"/>
    <w:rsid w:val="00B72411"/>
    <w:rsid w:val="00B7540B"/>
    <w:rsid w:val="00B865B9"/>
    <w:rsid w:val="00B919D8"/>
    <w:rsid w:val="00B93DC6"/>
    <w:rsid w:val="00BA1C72"/>
    <w:rsid w:val="00BA3832"/>
    <w:rsid w:val="00BA455A"/>
    <w:rsid w:val="00BA4DB1"/>
    <w:rsid w:val="00BA501C"/>
    <w:rsid w:val="00BB00B0"/>
    <w:rsid w:val="00BB2276"/>
    <w:rsid w:val="00BB2CBC"/>
    <w:rsid w:val="00BC4C11"/>
    <w:rsid w:val="00BC5C48"/>
    <w:rsid w:val="00BD60C4"/>
    <w:rsid w:val="00BE68C2"/>
    <w:rsid w:val="00BF05BC"/>
    <w:rsid w:val="00BF369A"/>
    <w:rsid w:val="00BF6DAC"/>
    <w:rsid w:val="00C05AC8"/>
    <w:rsid w:val="00C06AB4"/>
    <w:rsid w:val="00C11554"/>
    <w:rsid w:val="00C12B65"/>
    <w:rsid w:val="00C14A48"/>
    <w:rsid w:val="00C1615F"/>
    <w:rsid w:val="00C1789D"/>
    <w:rsid w:val="00C32174"/>
    <w:rsid w:val="00C3410F"/>
    <w:rsid w:val="00C342F1"/>
    <w:rsid w:val="00C36BF9"/>
    <w:rsid w:val="00C37E40"/>
    <w:rsid w:val="00C52C3B"/>
    <w:rsid w:val="00C61869"/>
    <w:rsid w:val="00C61DE6"/>
    <w:rsid w:val="00C638EF"/>
    <w:rsid w:val="00C666D4"/>
    <w:rsid w:val="00C66F49"/>
    <w:rsid w:val="00C80FF5"/>
    <w:rsid w:val="00C819A0"/>
    <w:rsid w:val="00C86542"/>
    <w:rsid w:val="00C92E60"/>
    <w:rsid w:val="00CA09B2"/>
    <w:rsid w:val="00CA1C40"/>
    <w:rsid w:val="00CA58D4"/>
    <w:rsid w:val="00CA6807"/>
    <w:rsid w:val="00CC36D5"/>
    <w:rsid w:val="00CC783B"/>
    <w:rsid w:val="00CE16B6"/>
    <w:rsid w:val="00CF0131"/>
    <w:rsid w:val="00CF2E11"/>
    <w:rsid w:val="00CF2E83"/>
    <w:rsid w:val="00CF625C"/>
    <w:rsid w:val="00CF63BE"/>
    <w:rsid w:val="00D00F75"/>
    <w:rsid w:val="00D030CA"/>
    <w:rsid w:val="00D12F1C"/>
    <w:rsid w:val="00D341BE"/>
    <w:rsid w:val="00D35ED8"/>
    <w:rsid w:val="00D40CAD"/>
    <w:rsid w:val="00D53FE7"/>
    <w:rsid w:val="00D61EE2"/>
    <w:rsid w:val="00D621EA"/>
    <w:rsid w:val="00D62AE5"/>
    <w:rsid w:val="00D7222F"/>
    <w:rsid w:val="00D73A51"/>
    <w:rsid w:val="00D73CF2"/>
    <w:rsid w:val="00D75597"/>
    <w:rsid w:val="00D759C5"/>
    <w:rsid w:val="00D95D67"/>
    <w:rsid w:val="00D97AAE"/>
    <w:rsid w:val="00DA6CF6"/>
    <w:rsid w:val="00DB0401"/>
    <w:rsid w:val="00DB2BD4"/>
    <w:rsid w:val="00DC0766"/>
    <w:rsid w:val="00DC2D07"/>
    <w:rsid w:val="00DC4ADC"/>
    <w:rsid w:val="00DC5A7B"/>
    <w:rsid w:val="00DC6817"/>
    <w:rsid w:val="00DC6E9C"/>
    <w:rsid w:val="00DC7A03"/>
    <w:rsid w:val="00DD6C62"/>
    <w:rsid w:val="00DE2F9A"/>
    <w:rsid w:val="00DE42B9"/>
    <w:rsid w:val="00DE721B"/>
    <w:rsid w:val="00DE755F"/>
    <w:rsid w:val="00DF0DE7"/>
    <w:rsid w:val="00DF2766"/>
    <w:rsid w:val="00DF5CE4"/>
    <w:rsid w:val="00E0619E"/>
    <w:rsid w:val="00E101E7"/>
    <w:rsid w:val="00E2236C"/>
    <w:rsid w:val="00E27565"/>
    <w:rsid w:val="00E27708"/>
    <w:rsid w:val="00E32A01"/>
    <w:rsid w:val="00E346EC"/>
    <w:rsid w:val="00E3745C"/>
    <w:rsid w:val="00E37799"/>
    <w:rsid w:val="00E37849"/>
    <w:rsid w:val="00E47F81"/>
    <w:rsid w:val="00E608F3"/>
    <w:rsid w:val="00E66B70"/>
    <w:rsid w:val="00E6779A"/>
    <w:rsid w:val="00E67A86"/>
    <w:rsid w:val="00E72285"/>
    <w:rsid w:val="00E759E7"/>
    <w:rsid w:val="00E80289"/>
    <w:rsid w:val="00E8141D"/>
    <w:rsid w:val="00E864D0"/>
    <w:rsid w:val="00E93750"/>
    <w:rsid w:val="00E96CE2"/>
    <w:rsid w:val="00EA1993"/>
    <w:rsid w:val="00EA1A6D"/>
    <w:rsid w:val="00EA73CD"/>
    <w:rsid w:val="00EB02D3"/>
    <w:rsid w:val="00EC184F"/>
    <w:rsid w:val="00EC7463"/>
    <w:rsid w:val="00EC77D6"/>
    <w:rsid w:val="00ED36ED"/>
    <w:rsid w:val="00EE4D8F"/>
    <w:rsid w:val="00EF1C4E"/>
    <w:rsid w:val="00EF3B30"/>
    <w:rsid w:val="00EF6C6C"/>
    <w:rsid w:val="00F015F3"/>
    <w:rsid w:val="00F05A4A"/>
    <w:rsid w:val="00F06212"/>
    <w:rsid w:val="00F1185C"/>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621FD"/>
    <w:rsid w:val="00F6518E"/>
    <w:rsid w:val="00F72529"/>
    <w:rsid w:val="00F72A02"/>
    <w:rsid w:val="00F76A4A"/>
    <w:rsid w:val="00F7792D"/>
    <w:rsid w:val="00F85466"/>
    <w:rsid w:val="00F8767D"/>
    <w:rsid w:val="00F90302"/>
    <w:rsid w:val="00F914B9"/>
    <w:rsid w:val="00F93584"/>
    <w:rsid w:val="00FA69B7"/>
    <w:rsid w:val="00FA6BD0"/>
    <w:rsid w:val="00FA6D24"/>
    <w:rsid w:val="00FA7898"/>
    <w:rsid w:val="00FB1EF1"/>
    <w:rsid w:val="00FB2040"/>
    <w:rsid w:val="00FB3475"/>
    <w:rsid w:val="00FB4057"/>
    <w:rsid w:val="00FB6C56"/>
    <w:rsid w:val="00FC24B5"/>
    <w:rsid w:val="00FC7A1D"/>
    <w:rsid w:val="00FE5A47"/>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6E40-1364-4685-99D2-C7D12EBC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735</TotalTime>
  <Pages>8</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802.11-17/1640r0</dc:title>
  <dc:subject>Submission</dc:subject>
  <dc:creator>carlos.cordeiro@intel.com</dc:creator>
  <cp:keywords>November 2017</cp:keywords>
  <dc:description>Carlos Cordeiro, Intel</dc:description>
  <cp:lastModifiedBy>Chen, Cheng</cp:lastModifiedBy>
  <cp:revision>28</cp:revision>
  <cp:lastPrinted>2016-12-12T20:01:00Z</cp:lastPrinted>
  <dcterms:created xsi:type="dcterms:W3CDTF">2017-10-25T22:16:00Z</dcterms:created>
  <dcterms:modified xsi:type="dcterms:W3CDTF">2017-11-06T13:15:00Z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