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C317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305"/>
        <w:gridCol w:w="1701"/>
        <w:gridCol w:w="1530"/>
        <w:gridCol w:w="3231"/>
      </w:tblGrid>
      <w:tr w:rsidR="00CA09B2" w:rsidRPr="005D4F47" w14:paraId="085C8065" w14:textId="77777777" w:rsidTr="008E418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2837642" w14:textId="5418E904" w:rsidR="00CA09B2" w:rsidRPr="005D4F47" w:rsidRDefault="008408C4" w:rsidP="004A3357">
            <w:pPr>
              <w:pStyle w:val="T2"/>
            </w:pPr>
            <w:r>
              <w:t>U</w:t>
            </w:r>
            <w:r w:rsidR="004A3357">
              <w:t>nsolicited RSS after BTI</w:t>
            </w:r>
          </w:p>
        </w:tc>
      </w:tr>
      <w:tr w:rsidR="00CA09B2" w:rsidRPr="005D4F47" w14:paraId="72D7E3FB" w14:textId="77777777" w:rsidTr="008E418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B661EE" w14:textId="5944A734" w:rsidR="00CA09B2" w:rsidRPr="005D4F47" w:rsidRDefault="00CA09B2" w:rsidP="00422D95">
            <w:pPr>
              <w:pStyle w:val="T2"/>
              <w:ind w:left="0"/>
              <w:rPr>
                <w:sz w:val="20"/>
              </w:rPr>
            </w:pPr>
            <w:r w:rsidRPr="005D4F47">
              <w:rPr>
                <w:sz w:val="20"/>
              </w:rPr>
              <w:t>Date:</w:t>
            </w:r>
            <w:r w:rsidRPr="005D4F47">
              <w:rPr>
                <w:b w:val="0"/>
                <w:sz w:val="20"/>
              </w:rPr>
              <w:t xml:space="preserve">  </w:t>
            </w:r>
            <w:r w:rsidR="00DA0D33">
              <w:rPr>
                <w:b w:val="0"/>
                <w:sz w:val="20"/>
              </w:rPr>
              <w:t>2017</w:t>
            </w:r>
            <w:r w:rsidRPr="005D4F47">
              <w:rPr>
                <w:b w:val="0"/>
                <w:sz w:val="20"/>
              </w:rPr>
              <w:t>-</w:t>
            </w:r>
            <w:r w:rsidR="004A3357">
              <w:rPr>
                <w:b w:val="0"/>
                <w:sz w:val="20"/>
              </w:rPr>
              <w:t>10</w:t>
            </w:r>
            <w:r w:rsidRPr="005D4F47">
              <w:rPr>
                <w:b w:val="0"/>
                <w:sz w:val="20"/>
              </w:rPr>
              <w:t>-</w:t>
            </w:r>
            <w:r w:rsidR="00422D95">
              <w:rPr>
                <w:b w:val="0"/>
                <w:sz w:val="20"/>
              </w:rPr>
              <w:t>18</w:t>
            </w:r>
          </w:p>
        </w:tc>
      </w:tr>
      <w:tr w:rsidR="00CA09B2" w:rsidRPr="005D4F47" w14:paraId="67F3CD98" w14:textId="77777777" w:rsidTr="008E418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5200C1" w14:textId="77777777" w:rsidR="00CA09B2" w:rsidRPr="005D4F4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4F47">
              <w:rPr>
                <w:sz w:val="20"/>
              </w:rPr>
              <w:t>Author(s):</w:t>
            </w:r>
          </w:p>
        </w:tc>
      </w:tr>
      <w:tr w:rsidR="00CA09B2" w:rsidRPr="005D4F47" w14:paraId="35802CD4" w14:textId="77777777" w:rsidTr="008E4185">
        <w:trPr>
          <w:jc w:val="center"/>
        </w:trPr>
        <w:tc>
          <w:tcPr>
            <w:tcW w:w="1809" w:type="dxa"/>
            <w:vAlign w:val="center"/>
          </w:tcPr>
          <w:p w14:paraId="0F232620" w14:textId="77777777" w:rsidR="00CA09B2" w:rsidRPr="005D4F4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4F47">
              <w:rPr>
                <w:sz w:val="20"/>
              </w:rPr>
              <w:t>Name</w:t>
            </w:r>
          </w:p>
        </w:tc>
        <w:tc>
          <w:tcPr>
            <w:tcW w:w="1305" w:type="dxa"/>
            <w:vAlign w:val="center"/>
          </w:tcPr>
          <w:p w14:paraId="527A4E4C" w14:textId="77777777" w:rsidR="00CA09B2" w:rsidRPr="005D4F47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4F47">
              <w:rPr>
                <w:sz w:val="20"/>
              </w:rPr>
              <w:t>Affiliation</w:t>
            </w:r>
          </w:p>
        </w:tc>
        <w:tc>
          <w:tcPr>
            <w:tcW w:w="1701" w:type="dxa"/>
            <w:vAlign w:val="center"/>
          </w:tcPr>
          <w:p w14:paraId="391AAE0C" w14:textId="77777777" w:rsidR="00CA09B2" w:rsidRPr="005D4F4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4F47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4F93E68A" w14:textId="77777777" w:rsidR="00CA09B2" w:rsidRPr="005D4F4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4F47">
              <w:rPr>
                <w:sz w:val="20"/>
              </w:rPr>
              <w:t>Phone</w:t>
            </w:r>
          </w:p>
        </w:tc>
        <w:tc>
          <w:tcPr>
            <w:tcW w:w="3231" w:type="dxa"/>
            <w:vAlign w:val="center"/>
          </w:tcPr>
          <w:p w14:paraId="78001059" w14:textId="77777777" w:rsidR="00CA09B2" w:rsidRPr="005D4F47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D4F47">
              <w:rPr>
                <w:sz w:val="20"/>
              </w:rPr>
              <w:t>email</w:t>
            </w:r>
          </w:p>
        </w:tc>
      </w:tr>
      <w:tr w:rsidR="00CA09B2" w:rsidRPr="005D4F47" w14:paraId="61086B94" w14:textId="77777777" w:rsidTr="008E4185">
        <w:trPr>
          <w:trHeight w:val="907"/>
          <w:jc w:val="center"/>
        </w:trPr>
        <w:tc>
          <w:tcPr>
            <w:tcW w:w="1809" w:type="dxa"/>
            <w:vAlign w:val="center"/>
          </w:tcPr>
          <w:p w14:paraId="11449CA8" w14:textId="77777777" w:rsidR="00CA09B2" w:rsidRPr="005D4F47" w:rsidRDefault="005D15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D4F47">
              <w:rPr>
                <w:b w:val="0"/>
                <w:sz w:val="20"/>
              </w:rPr>
              <w:t>Gaius Wee</w:t>
            </w:r>
          </w:p>
        </w:tc>
        <w:tc>
          <w:tcPr>
            <w:tcW w:w="1305" w:type="dxa"/>
            <w:vAlign w:val="center"/>
          </w:tcPr>
          <w:p w14:paraId="103A9221" w14:textId="77777777" w:rsidR="00CA09B2" w:rsidRPr="005D4F47" w:rsidRDefault="005D15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D4F47">
              <w:rPr>
                <w:b w:val="0"/>
                <w:sz w:val="20"/>
              </w:rPr>
              <w:t>Panasonic</w:t>
            </w:r>
            <w:r w:rsidR="00B00A29" w:rsidRPr="005D4F47"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1701" w:type="dxa"/>
            <w:vAlign w:val="center"/>
          </w:tcPr>
          <w:p w14:paraId="3204BF33" w14:textId="296FE299" w:rsidR="00CA09B2" w:rsidRPr="005D4F47" w:rsidRDefault="008E4185" w:rsidP="008E41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202 </w:t>
            </w:r>
            <w:proofErr w:type="spellStart"/>
            <w:r>
              <w:rPr>
                <w:b w:val="0"/>
                <w:sz w:val="20"/>
              </w:rPr>
              <w:t>Bedok</w:t>
            </w:r>
            <w:proofErr w:type="spellEnd"/>
            <w:r>
              <w:rPr>
                <w:b w:val="0"/>
                <w:sz w:val="20"/>
              </w:rPr>
              <w:t xml:space="preserve"> South Avenue 1 #02-11, Singapore 469332</w:t>
            </w:r>
          </w:p>
        </w:tc>
        <w:tc>
          <w:tcPr>
            <w:tcW w:w="1530" w:type="dxa"/>
            <w:vAlign w:val="center"/>
          </w:tcPr>
          <w:p w14:paraId="7B27DEBE" w14:textId="143670F3" w:rsidR="00CA09B2" w:rsidRPr="005D4F47" w:rsidRDefault="008E418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+65 6550 5335</w:t>
            </w:r>
          </w:p>
        </w:tc>
        <w:tc>
          <w:tcPr>
            <w:tcW w:w="3231" w:type="dxa"/>
            <w:vAlign w:val="center"/>
          </w:tcPr>
          <w:p w14:paraId="43990959" w14:textId="77777777" w:rsidR="00251C8C" w:rsidRPr="005D4F47" w:rsidRDefault="005D157B" w:rsidP="005D157B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</w:rPr>
            </w:pPr>
            <w:r w:rsidRPr="005D4F47">
              <w:rPr>
                <w:b w:val="0"/>
                <w:sz w:val="24"/>
                <w:szCs w:val="24"/>
              </w:rPr>
              <w:t>yaohuang.wee@sg.panasonic.com</w:t>
            </w:r>
          </w:p>
        </w:tc>
      </w:tr>
    </w:tbl>
    <w:p w14:paraId="05F3E7DD" w14:textId="17B0BB2F" w:rsidR="00CA09B2" w:rsidRDefault="00A6055C">
      <w:pPr>
        <w:pStyle w:val="T1"/>
        <w:spacing w:after="120"/>
        <w:rPr>
          <w:sz w:val="22"/>
        </w:rPr>
      </w:pPr>
      <w:r>
        <w:rPr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9E123F" wp14:editId="1844850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8A6A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F8EF7FE" w14:textId="361F5B6B" w:rsidR="00251C8C" w:rsidRDefault="005D157B" w:rsidP="005D157B">
                            <w:pPr>
                              <w:jc w:val="both"/>
                            </w:pPr>
                            <w:r>
                              <w:t xml:space="preserve">This </w:t>
                            </w:r>
                            <w:r w:rsidRPr="00874B72">
                              <w:t xml:space="preserve">document proposes </w:t>
                            </w:r>
                            <w:r w:rsidR="000A1341" w:rsidRPr="00874B72">
                              <w:t>draft specification text to enable the use of unsolicited RSS in response to the BTI</w:t>
                            </w:r>
                            <w:r w:rsidR="006C1BEF" w:rsidRPr="00874B72"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A9E12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128A6A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F8EF7FE" w14:textId="361F5B6B" w:rsidR="00251C8C" w:rsidRDefault="005D157B" w:rsidP="005D157B">
                      <w:pPr>
                        <w:jc w:val="both"/>
                      </w:pPr>
                      <w:r>
                        <w:t xml:space="preserve">This </w:t>
                      </w:r>
                      <w:r w:rsidRPr="00874B72">
                        <w:t xml:space="preserve">document proposes </w:t>
                      </w:r>
                      <w:r w:rsidR="000A1341" w:rsidRPr="00874B72">
                        <w:t>draft specification text to enable the use of unsolicited RSS in response to the BTI</w:t>
                      </w:r>
                      <w:r w:rsidR="006C1BEF" w:rsidRPr="00874B7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CCF6E4E" w14:textId="122B0589" w:rsidR="00D6149A" w:rsidRDefault="00CA09B2" w:rsidP="00D6149A">
      <w:pPr>
        <w:pBdr>
          <w:bottom w:val="single" w:sz="6" w:space="1" w:color="auto"/>
        </w:pBdr>
        <w:rPr>
          <w:bCs/>
          <w:szCs w:val="22"/>
          <w:lang w:val="en-US" w:bidi="he-IL"/>
        </w:rPr>
      </w:pPr>
      <w:r>
        <w:br w:type="page"/>
      </w:r>
    </w:p>
    <w:p w14:paraId="31F57B0C" w14:textId="00B86EB1" w:rsidR="00363536" w:rsidRDefault="00F733C4" w:rsidP="004808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Discussion</w:t>
      </w:r>
    </w:p>
    <w:p w14:paraId="50ED8DAA" w14:textId="77777777" w:rsidR="004808FE" w:rsidRPr="004808FE" w:rsidRDefault="004808FE" w:rsidP="004808FE">
      <w:pPr>
        <w:rPr>
          <w:rFonts w:ascii="Arial" w:hAnsi="Arial" w:cs="Arial"/>
          <w:b/>
        </w:rPr>
      </w:pPr>
    </w:p>
    <w:p w14:paraId="67E13E54" w14:textId="7EC8B6B8" w:rsidR="00DE0C93" w:rsidRDefault="00DC34E5" w:rsidP="00DE0C93">
      <w:pPr>
        <w:jc w:val="both"/>
        <w:rPr>
          <w:lang w:val="en-US" w:eastAsia="ja-JP"/>
        </w:rPr>
      </w:pPr>
      <w:r>
        <w:rPr>
          <w:lang w:val="en-US" w:eastAsia="ja-JP"/>
        </w:rPr>
        <w:t xml:space="preserve">The current 11ay </w:t>
      </w:r>
      <w:r w:rsidR="0010568F">
        <w:rPr>
          <w:lang w:val="en-US" w:eastAsia="ja-JP"/>
        </w:rPr>
        <w:t>D0.5 draft</w:t>
      </w:r>
      <w:r w:rsidR="002F60E7">
        <w:rPr>
          <w:lang w:val="en-US" w:eastAsia="ja-JP"/>
        </w:rPr>
        <w:t xml:space="preserve"> [1]</w:t>
      </w:r>
      <w:r w:rsidR="0010568F">
        <w:rPr>
          <w:lang w:val="en-US" w:eastAsia="ja-JP"/>
        </w:rPr>
        <w:t xml:space="preserve"> enables an EDMG STA to perform an unsolicited RSS after receiving an ISS addressed to another STA during the DTI. </w:t>
      </w:r>
      <w:r w:rsidR="00363536">
        <w:rPr>
          <w:lang w:val="en-US" w:eastAsia="ja-JP"/>
        </w:rPr>
        <w:t>This proposal</w:t>
      </w:r>
      <w:r w:rsidR="0010568F">
        <w:rPr>
          <w:lang w:val="en-US" w:eastAsia="ja-JP"/>
        </w:rPr>
        <w:t xml:space="preserve"> seeks to</w:t>
      </w:r>
      <w:r w:rsidR="00363536">
        <w:rPr>
          <w:lang w:val="en-US" w:eastAsia="ja-JP"/>
        </w:rPr>
        <w:t xml:space="preserve"> extend the existing unsolicited RSS scheme to cover respon</w:t>
      </w:r>
      <w:r w:rsidR="0010568F">
        <w:rPr>
          <w:lang w:val="en-US" w:eastAsia="ja-JP"/>
        </w:rPr>
        <w:t>ding</w:t>
      </w:r>
      <w:r w:rsidR="00363536">
        <w:rPr>
          <w:lang w:val="en-US" w:eastAsia="ja-JP"/>
        </w:rPr>
        <w:t xml:space="preserve"> to </w:t>
      </w:r>
      <w:r w:rsidR="0010568F">
        <w:rPr>
          <w:lang w:val="en-US" w:eastAsia="ja-JP"/>
        </w:rPr>
        <w:t xml:space="preserve">a received </w:t>
      </w:r>
      <w:r w:rsidR="00363536">
        <w:rPr>
          <w:lang w:val="en-US" w:eastAsia="ja-JP"/>
        </w:rPr>
        <w:t>BTI (e.g. for unassociated STA</w:t>
      </w:r>
      <w:r w:rsidR="0010568F">
        <w:rPr>
          <w:lang w:val="en-US" w:eastAsia="ja-JP"/>
        </w:rPr>
        <w:t>s</w:t>
      </w:r>
      <w:r w:rsidR="00363536">
        <w:rPr>
          <w:lang w:val="en-US" w:eastAsia="ja-JP"/>
        </w:rPr>
        <w:t xml:space="preserve"> </w:t>
      </w:r>
      <w:r w:rsidR="0010568F">
        <w:rPr>
          <w:lang w:val="en-US" w:eastAsia="ja-JP"/>
        </w:rPr>
        <w:t>performing</w:t>
      </w:r>
      <w:r w:rsidR="00363536">
        <w:rPr>
          <w:lang w:val="en-US" w:eastAsia="ja-JP"/>
        </w:rPr>
        <w:t xml:space="preserve"> discovery)</w:t>
      </w:r>
      <w:r w:rsidR="002A0007">
        <w:rPr>
          <w:lang w:val="en-US" w:eastAsia="ja-JP"/>
        </w:rPr>
        <w:t xml:space="preserve"> and expedite beamforming, especially when the A-BFT is not present</w:t>
      </w:r>
      <w:r w:rsidR="00363536">
        <w:rPr>
          <w:lang w:val="en-US" w:eastAsia="ja-JP"/>
        </w:rPr>
        <w:t>.</w:t>
      </w:r>
      <w:r w:rsidR="002A0007">
        <w:rPr>
          <w:lang w:val="en-US" w:eastAsia="ja-JP"/>
        </w:rPr>
        <w:t xml:space="preserve"> </w:t>
      </w:r>
    </w:p>
    <w:p w14:paraId="5B187EDF" w14:textId="77777777" w:rsidR="00DE0C93" w:rsidRDefault="00DE0C93" w:rsidP="00DE0C93">
      <w:pPr>
        <w:jc w:val="both"/>
        <w:rPr>
          <w:lang w:val="en-US" w:eastAsia="ja-JP"/>
        </w:rPr>
      </w:pPr>
    </w:p>
    <w:p w14:paraId="088B6C0C" w14:textId="2D2D0D70" w:rsidR="00363536" w:rsidRDefault="00DE0C93" w:rsidP="00A822D0">
      <w:pPr>
        <w:jc w:val="both"/>
        <w:rPr>
          <w:lang w:val="en-US" w:eastAsia="ja-JP"/>
        </w:rPr>
      </w:pPr>
      <w:r>
        <w:rPr>
          <w:lang w:val="en-US" w:eastAsia="ja-JP"/>
        </w:rPr>
        <w:t>T</w:t>
      </w:r>
      <w:r w:rsidR="0010568F">
        <w:rPr>
          <w:lang w:val="en-US" w:eastAsia="ja-JP"/>
        </w:rPr>
        <w:t xml:space="preserve">he Unsolicited RSS Enabled field is included in the DMG Beacon. </w:t>
      </w:r>
      <w:r>
        <w:rPr>
          <w:lang w:val="en-US" w:eastAsia="ja-JP"/>
        </w:rPr>
        <w:t>To</w:t>
      </w:r>
      <w:r>
        <w:rPr>
          <w:lang w:val="en-US" w:eastAsia="ja-JP"/>
        </w:rPr>
        <w:t xml:space="preserve"> avoid expanding the size of the DMG Beacon, which increases BTI overhead, the Unsolicited RSS Enabled field takes the place of the existing </w:t>
      </w:r>
      <w:proofErr w:type="spellStart"/>
      <w:r>
        <w:rPr>
          <w:lang w:val="en-US" w:eastAsia="ja-JP"/>
        </w:rPr>
        <w:t>IsResponderTXSS</w:t>
      </w:r>
      <w:proofErr w:type="spellEnd"/>
      <w:r>
        <w:rPr>
          <w:lang w:val="en-US" w:eastAsia="ja-JP"/>
        </w:rPr>
        <w:t xml:space="preserve"> field when the A-BFT is not present (as signaled by Next A-BFT&gt;0). Note: The </w:t>
      </w:r>
      <w:proofErr w:type="spellStart"/>
      <w:r>
        <w:rPr>
          <w:lang w:val="en-US" w:eastAsia="ja-JP"/>
        </w:rPr>
        <w:t>IsResponderTXSS</w:t>
      </w:r>
      <w:proofErr w:type="spellEnd"/>
      <w:r>
        <w:rPr>
          <w:lang w:val="en-US" w:eastAsia="ja-JP"/>
        </w:rPr>
        <w:t xml:space="preserve"> field is useful only when A-BFT is present so there is no impact on existing </w:t>
      </w:r>
      <w:proofErr w:type="spellStart"/>
      <w:r>
        <w:rPr>
          <w:lang w:val="en-US" w:eastAsia="ja-JP"/>
        </w:rPr>
        <w:t>behaviour</w:t>
      </w:r>
      <w:proofErr w:type="spellEnd"/>
      <w:r>
        <w:rPr>
          <w:lang w:val="en-US" w:eastAsia="ja-JP"/>
        </w:rPr>
        <w:t>.</w:t>
      </w:r>
      <w:r>
        <w:rPr>
          <w:lang w:val="en-US" w:eastAsia="ja-JP"/>
        </w:rPr>
        <w:t xml:space="preserve"> </w:t>
      </w:r>
      <w:r>
        <w:rPr>
          <w:lang w:val="en-US" w:eastAsia="ja-JP"/>
        </w:rPr>
        <w:t>An EDMG</w:t>
      </w:r>
      <w:r>
        <w:rPr>
          <w:lang w:val="en-US" w:eastAsia="ja-JP"/>
        </w:rPr>
        <w:t xml:space="preserve"> STA may</w:t>
      </w:r>
      <w:r>
        <w:rPr>
          <w:lang w:val="en-US" w:eastAsia="ja-JP"/>
        </w:rPr>
        <w:t xml:space="preserve"> perform </w:t>
      </w:r>
      <w:r>
        <w:rPr>
          <w:lang w:val="en-US" w:eastAsia="ja-JP"/>
        </w:rPr>
        <w:t>the</w:t>
      </w:r>
      <w:r>
        <w:rPr>
          <w:lang w:val="en-US" w:eastAsia="ja-JP"/>
        </w:rPr>
        <w:t xml:space="preserve"> unsolicited RSS</w:t>
      </w:r>
      <w:r>
        <w:rPr>
          <w:lang w:val="en-US" w:eastAsia="ja-JP"/>
        </w:rPr>
        <w:t xml:space="preserve"> during the DTI</w:t>
      </w:r>
      <w:r>
        <w:rPr>
          <w:lang w:val="en-US" w:eastAsia="ja-JP"/>
        </w:rPr>
        <w:t xml:space="preserve"> in response to </w:t>
      </w:r>
      <w:r>
        <w:rPr>
          <w:lang w:val="en-US" w:eastAsia="ja-JP"/>
        </w:rPr>
        <w:t xml:space="preserve">a received DMG Beacon with </w:t>
      </w:r>
      <w:r>
        <w:rPr>
          <w:lang w:val="en-US" w:eastAsia="ja-JP"/>
        </w:rPr>
        <w:t>Unsolicited RSS Enabl</w:t>
      </w:r>
      <w:r>
        <w:rPr>
          <w:lang w:val="en-US" w:eastAsia="ja-JP"/>
        </w:rPr>
        <w:t>ed set to 1 and shall not if set to 0</w:t>
      </w:r>
      <w:r>
        <w:rPr>
          <w:lang w:val="en-US" w:eastAsia="ja-JP"/>
        </w:rPr>
        <w:t>.</w:t>
      </w:r>
    </w:p>
    <w:p w14:paraId="5B0C6B6F" w14:textId="0716F565" w:rsidR="0086125A" w:rsidRDefault="0086125A" w:rsidP="00A822D0">
      <w:pPr>
        <w:jc w:val="both"/>
        <w:rPr>
          <w:lang w:val="en-US" w:eastAsia="ja-JP"/>
        </w:rPr>
      </w:pPr>
    </w:p>
    <w:p w14:paraId="16D0D945" w14:textId="7614D1AF" w:rsidR="0086125A" w:rsidRDefault="001E76AD" w:rsidP="0086125A">
      <w:pPr>
        <w:jc w:val="center"/>
        <w:rPr>
          <w:lang w:val="en-US" w:eastAsia="ja-JP"/>
        </w:rPr>
      </w:pPr>
      <w:r>
        <w:rPr>
          <w:noProof/>
          <w:lang w:val="en-SG" w:eastAsia="en-SG"/>
        </w:rPr>
        <w:drawing>
          <wp:inline distT="0" distB="0" distL="0" distR="0" wp14:anchorId="57C38C1D" wp14:editId="398712A4">
            <wp:extent cx="3022010" cy="1977324"/>
            <wp:effectExtent l="0" t="0" r="698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64" cy="1983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5A88D" w14:textId="77777777" w:rsidR="002F60E7" w:rsidRDefault="002F60E7" w:rsidP="002F60E7">
      <w:pPr>
        <w:jc w:val="both"/>
        <w:rPr>
          <w:lang w:val="en-US" w:eastAsia="ja-JP"/>
        </w:rPr>
      </w:pPr>
    </w:p>
    <w:p w14:paraId="06B20073" w14:textId="3374FE52" w:rsidR="002F60E7" w:rsidRDefault="002F60E7" w:rsidP="00422D95">
      <w:pPr>
        <w:jc w:val="both"/>
        <w:rPr>
          <w:lang w:val="en-US" w:eastAsia="ja-JP"/>
        </w:rPr>
      </w:pPr>
      <w:r>
        <w:rPr>
          <w:lang w:val="en-US" w:eastAsia="ja-JP"/>
        </w:rPr>
        <w:t xml:space="preserve">Proposed draft </w:t>
      </w:r>
      <w:r w:rsidR="00193CFE">
        <w:rPr>
          <w:lang w:val="en-US" w:eastAsia="ja-JP"/>
        </w:rPr>
        <w:t xml:space="preserve">text </w:t>
      </w:r>
      <w:r w:rsidR="009C659C">
        <w:rPr>
          <w:lang w:val="en-US" w:eastAsia="ja-JP"/>
        </w:rPr>
        <w:t>to be included</w:t>
      </w:r>
      <w:r>
        <w:rPr>
          <w:lang w:val="en-US" w:eastAsia="ja-JP"/>
        </w:rPr>
        <w:t xml:space="preserve"> </w:t>
      </w:r>
      <w:r w:rsidR="009C659C">
        <w:rPr>
          <w:lang w:val="en-US" w:eastAsia="ja-JP"/>
        </w:rPr>
        <w:t>is</w:t>
      </w:r>
      <w:r>
        <w:rPr>
          <w:lang w:val="en-US" w:eastAsia="ja-JP"/>
        </w:rPr>
        <w:t xml:space="preserve"> below.</w:t>
      </w:r>
    </w:p>
    <w:p w14:paraId="73C52C0F" w14:textId="77777777" w:rsidR="00422D95" w:rsidRPr="00422D95" w:rsidRDefault="00422D95" w:rsidP="00422D95">
      <w:pPr>
        <w:jc w:val="both"/>
        <w:rPr>
          <w:lang w:val="en-US" w:eastAsia="ja-JP"/>
        </w:rPr>
      </w:pPr>
    </w:p>
    <w:p w14:paraId="0977E4D5" w14:textId="77777777" w:rsidR="002F60E7" w:rsidRDefault="002F60E7" w:rsidP="00032410"/>
    <w:p w14:paraId="5990228F" w14:textId="67FD2C48" w:rsidR="00D6149A" w:rsidRDefault="008A1EC3" w:rsidP="00032410">
      <w:pPr>
        <w:rPr>
          <w:rFonts w:ascii="Arial" w:hAnsi="Arial" w:cs="Arial"/>
          <w:b/>
        </w:rPr>
      </w:pPr>
      <w:r w:rsidRPr="00032410">
        <w:rPr>
          <w:rFonts w:ascii="Arial" w:hAnsi="Arial" w:cs="Arial"/>
          <w:b/>
        </w:rPr>
        <w:t xml:space="preserve">9. </w:t>
      </w:r>
      <w:r w:rsidR="00D6149A" w:rsidRPr="00032410">
        <w:rPr>
          <w:rFonts w:ascii="Arial" w:hAnsi="Arial" w:cs="Arial"/>
          <w:b/>
        </w:rPr>
        <w:t>Frame formats</w:t>
      </w:r>
    </w:p>
    <w:p w14:paraId="7698B546" w14:textId="77777777" w:rsidR="00032410" w:rsidRPr="00032410" w:rsidRDefault="00032410" w:rsidP="00032410">
      <w:pPr>
        <w:rPr>
          <w:rFonts w:ascii="Arial" w:hAnsi="Arial" w:cs="Arial"/>
          <w:b/>
        </w:rPr>
      </w:pPr>
    </w:p>
    <w:p w14:paraId="11290C59" w14:textId="3E5E7CEF" w:rsidR="00B51D41" w:rsidRDefault="004808FE" w:rsidP="00032410">
      <w:pPr>
        <w:rPr>
          <w:rFonts w:ascii="Arial" w:hAnsi="Arial" w:cs="Arial"/>
          <w:b/>
        </w:rPr>
      </w:pPr>
      <w:bookmarkStart w:id="1" w:name="_Toc490311128"/>
      <w:r w:rsidRPr="00032410">
        <w:rPr>
          <w:rFonts w:ascii="Arial" w:hAnsi="Arial" w:cs="Arial"/>
          <w:b/>
        </w:rPr>
        <w:t xml:space="preserve">9.3 </w:t>
      </w:r>
      <w:r w:rsidR="00B51D41" w:rsidRPr="00032410">
        <w:rPr>
          <w:rFonts w:ascii="Arial" w:hAnsi="Arial" w:cs="Arial"/>
          <w:b/>
        </w:rPr>
        <w:t>Format of individual frame types</w:t>
      </w:r>
      <w:bookmarkEnd w:id="1"/>
    </w:p>
    <w:p w14:paraId="49EBB038" w14:textId="77777777" w:rsidR="00032410" w:rsidRPr="00032410" w:rsidRDefault="00032410" w:rsidP="00032410">
      <w:pPr>
        <w:rPr>
          <w:rFonts w:ascii="Arial" w:hAnsi="Arial" w:cs="Arial"/>
          <w:b/>
        </w:rPr>
      </w:pPr>
    </w:p>
    <w:p w14:paraId="4F211BA6" w14:textId="2A5C7D67" w:rsidR="00B51D41" w:rsidRDefault="004808FE" w:rsidP="00032410">
      <w:pPr>
        <w:rPr>
          <w:rFonts w:ascii="Arial" w:hAnsi="Arial" w:cs="Arial"/>
          <w:b/>
          <w:sz w:val="20"/>
        </w:rPr>
      </w:pPr>
      <w:r w:rsidRPr="00032410">
        <w:rPr>
          <w:rFonts w:ascii="Arial" w:hAnsi="Arial" w:cs="Arial"/>
          <w:b/>
          <w:sz w:val="20"/>
        </w:rPr>
        <w:t xml:space="preserve">9.3.4 </w:t>
      </w:r>
      <w:r w:rsidR="00B51D41" w:rsidRPr="00032410">
        <w:rPr>
          <w:rFonts w:ascii="Arial" w:hAnsi="Arial" w:cs="Arial"/>
          <w:b/>
          <w:sz w:val="20"/>
        </w:rPr>
        <w:t>Extension frames</w:t>
      </w:r>
    </w:p>
    <w:p w14:paraId="7A744615" w14:textId="77777777" w:rsidR="009A6474" w:rsidRPr="009A6474" w:rsidRDefault="009A6474" w:rsidP="00032410">
      <w:pPr>
        <w:rPr>
          <w:rFonts w:ascii="Arial" w:hAnsi="Arial" w:cs="Arial"/>
          <w:b/>
          <w:sz w:val="20"/>
        </w:rPr>
      </w:pPr>
    </w:p>
    <w:p w14:paraId="7FB78AE5" w14:textId="7C2FCB1C" w:rsidR="00B51D41" w:rsidRPr="00032410" w:rsidRDefault="004808FE" w:rsidP="00032410">
      <w:pPr>
        <w:rPr>
          <w:rFonts w:ascii="Arial" w:hAnsi="Arial" w:cs="Arial"/>
          <w:b/>
          <w:sz w:val="20"/>
        </w:rPr>
      </w:pPr>
      <w:r w:rsidRPr="00032410">
        <w:rPr>
          <w:rFonts w:ascii="Arial" w:hAnsi="Arial" w:cs="Arial"/>
          <w:b/>
          <w:sz w:val="20"/>
        </w:rPr>
        <w:t xml:space="preserve">9.3.4.2 </w:t>
      </w:r>
      <w:r w:rsidR="00B51D41" w:rsidRPr="00032410">
        <w:rPr>
          <w:rFonts w:ascii="Arial" w:hAnsi="Arial" w:cs="Arial"/>
          <w:b/>
          <w:sz w:val="20"/>
        </w:rPr>
        <w:t>DMG Beacon</w:t>
      </w:r>
    </w:p>
    <w:p w14:paraId="508FE89B" w14:textId="77777777" w:rsidR="00032410" w:rsidRPr="00032410" w:rsidRDefault="00032410" w:rsidP="00032410">
      <w:pPr>
        <w:rPr>
          <w:rFonts w:ascii="Arial" w:hAnsi="Arial" w:cs="Arial"/>
          <w:b/>
        </w:rPr>
      </w:pPr>
    </w:p>
    <w:p w14:paraId="53B6642E" w14:textId="335874D3" w:rsidR="00E26A59" w:rsidRDefault="00E26A59" w:rsidP="0077127A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  <w:r>
        <w:rPr>
          <w:rFonts w:ascii="Arial,Bold" w:hAnsi="Arial,Bold" w:cs="Arial,Bold"/>
          <w:bCs/>
          <w:i/>
          <w:sz w:val="20"/>
          <w:lang w:val="en-US" w:bidi="he-IL"/>
        </w:rPr>
        <w:t>Modify the paragraph before Figure 9-61 as follows:</w:t>
      </w:r>
    </w:p>
    <w:p w14:paraId="3D8B9D9A" w14:textId="77777777" w:rsidR="00E26A59" w:rsidRDefault="00E26A59" w:rsidP="00E26A59">
      <w:pPr>
        <w:jc w:val="both"/>
        <w:rPr>
          <w:u w:val="single"/>
        </w:rPr>
      </w:pPr>
    </w:p>
    <w:p w14:paraId="64F01339" w14:textId="75A1C6B4" w:rsidR="00E26A59" w:rsidRPr="00E26A59" w:rsidRDefault="00E26A59" w:rsidP="00E26A59">
      <w:pPr>
        <w:jc w:val="both"/>
      </w:pPr>
      <w:r w:rsidRPr="00E26A59">
        <w:t>The format of the Beacon Interval Control field</w:t>
      </w:r>
      <w:r w:rsidRPr="00E26A59">
        <w:rPr>
          <w:u w:val="single"/>
        </w:rPr>
        <w:t xml:space="preserve"> when the Next A-BFT subfield is set to 0</w:t>
      </w:r>
      <w:r w:rsidRPr="00E26A59">
        <w:t xml:space="preserve"> is shown in Figure 9-61</w:t>
      </w:r>
      <w:r w:rsidRPr="00E26A59">
        <w:rPr>
          <w:u w:val="single"/>
        </w:rPr>
        <w:t xml:space="preserve"> and the format of the Beacon Interval Control field when the Next A-BFT subfield is </w:t>
      </w:r>
      <w:r>
        <w:rPr>
          <w:u w:val="single"/>
        </w:rPr>
        <w:t>greater than</w:t>
      </w:r>
      <w:r w:rsidRPr="00E26A59">
        <w:rPr>
          <w:u w:val="single"/>
        </w:rPr>
        <w:t xml:space="preserve"> 0 is shown in Figure 9-61a</w:t>
      </w:r>
      <w:r>
        <w:t>.</w:t>
      </w:r>
    </w:p>
    <w:p w14:paraId="56E6AFF8" w14:textId="77777777" w:rsidR="00E26A59" w:rsidRDefault="00E26A59" w:rsidP="0077127A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</w:p>
    <w:p w14:paraId="6F950510" w14:textId="2064D25B" w:rsidR="0077127A" w:rsidRDefault="0077127A" w:rsidP="0077127A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  <w:r>
        <w:rPr>
          <w:rFonts w:ascii="Arial,Bold" w:hAnsi="Arial,Bold" w:cs="Arial,Bold"/>
          <w:bCs/>
          <w:i/>
          <w:sz w:val="20"/>
          <w:lang w:val="en-US" w:bidi="he-IL"/>
        </w:rPr>
        <w:t>Modify the caption of Figure 9-61 as follows:</w:t>
      </w:r>
    </w:p>
    <w:p w14:paraId="24A9CE08" w14:textId="77777777" w:rsidR="0077127A" w:rsidRDefault="0077127A" w:rsidP="00D6149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SG" w:eastAsia="ja-JP"/>
        </w:rPr>
      </w:pPr>
    </w:p>
    <w:p w14:paraId="5B4048B0" w14:textId="49E4FBBE" w:rsidR="0077127A" w:rsidRPr="008345A7" w:rsidRDefault="0077127A" w:rsidP="00D6149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u w:val="single"/>
          <w:lang w:val="en-SG" w:eastAsia="ja-JP"/>
        </w:rPr>
      </w:pPr>
      <w:r>
        <w:rPr>
          <w:rFonts w:ascii="Arial-BoldMT" w:hAnsi="Arial-BoldMT" w:cs="Arial-BoldMT"/>
          <w:b/>
          <w:bCs/>
          <w:sz w:val="20"/>
          <w:lang w:val="en-SG" w:eastAsia="ja-JP"/>
        </w:rPr>
        <w:t xml:space="preserve">Figure 9-61—Beacon Interval Control field </w:t>
      </w:r>
      <w:r w:rsidRPr="008345A7">
        <w:rPr>
          <w:rFonts w:ascii="Arial-BoldMT" w:hAnsi="Arial-BoldMT" w:cs="Arial-BoldMT"/>
          <w:b/>
          <w:bCs/>
          <w:sz w:val="20"/>
          <w:u w:val="single"/>
          <w:lang w:val="en-SG" w:eastAsia="ja-JP"/>
        </w:rPr>
        <w:t xml:space="preserve">when the Next A-BFT </w:t>
      </w:r>
      <w:r w:rsidR="00463A56" w:rsidRPr="008345A7">
        <w:rPr>
          <w:rFonts w:ascii="Arial-BoldMT" w:hAnsi="Arial-BoldMT" w:cs="Arial-BoldMT"/>
          <w:b/>
          <w:bCs/>
          <w:sz w:val="20"/>
          <w:u w:val="single"/>
          <w:lang w:val="en-SG" w:eastAsia="ja-JP"/>
        </w:rPr>
        <w:t>sub</w:t>
      </w:r>
      <w:r w:rsidRPr="008345A7">
        <w:rPr>
          <w:rFonts w:ascii="Arial-BoldMT" w:hAnsi="Arial-BoldMT" w:cs="Arial-BoldMT"/>
          <w:b/>
          <w:bCs/>
          <w:sz w:val="20"/>
          <w:u w:val="single"/>
          <w:lang w:val="en-SG" w:eastAsia="ja-JP"/>
        </w:rPr>
        <w:t>field is set to 0</w:t>
      </w:r>
    </w:p>
    <w:p w14:paraId="677B1506" w14:textId="77777777" w:rsidR="0077127A" w:rsidRDefault="0077127A" w:rsidP="00D6149A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SG" w:eastAsia="ja-JP"/>
        </w:rPr>
      </w:pPr>
    </w:p>
    <w:p w14:paraId="2B8EC0F6" w14:textId="209DF98B" w:rsidR="00D6149A" w:rsidRPr="006B4428" w:rsidRDefault="0077127A" w:rsidP="00D6149A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  <w:r>
        <w:rPr>
          <w:rFonts w:ascii="Arial,Bold" w:hAnsi="Arial,Bold" w:cs="Arial,Bold"/>
          <w:bCs/>
          <w:i/>
          <w:sz w:val="20"/>
          <w:lang w:val="en-US" w:bidi="he-IL"/>
        </w:rPr>
        <w:t xml:space="preserve">Add the following figure after </w:t>
      </w:r>
      <w:r w:rsidR="00632A26">
        <w:rPr>
          <w:rFonts w:ascii="Arial,Bold" w:hAnsi="Arial,Bold" w:cs="Arial,Bold"/>
          <w:bCs/>
          <w:i/>
          <w:sz w:val="20"/>
          <w:lang w:val="en-US" w:bidi="he-IL"/>
        </w:rPr>
        <w:t xml:space="preserve">Figure 9-61 as </w:t>
      </w:r>
      <w:r w:rsidR="005903C6">
        <w:rPr>
          <w:rFonts w:ascii="Arial,Bold" w:hAnsi="Arial,Bold" w:cs="Arial,Bold"/>
          <w:bCs/>
          <w:i/>
          <w:sz w:val="20"/>
          <w:lang w:val="en-US" w:bidi="he-IL"/>
        </w:rPr>
        <w:t>shown</w:t>
      </w:r>
      <w:r>
        <w:rPr>
          <w:rFonts w:ascii="Arial,Bold" w:hAnsi="Arial,Bold" w:cs="Arial,Bold"/>
          <w:bCs/>
          <w:i/>
          <w:sz w:val="20"/>
          <w:lang w:val="en-US" w:bidi="he-IL"/>
        </w:rPr>
        <w:t>:</w:t>
      </w:r>
    </w:p>
    <w:p w14:paraId="1E8D5C3C" w14:textId="77777777" w:rsidR="00D6149A" w:rsidRPr="006B4428" w:rsidRDefault="00D6149A" w:rsidP="00D6149A">
      <w:pPr>
        <w:autoSpaceDE w:val="0"/>
        <w:autoSpaceDN w:val="0"/>
        <w:adjustRightInd w:val="0"/>
        <w:rPr>
          <w:rFonts w:eastAsia="TimesNewRoman"/>
          <w:szCs w:val="22"/>
          <w:lang w:val="en-US" w:bidi="he-IL"/>
        </w:rPr>
      </w:pP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97"/>
        <w:gridCol w:w="1201"/>
        <w:gridCol w:w="964"/>
        <w:gridCol w:w="928"/>
        <w:gridCol w:w="1023"/>
        <w:gridCol w:w="864"/>
        <w:gridCol w:w="1573"/>
        <w:gridCol w:w="863"/>
      </w:tblGrid>
      <w:tr w:rsidR="00AC3621" w14:paraId="12AC2DC5" w14:textId="77777777" w:rsidTr="007003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F6BE8" w14:textId="77777777" w:rsidR="00632A26" w:rsidRDefault="00632A26" w:rsidP="00700320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1B74A8" w14:textId="77777777" w:rsidR="00632A26" w:rsidRDefault="00632A26" w:rsidP="00700320">
            <w:pPr>
              <w:pStyle w:val="IEEEStdsTableData-Center"/>
            </w:pPr>
            <w:r>
              <w:t>B0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570E8D" w14:textId="77777777" w:rsidR="00632A26" w:rsidRDefault="00632A26" w:rsidP="00700320">
            <w:pPr>
              <w:pStyle w:val="IEEEStdsTableData-Center"/>
            </w:pPr>
            <w:r>
              <w:t>B1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5EF92" w14:textId="77777777" w:rsidR="00632A26" w:rsidRDefault="00632A26" w:rsidP="00700320">
            <w:pPr>
              <w:pStyle w:val="IEEEStdsTableData-Center"/>
            </w:pPr>
            <w:r>
              <w:t>B2    B5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47E4C" w14:textId="77777777" w:rsidR="00632A26" w:rsidRDefault="00632A26" w:rsidP="00700320">
            <w:pPr>
              <w:pStyle w:val="IEEEStdsTableData-Center"/>
            </w:pPr>
            <w:r>
              <w:t>B6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7DDD50" w14:textId="77777777" w:rsidR="00632A26" w:rsidRDefault="00632A26" w:rsidP="00700320">
            <w:pPr>
              <w:pStyle w:val="IEEEStdsTableData-Center"/>
            </w:pPr>
            <w:r>
              <w:t>B7    B9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A00647" w14:textId="77777777" w:rsidR="00632A26" w:rsidRPr="0041622D" w:rsidRDefault="00632A26" w:rsidP="00700320">
            <w:pPr>
              <w:pStyle w:val="IEEEStdsTableData-Center"/>
            </w:pPr>
            <w:r>
              <w:t>B10        B13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1D9ED2" w14:textId="77777777" w:rsidR="00632A26" w:rsidRDefault="00632A26" w:rsidP="00700320">
            <w:pPr>
              <w:pStyle w:val="IEEEStdsTableData-Center"/>
            </w:pPr>
            <w:r>
              <w:t>B14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2ADA4" w14:textId="77777777" w:rsidR="00632A26" w:rsidRDefault="00632A26" w:rsidP="00700320">
            <w:pPr>
              <w:pStyle w:val="IEEEStdsTableData-Center"/>
            </w:pPr>
            <w:r>
              <w:t>B15     B18</w:t>
            </w:r>
          </w:p>
        </w:tc>
      </w:tr>
      <w:tr w:rsidR="00AC3621" w14:paraId="77B41A71" w14:textId="77777777" w:rsidTr="0070032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49317" w14:textId="77777777" w:rsidR="00632A26" w:rsidRDefault="00632A26" w:rsidP="00700320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6BBFDC" w14:textId="77777777" w:rsidR="00632A26" w:rsidRDefault="00632A26" w:rsidP="00700320">
            <w:pPr>
              <w:pStyle w:val="IEEEStdsTableData-Center"/>
            </w:pPr>
            <w:r>
              <w:t>CC Present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C20FB" w14:textId="77777777" w:rsidR="00632A26" w:rsidRDefault="00632A26" w:rsidP="00700320">
            <w:pPr>
              <w:pStyle w:val="IEEEStdsTableData-Center"/>
            </w:pPr>
            <w:r>
              <w:t>Discovery Mode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A10A8" w14:textId="77777777" w:rsidR="00632A26" w:rsidRDefault="00632A26" w:rsidP="00700320">
            <w:pPr>
              <w:pStyle w:val="IEEEStdsTableData-Center"/>
            </w:pPr>
            <w:r>
              <w:t>Next Beacon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DBDD9" w14:textId="77777777" w:rsidR="00632A26" w:rsidRDefault="00632A26" w:rsidP="00700320">
            <w:pPr>
              <w:pStyle w:val="IEEEStdsTableData-Center"/>
            </w:pPr>
            <w:r>
              <w:t>ATI Present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8E5E1" w14:textId="77777777" w:rsidR="00632A26" w:rsidRDefault="00632A26" w:rsidP="00700320">
            <w:pPr>
              <w:pStyle w:val="IEEEStdsTableData-Center"/>
            </w:pPr>
            <w:r>
              <w:t>A-BFT Length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7BD7B" w14:textId="77777777" w:rsidR="00632A26" w:rsidRPr="00EA133F" w:rsidRDefault="00632A26" w:rsidP="00700320">
            <w:pPr>
              <w:pStyle w:val="IEEEStdsTableData-Center"/>
            </w:pPr>
            <w:r w:rsidRPr="00EA133F">
              <w:t>FSS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D023C" w14:textId="7CA6D2BC" w:rsidR="00632A26" w:rsidRPr="00463A56" w:rsidRDefault="00AC3621" w:rsidP="00700320">
            <w:pPr>
              <w:pStyle w:val="IEEEStdsTableData-Center"/>
            </w:pPr>
            <w:r w:rsidRPr="00463A56">
              <w:t>Unsolicited RSS Enabled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6B76AA" w14:textId="77777777" w:rsidR="00632A26" w:rsidRDefault="00632A26" w:rsidP="00700320">
            <w:pPr>
              <w:pStyle w:val="IEEEStdsTableData-Center"/>
            </w:pPr>
            <w:r>
              <w:t>Next A-BFT</w:t>
            </w:r>
          </w:p>
        </w:tc>
      </w:tr>
      <w:tr w:rsidR="00AC3621" w14:paraId="19DA547E" w14:textId="77777777" w:rsidTr="007003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75437" w14:textId="77777777" w:rsidR="00632A26" w:rsidRDefault="00632A26" w:rsidP="00700320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16A2DD" w14:textId="77777777" w:rsidR="00632A26" w:rsidRDefault="00632A26" w:rsidP="00700320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72CCCF" w14:textId="77777777" w:rsidR="00632A26" w:rsidRDefault="00632A26" w:rsidP="00700320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27D07B" w14:textId="77777777" w:rsidR="00632A26" w:rsidRDefault="00632A26" w:rsidP="00700320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75C9C3" w14:textId="77777777" w:rsidR="00632A26" w:rsidRDefault="00632A26" w:rsidP="00700320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CA17D4" w14:textId="77777777" w:rsidR="00632A26" w:rsidRDefault="00632A26" w:rsidP="00700320">
            <w:pPr>
              <w:pStyle w:val="IEEEStdsTableData-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00FFA0" w14:textId="77777777" w:rsidR="00632A26" w:rsidRPr="00EA133F" w:rsidRDefault="00632A26" w:rsidP="00700320">
            <w:pPr>
              <w:pStyle w:val="IEEEStdsTableData-Center"/>
            </w:pPr>
            <w:r w:rsidRPr="00EA133F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5B6E46" w14:textId="77777777" w:rsidR="00632A26" w:rsidRPr="00EA133F" w:rsidRDefault="00632A26" w:rsidP="00700320">
            <w:pPr>
              <w:pStyle w:val="IEEEStdsTableData-Center"/>
            </w:pPr>
            <w:r w:rsidRPr="00EA133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24268" w14:textId="77777777" w:rsidR="00632A26" w:rsidRDefault="00632A26" w:rsidP="00700320">
            <w:pPr>
              <w:pStyle w:val="IEEEStdsTableData-Center"/>
            </w:pPr>
            <w:r>
              <w:t>4</w:t>
            </w:r>
          </w:p>
        </w:tc>
      </w:tr>
    </w:tbl>
    <w:p w14:paraId="67E82EE7" w14:textId="77777777" w:rsidR="00632A26" w:rsidRDefault="00632A26" w:rsidP="00632A26">
      <w:pPr>
        <w:pStyle w:val="IEEEStds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289"/>
        <w:gridCol w:w="835"/>
        <w:gridCol w:w="837"/>
        <w:gridCol w:w="905"/>
        <w:gridCol w:w="927"/>
        <w:gridCol w:w="1449"/>
        <w:gridCol w:w="1194"/>
        <w:gridCol w:w="1589"/>
      </w:tblGrid>
      <w:tr w:rsidR="00463A56" w14:paraId="243F9692" w14:textId="77777777" w:rsidTr="007003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C388C" w14:textId="77777777" w:rsidR="00463A56" w:rsidRDefault="00463A56" w:rsidP="00700320">
            <w:pPr>
              <w:pStyle w:val="IEEEStdsTableData-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22A86" w14:textId="77777777" w:rsidR="00463A56" w:rsidRDefault="00463A56" w:rsidP="00700320">
            <w:pPr>
              <w:pStyle w:val="IEEEStdsTableData-Center"/>
            </w:pPr>
            <w:r>
              <w:t>B19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64473" w14:textId="77777777" w:rsidR="00463A56" w:rsidRDefault="00463A56" w:rsidP="00700320">
            <w:pPr>
              <w:pStyle w:val="IEEEStdsTableData-Center"/>
            </w:pPr>
            <w:r>
              <w:t>B20 B26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CCD97" w14:textId="77777777" w:rsidR="00463A56" w:rsidRDefault="00463A56" w:rsidP="00700320">
            <w:pPr>
              <w:pStyle w:val="IEEEStdsTableData-Center"/>
            </w:pPr>
            <w:r>
              <w:t>B27 B30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7DD38" w14:textId="77777777" w:rsidR="00463A56" w:rsidRDefault="00463A56" w:rsidP="00700320">
            <w:pPr>
              <w:pStyle w:val="IEEEStdsTableData-Center"/>
            </w:pPr>
            <w:r>
              <w:t>B31 B36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E6C21" w14:textId="77777777" w:rsidR="00463A56" w:rsidRPr="0041622D" w:rsidRDefault="00463A56" w:rsidP="00700320">
            <w:pPr>
              <w:pStyle w:val="IEEEStdsTableData-Center"/>
            </w:pPr>
            <w:r>
              <w:t>B37 B42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7366F" w14:textId="77777777" w:rsidR="00463A56" w:rsidRDefault="00463A56" w:rsidP="00700320">
            <w:pPr>
              <w:pStyle w:val="IEEEStdsTableData-Center"/>
            </w:pPr>
            <w:r>
              <w:t>B43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01153" w14:textId="77777777" w:rsidR="00463A56" w:rsidRPr="00463A56" w:rsidRDefault="00463A56" w:rsidP="00700320">
            <w:pPr>
              <w:pStyle w:val="IEEEStdsTableData-Center"/>
            </w:pPr>
            <w:r w:rsidRPr="00463A56">
              <w:t>B44 B45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55E30" w14:textId="77777777" w:rsidR="00463A56" w:rsidRPr="00463A56" w:rsidRDefault="00463A56" w:rsidP="00700320">
            <w:pPr>
              <w:pStyle w:val="IEEEStdsTableData-Center"/>
            </w:pPr>
            <w:r w:rsidRPr="00463A56">
              <w:t>B46 B47</w:t>
            </w:r>
          </w:p>
        </w:tc>
      </w:tr>
      <w:tr w:rsidR="00463A56" w14:paraId="40C8ADE7" w14:textId="77777777" w:rsidTr="0070032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802B51" w14:textId="77777777" w:rsidR="00463A56" w:rsidRDefault="00463A56" w:rsidP="00700320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98D1" w14:textId="77777777" w:rsidR="00463A56" w:rsidRDefault="00463A56" w:rsidP="00700320">
            <w:pPr>
              <w:pStyle w:val="IEEEStdsTableData-Center"/>
            </w:pPr>
            <w:r>
              <w:t>Fragmented TXSS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57453" w14:textId="77777777" w:rsidR="00463A56" w:rsidRDefault="00463A56" w:rsidP="00700320">
            <w:pPr>
              <w:pStyle w:val="IEEEStdsTableData-Center"/>
            </w:pPr>
            <w:r>
              <w:t>TXSS Span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C6B4C" w14:textId="77777777" w:rsidR="00463A56" w:rsidRDefault="00463A56" w:rsidP="00700320">
            <w:pPr>
              <w:pStyle w:val="IEEEStdsTableData-Center"/>
            </w:pPr>
            <w:r>
              <w:t>N BIs A-BFT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CFF9A" w14:textId="77777777" w:rsidR="00463A56" w:rsidRDefault="00463A56" w:rsidP="00700320">
            <w:pPr>
              <w:pStyle w:val="IEEEStdsTableData-Center"/>
            </w:pPr>
            <w:r>
              <w:t>A-BFT 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68B3E" w14:textId="77777777" w:rsidR="00463A56" w:rsidRPr="00031C5A" w:rsidRDefault="00463A56" w:rsidP="00700320">
            <w:pPr>
              <w:pStyle w:val="IEEEStdsTableData-Center"/>
            </w:pPr>
            <w:r>
              <w:t>N A-BFT in 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88A42" w14:textId="77777777" w:rsidR="00463A56" w:rsidRDefault="00463A56" w:rsidP="00700320">
            <w:pPr>
              <w:pStyle w:val="IEEEStdsTableData-Center"/>
            </w:pPr>
            <w:r>
              <w:t>PCP Association Ready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D03C8" w14:textId="77777777" w:rsidR="00463A56" w:rsidRPr="00463A56" w:rsidRDefault="00463A56" w:rsidP="00700320">
            <w:pPr>
              <w:pStyle w:val="IEEEStdsTableData-Center"/>
            </w:pPr>
            <w:r w:rsidRPr="00463A56">
              <w:t>A-BFT Multiplier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36E899" w14:textId="77777777" w:rsidR="00463A56" w:rsidRPr="00463A56" w:rsidRDefault="00463A56" w:rsidP="00700320">
            <w:pPr>
              <w:pStyle w:val="IEEEStdsTableData-Center"/>
            </w:pPr>
            <w:r w:rsidRPr="00463A56">
              <w:t>A-BFT in Secondary Channel</w:t>
            </w:r>
          </w:p>
        </w:tc>
      </w:tr>
      <w:tr w:rsidR="00463A56" w14:paraId="46AEB251" w14:textId="77777777" w:rsidTr="007003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440A5" w14:textId="77777777" w:rsidR="00463A56" w:rsidRDefault="00463A56" w:rsidP="00700320">
            <w:pPr>
              <w:pStyle w:val="IEEEStdsTableData-Center"/>
            </w:pPr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0EFF5" w14:textId="77777777" w:rsidR="00463A56" w:rsidRDefault="00463A56" w:rsidP="00700320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240C6" w14:textId="77777777" w:rsidR="00463A56" w:rsidRDefault="00463A56" w:rsidP="00700320">
            <w:pPr>
              <w:pStyle w:val="IEEEStdsTableData-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BE3AA" w14:textId="77777777" w:rsidR="00463A56" w:rsidRDefault="00463A56" w:rsidP="00700320">
            <w:pPr>
              <w:pStyle w:val="IEEEStdsTableData-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9D4A3" w14:textId="77777777" w:rsidR="00463A56" w:rsidRDefault="00463A56" w:rsidP="00700320">
            <w:pPr>
              <w:pStyle w:val="IEEEStdsTableData-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F4FEE" w14:textId="77777777" w:rsidR="00463A56" w:rsidRPr="00031C5A" w:rsidRDefault="00463A56" w:rsidP="00700320">
            <w:pPr>
              <w:pStyle w:val="IEEEStdsTableData-Center"/>
            </w:pPr>
            <w:r w:rsidRPr="00031C5A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A015B" w14:textId="77777777" w:rsidR="00463A56" w:rsidRPr="00031C5A" w:rsidRDefault="00463A56" w:rsidP="00700320">
            <w:pPr>
              <w:pStyle w:val="IEEEStdsTableData-Center"/>
            </w:pPr>
            <w:r w:rsidRPr="00031C5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2B3C3" w14:textId="77777777" w:rsidR="00463A56" w:rsidRPr="00463A56" w:rsidRDefault="00463A56" w:rsidP="00700320">
            <w:pPr>
              <w:pStyle w:val="IEEEStdsTableData-Center"/>
            </w:pPr>
            <w:r w:rsidRPr="00463A5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27170F" w14:textId="77777777" w:rsidR="00463A56" w:rsidRPr="00463A56" w:rsidRDefault="00463A56" w:rsidP="00700320">
            <w:pPr>
              <w:pStyle w:val="IEEEStdsTableData-Center"/>
            </w:pPr>
            <w:r w:rsidRPr="00463A56">
              <w:t>2</w:t>
            </w:r>
          </w:p>
        </w:tc>
      </w:tr>
    </w:tbl>
    <w:p w14:paraId="7EE87667" w14:textId="77777777" w:rsidR="00D6149A" w:rsidRPr="006B4428" w:rsidRDefault="00D6149A" w:rsidP="00D6149A">
      <w:pPr>
        <w:rPr>
          <w:kern w:val="16"/>
          <w:lang w:val="en-US"/>
        </w:rPr>
      </w:pPr>
    </w:p>
    <w:p w14:paraId="5BC7D1DD" w14:textId="3393FCC3" w:rsidR="00566664" w:rsidRDefault="00566664" w:rsidP="0056666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SG" w:eastAsia="ja-JP"/>
        </w:rPr>
      </w:pPr>
      <w:r>
        <w:rPr>
          <w:rFonts w:ascii="Arial-BoldMT" w:hAnsi="Arial-BoldMT" w:cs="Arial-BoldMT"/>
          <w:b/>
          <w:bCs/>
          <w:sz w:val="20"/>
          <w:lang w:val="en-SG" w:eastAsia="ja-JP"/>
        </w:rPr>
        <w:t xml:space="preserve">Figure 9-61a—Beacon Interval Control field when the Next A-BFT </w:t>
      </w:r>
      <w:r w:rsidR="00463A56">
        <w:rPr>
          <w:rFonts w:ascii="Arial-BoldMT" w:hAnsi="Arial-BoldMT" w:cs="Arial-BoldMT"/>
          <w:b/>
          <w:bCs/>
          <w:sz w:val="20"/>
          <w:lang w:val="en-SG" w:eastAsia="ja-JP"/>
        </w:rPr>
        <w:t>sub</w:t>
      </w:r>
      <w:r>
        <w:rPr>
          <w:rFonts w:ascii="Arial-BoldMT" w:hAnsi="Arial-BoldMT" w:cs="Arial-BoldMT"/>
          <w:b/>
          <w:bCs/>
          <w:sz w:val="20"/>
          <w:lang w:val="en-SG" w:eastAsia="ja-JP"/>
        </w:rPr>
        <w:t xml:space="preserve">field is greater than 0 </w:t>
      </w:r>
    </w:p>
    <w:p w14:paraId="14D2671C" w14:textId="77777777" w:rsidR="00D6149A" w:rsidRPr="006B4428" w:rsidRDefault="00D6149A" w:rsidP="00D6149A"/>
    <w:p w14:paraId="66CA609B" w14:textId="6FEE7F35" w:rsidR="00D6149A" w:rsidRPr="006B4428" w:rsidRDefault="00FA1E85" w:rsidP="00D6149A">
      <w:pPr>
        <w:rPr>
          <w:rFonts w:ascii="Arial,Bold" w:hAnsi="Arial,Bold" w:cs="Arial,Bold"/>
          <w:bCs/>
          <w:i/>
          <w:sz w:val="20"/>
          <w:lang w:val="en-US" w:bidi="he-IL"/>
        </w:rPr>
      </w:pPr>
      <w:r>
        <w:rPr>
          <w:rFonts w:ascii="Arial,Bold" w:hAnsi="Arial,Bold" w:cs="Arial,Bold"/>
          <w:bCs/>
          <w:i/>
          <w:sz w:val="20"/>
          <w:lang w:val="en-US" w:bidi="he-IL"/>
        </w:rPr>
        <w:t>I</w:t>
      </w:r>
      <w:r w:rsidR="005903C6">
        <w:rPr>
          <w:rFonts w:ascii="Arial,Bold" w:hAnsi="Arial,Bold" w:cs="Arial,Bold"/>
          <w:bCs/>
          <w:i/>
          <w:sz w:val="20"/>
          <w:lang w:val="en-US" w:bidi="he-IL"/>
        </w:rPr>
        <w:t xml:space="preserve">nsert a new paragraph </w:t>
      </w:r>
      <w:r>
        <w:rPr>
          <w:rFonts w:ascii="Arial,Bold" w:hAnsi="Arial,Bold" w:cs="Arial,Bold"/>
          <w:bCs/>
          <w:i/>
          <w:sz w:val="20"/>
          <w:lang w:val="en-US" w:bidi="he-IL"/>
        </w:rPr>
        <w:t>after the 13</w:t>
      </w:r>
      <w:r w:rsidRPr="00FA1E85">
        <w:rPr>
          <w:rFonts w:ascii="Arial,Bold" w:hAnsi="Arial,Bold" w:cs="Arial,Bold"/>
          <w:bCs/>
          <w:i/>
          <w:sz w:val="20"/>
          <w:vertAlign w:val="superscript"/>
          <w:lang w:val="en-US" w:bidi="he-IL"/>
        </w:rPr>
        <w:t>th</w:t>
      </w:r>
      <w:r>
        <w:rPr>
          <w:rFonts w:ascii="Arial,Bold" w:hAnsi="Arial,Bold" w:cs="Arial,Bold"/>
          <w:bCs/>
          <w:i/>
          <w:sz w:val="20"/>
          <w:lang w:val="en-US" w:bidi="he-IL"/>
        </w:rPr>
        <w:t xml:space="preserve"> paragraph </w:t>
      </w:r>
      <w:r w:rsidR="005903C6">
        <w:rPr>
          <w:rFonts w:ascii="Arial,Bold" w:hAnsi="Arial,Bold" w:cs="Arial,Bold"/>
          <w:bCs/>
          <w:i/>
          <w:sz w:val="20"/>
          <w:lang w:val="en-US" w:bidi="he-IL"/>
        </w:rPr>
        <w:t>as follows</w:t>
      </w:r>
      <w:r w:rsidR="00D6149A" w:rsidRPr="006B4428">
        <w:rPr>
          <w:rFonts w:ascii="Arial,Bold" w:hAnsi="Arial,Bold" w:cs="Arial,Bold"/>
          <w:bCs/>
          <w:i/>
          <w:sz w:val="20"/>
          <w:lang w:val="en-US" w:bidi="he-IL"/>
        </w:rPr>
        <w:t>:</w:t>
      </w:r>
    </w:p>
    <w:p w14:paraId="7CE9066D" w14:textId="77777777" w:rsidR="00D6149A" w:rsidRPr="006B4428" w:rsidRDefault="00D6149A" w:rsidP="00D6149A"/>
    <w:p w14:paraId="748A5FDB" w14:textId="2C07C2FF" w:rsidR="00256664" w:rsidRPr="00256664" w:rsidRDefault="00E33362" w:rsidP="00256664">
      <w:pPr>
        <w:jc w:val="both"/>
        <w:rPr>
          <w:u w:val="single"/>
        </w:rPr>
      </w:pPr>
      <w:r>
        <w:rPr>
          <w:u w:val="single"/>
        </w:rPr>
        <w:t xml:space="preserve">The </w:t>
      </w:r>
      <w:r w:rsidR="00256664" w:rsidRPr="00256664">
        <w:rPr>
          <w:u w:val="single"/>
        </w:rPr>
        <w:t xml:space="preserve">Unsolicited RSS Enabled subfield is </w:t>
      </w:r>
      <w:r>
        <w:rPr>
          <w:u w:val="single"/>
        </w:rPr>
        <w:t xml:space="preserve">present when the Next A-BFT subfield is greater than 0 and is </w:t>
      </w:r>
      <w:r w:rsidR="00256664" w:rsidRPr="00256664">
        <w:rPr>
          <w:u w:val="single"/>
        </w:rPr>
        <w:t xml:space="preserve">set to 1 to indicate the </w:t>
      </w:r>
      <w:r w:rsidR="008E6D26">
        <w:rPr>
          <w:u w:val="single"/>
        </w:rPr>
        <w:t>STA is capable of receiving an unsolicited RSS in response to its BTI</w:t>
      </w:r>
      <w:r w:rsidR="00256664" w:rsidRPr="00256664">
        <w:rPr>
          <w:u w:val="single"/>
        </w:rPr>
        <w:t xml:space="preserve">. This </w:t>
      </w:r>
      <w:r w:rsidR="008E6D26">
        <w:rPr>
          <w:u w:val="single"/>
        </w:rPr>
        <w:t>sub</w:t>
      </w:r>
      <w:r w:rsidR="00256664" w:rsidRPr="00256664">
        <w:rPr>
          <w:u w:val="single"/>
        </w:rPr>
        <w:t xml:space="preserve">field is set to 0 </w:t>
      </w:r>
      <w:r w:rsidR="008E6D26">
        <w:rPr>
          <w:u w:val="single"/>
        </w:rPr>
        <w:t>otherwise</w:t>
      </w:r>
      <w:r w:rsidR="00256664" w:rsidRPr="00256664">
        <w:rPr>
          <w:u w:val="single"/>
        </w:rPr>
        <w:t>.</w:t>
      </w:r>
    </w:p>
    <w:p w14:paraId="0E8B7719" w14:textId="77777777" w:rsidR="005903C6" w:rsidRPr="006B4428" w:rsidRDefault="005903C6" w:rsidP="005903C6">
      <w:pPr>
        <w:jc w:val="both"/>
      </w:pPr>
    </w:p>
    <w:p w14:paraId="6D8AEBC0" w14:textId="64A04B97" w:rsidR="006B4428" w:rsidRDefault="006B4428" w:rsidP="00032410">
      <w:pPr>
        <w:rPr>
          <w:rFonts w:ascii="Arial" w:hAnsi="Arial" w:cs="Arial"/>
          <w:b/>
        </w:rPr>
      </w:pPr>
      <w:r w:rsidRPr="00032410">
        <w:rPr>
          <w:rFonts w:ascii="Arial" w:hAnsi="Arial" w:cs="Arial"/>
          <w:b/>
        </w:rPr>
        <w:t>10. MAC sublayer functional description</w:t>
      </w:r>
    </w:p>
    <w:p w14:paraId="7480C648" w14:textId="77777777" w:rsidR="00032410" w:rsidRPr="00032410" w:rsidRDefault="00032410" w:rsidP="00032410">
      <w:pPr>
        <w:rPr>
          <w:rFonts w:ascii="Arial" w:hAnsi="Arial" w:cs="Arial"/>
          <w:b/>
        </w:rPr>
      </w:pPr>
    </w:p>
    <w:p w14:paraId="52584C13" w14:textId="1C3FCD25" w:rsidR="00F96791" w:rsidRDefault="006B4428" w:rsidP="00032410">
      <w:pPr>
        <w:rPr>
          <w:rFonts w:ascii="Arial" w:hAnsi="Arial" w:cs="Arial"/>
          <w:b/>
        </w:rPr>
      </w:pPr>
      <w:r w:rsidRPr="00032410">
        <w:rPr>
          <w:rFonts w:ascii="Arial" w:hAnsi="Arial" w:cs="Arial"/>
          <w:b/>
        </w:rPr>
        <w:t>10.38 DMG beamforming</w:t>
      </w:r>
    </w:p>
    <w:p w14:paraId="56ADD54A" w14:textId="77777777" w:rsidR="00032410" w:rsidRPr="00032410" w:rsidRDefault="00032410" w:rsidP="00032410">
      <w:pPr>
        <w:rPr>
          <w:rFonts w:ascii="Arial" w:hAnsi="Arial" w:cs="Arial"/>
          <w:b/>
        </w:rPr>
      </w:pPr>
    </w:p>
    <w:p w14:paraId="4FA4819A" w14:textId="718F46CA" w:rsidR="00F96791" w:rsidRPr="00032410" w:rsidRDefault="00F96791" w:rsidP="00032410">
      <w:pPr>
        <w:rPr>
          <w:rFonts w:ascii="Arial" w:hAnsi="Arial" w:cs="Arial"/>
          <w:b/>
          <w:sz w:val="20"/>
        </w:rPr>
      </w:pPr>
      <w:r w:rsidRPr="00032410">
        <w:rPr>
          <w:rFonts w:ascii="Arial" w:hAnsi="Arial" w:cs="Arial"/>
          <w:b/>
          <w:sz w:val="20"/>
        </w:rPr>
        <w:t xml:space="preserve">10.38.2 </w:t>
      </w:r>
      <w:bookmarkStart w:id="2" w:name="_Ref473742468"/>
      <w:r w:rsidRPr="00032410">
        <w:rPr>
          <w:rFonts w:ascii="Arial" w:hAnsi="Arial" w:cs="Arial"/>
          <w:b/>
          <w:sz w:val="20"/>
        </w:rPr>
        <w:t>Sector-level sweep (SLS) phase</w:t>
      </w:r>
      <w:bookmarkEnd w:id="2"/>
    </w:p>
    <w:p w14:paraId="209B98D7" w14:textId="77777777" w:rsidR="00032410" w:rsidRPr="00032410" w:rsidRDefault="00032410" w:rsidP="00032410">
      <w:pPr>
        <w:rPr>
          <w:rFonts w:ascii="Arial" w:hAnsi="Arial" w:cs="Arial"/>
          <w:b/>
          <w:sz w:val="20"/>
        </w:rPr>
      </w:pPr>
    </w:p>
    <w:p w14:paraId="750CC0D1" w14:textId="5F1C483C" w:rsidR="00F96791" w:rsidRPr="00032410" w:rsidRDefault="00F96791" w:rsidP="00032410">
      <w:pPr>
        <w:rPr>
          <w:rFonts w:ascii="Arial" w:hAnsi="Arial" w:cs="Arial"/>
          <w:b/>
          <w:sz w:val="20"/>
        </w:rPr>
      </w:pPr>
      <w:r w:rsidRPr="00032410">
        <w:rPr>
          <w:rFonts w:ascii="Arial" w:hAnsi="Arial" w:cs="Arial"/>
          <w:b/>
          <w:sz w:val="20"/>
        </w:rPr>
        <w:t>10.38.2.2 Initiator sector sweep (ISS)</w:t>
      </w:r>
    </w:p>
    <w:p w14:paraId="5B0BFDC3" w14:textId="77777777" w:rsidR="00032410" w:rsidRPr="00032410" w:rsidRDefault="00032410" w:rsidP="00032410">
      <w:pPr>
        <w:rPr>
          <w:rFonts w:ascii="Arial" w:hAnsi="Arial" w:cs="Arial"/>
          <w:b/>
          <w:sz w:val="20"/>
        </w:rPr>
      </w:pPr>
    </w:p>
    <w:p w14:paraId="6C193264" w14:textId="094F98E4" w:rsidR="00F96791" w:rsidRDefault="00F96791" w:rsidP="00032410">
      <w:pPr>
        <w:rPr>
          <w:rFonts w:ascii="Arial" w:hAnsi="Arial" w:cs="Arial"/>
          <w:b/>
          <w:sz w:val="20"/>
        </w:rPr>
      </w:pPr>
      <w:r w:rsidRPr="00032410">
        <w:rPr>
          <w:rFonts w:ascii="Arial" w:hAnsi="Arial" w:cs="Arial"/>
          <w:b/>
          <w:sz w:val="20"/>
        </w:rPr>
        <w:t>10.38.2.2.2 Initiator TXSS</w:t>
      </w:r>
    </w:p>
    <w:p w14:paraId="4DA91F4B" w14:textId="77777777" w:rsidR="00032410" w:rsidRPr="00032410" w:rsidRDefault="00032410" w:rsidP="00032410">
      <w:pPr>
        <w:rPr>
          <w:rFonts w:ascii="Arial" w:hAnsi="Arial" w:cs="Arial"/>
          <w:b/>
          <w:sz w:val="20"/>
        </w:rPr>
      </w:pPr>
    </w:p>
    <w:p w14:paraId="2E40EADE" w14:textId="68CD3138" w:rsidR="00F96791" w:rsidRDefault="00B524A7" w:rsidP="00F96791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  <w:r>
        <w:rPr>
          <w:rFonts w:ascii="Arial,Bold" w:hAnsi="Arial,Bold" w:cs="Arial,Bold"/>
          <w:bCs/>
          <w:i/>
          <w:sz w:val="20"/>
          <w:lang w:val="en-US" w:bidi="he-IL"/>
        </w:rPr>
        <w:t>Modify</w:t>
      </w:r>
      <w:r w:rsidR="00F96791">
        <w:rPr>
          <w:rFonts w:ascii="Arial,Bold" w:hAnsi="Arial,Bold" w:cs="Arial,Bold"/>
          <w:bCs/>
          <w:i/>
          <w:sz w:val="20"/>
          <w:lang w:val="en-US" w:bidi="he-IL"/>
        </w:rPr>
        <w:t xml:space="preserve"> the following paragraph as follows</w:t>
      </w:r>
      <w:r w:rsidR="00F96791" w:rsidRPr="00E56AF4">
        <w:rPr>
          <w:rFonts w:ascii="Arial,Bold" w:hAnsi="Arial,Bold" w:cs="Arial,Bold"/>
          <w:bCs/>
          <w:i/>
          <w:sz w:val="20"/>
          <w:lang w:val="en-US" w:bidi="he-IL"/>
        </w:rPr>
        <w:t>:</w:t>
      </w:r>
    </w:p>
    <w:p w14:paraId="7DAFF1A3" w14:textId="7410AC55" w:rsidR="00F96791" w:rsidRDefault="00F96791" w:rsidP="00F96791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</w:p>
    <w:p w14:paraId="27528552" w14:textId="74E061B6" w:rsidR="00B524A7" w:rsidRDefault="00B524A7" w:rsidP="00032410">
      <w:pPr>
        <w:jc w:val="both"/>
        <w:rPr>
          <w:lang w:val="en-US" w:eastAsia="ja-JP"/>
        </w:rPr>
      </w:pPr>
      <w:r w:rsidRPr="00032410">
        <w:rPr>
          <w:u w:val="single"/>
          <w:lang w:val="en-US" w:eastAsia="ja-JP"/>
        </w:rPr>
        <w:t>During a CBAP, an EDMG STA may obtain a TXOP with</w:t>
      </w:r>
      <w:r w:rsidR="00F91BA3">
        <w:rPr>
          <w:u w:val="single"/>
          <w:lang w:val="en-US" w:eastAsia="ja-JP"/>
        </w:rPr>
        <w:t xml:space="preserve"> an unsolicited RSS</w:t>
      </w:r>
      <w:r w:rsidRPr="00032410">
        <w:rPr>
          <w:u w:val="single"/>
          <w:lang w:val="en-US" w:eastAsia="ja-JP"/>
        </w:rPr>
        <w:t xml:space="preserve"> or use an existent TXOP for an unsolicited RSS</w:t>
      </w:r>
      <w:r w:rsidR="00F91BA3">
        <w:rPr>
          <w:u w:val="single"/>
          <w:lang w:val="en-US" w:eastAsia="ja-JP"/>
        </w:rPr>
        <w:t xml:space="preserve">. </w:t>
      </w:r>
      <w:r w:rsidRPr="00B524A7">
        <w:rPr>
          <w:lang w:val="en-US" w:eastAsia="ja-JP"/>
        </w:rPr>
        <w:t xml:space="preserve">If a TXOP is obtained through the transmission of a Grant frame and the TXOP holder intends to start the TXOP with an unsolicited RSS, the TXOP holder shall set the Unsolicited RSS subfield in the Grant frame to 1 to indicate the SLS begins with an unsolicited RSS and is performed without an ISS. </w:t>
      </w:r>
    </w:p>
    <w:p w14:paraId="5F118052" w14:textId="77777777" w:rsidR="009A6474" w:rsidRDefault="009A6474" w:rsidP="00032410">
      <w:pPr>
        <w:jc w:val="both"/>
        <w:rPr>
          <w:lang w:val="en-US" w:eastAsia="ja-JP"/>
        </w:rPr>
      </w:pPr>
    </w:p>
    <w:p w14:paraId="1084351E" w14:textId="06059012" w:rsidR="006B4428" w:rsidRDefault="006B4428" w:rsidP="00032410">
      <w:pPr>
        <w:rPr>
          <w:rFonts w:ascii="Arial" w:hAnsi="Arial" w:cs="Arial"/>
          <w:b/>
          <w:sz w:val="20"/>
        </w:rPr>
      </w:pPr>
      <w:r w:rsidRPr="00032410">
        <w:rPr>
          <w:rFonts w:ascii="Arial" w:hAnsi="Arial" w:cs="Arial"/>
          <w:b/>
          <w:sz w:val="20"/>
        </w:rPr>
        <w:t>10.38.</w:t>
      </w:r>
      <w:r w:rsidR="00D52058" w:rsidRPr="00032410">
        <w:rPr>
          <w:rFonts w:ascii="Arial" w:hAnsi="Arial" w:cs="Arial"/>
          <w:b/>
          <w:sz w:val="20"/>
        </w:rPr>
        <w:t>6</w:t>
      </w:r>
      <w:r w:rsidRPr="00032410">
        <w:rPr>
          <w:rFonts w:ascii="Arial" w:hAnsi="Arial" w:cs="Arial"/>
          <w:b/>
          <w:sz w:val="20"/>
        </w:rPr>
        <w:t xml:space="preserve"> </w:t>
      </w:r>
      <w:r w:rsidR="00D52058" w:rsidRPr="00032410">
        <w:rPr>
          <w:rFonts w:ascii="Arial" w:hAnsi="Arial" w:cs="Arial"/>
          <w:b/>
          <w:sz w:val="20"/>
        </w:rPr>
        <w:t>Beamforming in DTI</w:t>
      </w:r>
    </w:p>
    <w:p w14:paraId="1E74C381" w14:textId="77777777" w:rsidR="00032410" w:rsidRPr="00032410" w:rsidRDefault="00032410" w:rsidP="00032410">
      <w:pPr>
        <w:rPr>
          <w:rFonts w:ascii="Arial" w:hAnsi="Arial" w:cs="Arial"/>
          <w:b/>
          <w:sz w:val="20"/>
        </w:rPr>
      </w:pPr>
    </w:p>
    <w:p w14:paraId="0B948678" w14:textId="012E81D0" w:rsidR="00D52058" w:rsidRDefault="00D52058" w:rsidP="00032410">
      <w:pPr>
        <w:rPr>
          <w:rFonts w:ascii="Arial" w:hAnsi="Arial" w:cs="Arial"/>
          <w:b/>
          <w:sz w:val="20"/>
        </w:rPr>
      </w:pPr>
      <w:r w:rsidRPr="00032410">
        <w:rPr>
          <w:rFonts w:ascii="Arial" w:hAnsi="Arial" w:cs="Arial"/>
          <w:b/>
          <w:sz w:val="20"/>
        </w:rPr>
        <w:t>10.38.6.2 SLS phase execution</w:t>
      </w:r>
    </w:p>
    <w:p w14:paraId="7036A662" w14:textId="77777777" w:rsidR="00032410" w:rsidRPr="00032410" w:rsidRDefault="00032410" w:rsidP="00032410">
      <w:pPr>
        <w:rPr>
          <w:rFonts w:ascii="Arial" w:hAnsi="Arial" w:cs="Arial"/>
          <w:b/>
          <w:sz w:val="20"/>
        </w:rPr>
      </w:pPr>
    </w:p>
    <w:p w14:paraId="785DA4E3" w14:textId="1F158BA7" w:rsidR="00FB0B8E" w:rsidRPr="00E56AF4" w:rsidRDefault="00C92E42" w:rsidP="009A3CD9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  <w:r>
        <w:rPr>
          <w:rFonts w:ascii="Arial,Bold" w:hAnsi="Arial,Bold" w:cs="Arial,Bold"/>
          <w:bCs/>
          <w:i/>
          <w:sz w:val="20"/>
          <w:lang w:val="en-US" w:bidi="he-IL"/>
        </w:rPr>
        <w:t>M</w:t>
      </w:r>
      <w:r w:rsidR="00E56AF4">
        <w:rPr>
          <w:rFonts w:ascii="Arial,Bold" w:hAnsi="Arial,Bold" w:cs="Arial,Bold"/>
          <w:bCs/>
          <w:i/>
          <w:sz w:val="20"/>
          <w:lang w:val="en-US" w:bidi="he-IL"/>
        </w:rPr>
        <w:t xml:space="preserve">odify </w:t>
      </w:r>
      <w:r w:rsidR="009A3CD9">
        <w:rPr>
          <w:rFonts w:ascii="Arial,Bold" w:hAnsi="Arial,Bold" w:cs="Arial,Bold"/>
          <w:bCs/>
          <w:i/>
          <w:sz w:val="20"/>
          <w:lang w:val="en-US" w:bidi="he-IL"/>
        </w:rPr>
        <w:t>the following paragraph</w:t>
      </w:r>
      <w:r w:rsidR="00C543EC">
        <w:rPr>
          <w:rFonts w:ascii="Arial,Bold" w:hAnsi="Arial,Bold" w:cs="Arial,Bold"/>
          <w:bCs/>
          <w:i/>
          <w:sz w:val="20"/>
          <w:lang w:val="en-US" w:bidi="he-IL"/>
        </w:rPr>
        <w:t>s</w:t>
      </w:r>
      <w:r w:rsidR="009A3CD9">
        <w:rPr>
          <w:rFonts w:ascii="Arial,Bold" w:hAnsi="Arial,Bold" w:cs="Arial,Bold"/>
          <w:bCs/>
          <w:i/>
          <w:sz w:val="20"/>
          <w:lang w:val="en-US" w:bidi="he-IL"/>
        </w:rPr>
        <w:t xml:space="preserve"> as </w:t>
      </w:r>
      <w:r w:rsidR="00E56AF4">
        <w:rPr>
          <w:rFonts w:ascii="Arial,Bold" w:hAnsi="Arial,Bold" w:cs="Arial,Bold"/>
          <w:bCs/>
          <w:i/>
          <w:sz w:val="20"/>
          <w:lang w:val="en-US" w:bidi="he-IL"/>
        </w:rPr>
        <w:t>follows</w:t>
      </w:r>
      <w:r w:rsidR="009A3CD9" w:rsidRPr="00E56AF4">
        <w:rPr>
          <w:rFonts w:ascii="Arial,Bold" w:hAnsi="Arial,Bold" w:cs="Arial,Bold"/>
          <w:bCs/>
          <w:i/>
          <w:sz w:val="20"/>
          <w:lang w:val="en-US" w:bidi="he-IL"/>
        </w:rPr>
        <w:t>:</w:t>
      </w:r>
    </w:p>
    <w:p w14:paraId="343280BF" w14:textId="77777777" w:rsidR="00B524A7" w:rsidRDefault="00B524A7" w:rsidP="00C543EC">
      <w:pPr>
        <w:jc w:val="both"/>
        <w:rPr>
          <w:rFonts w:eastAsia="TimesNewRoman"/>
          <w:szCs w:val="22"/>
          <w:lang w:val="en-US" w:bidi="he-IL"/>
        </w:rPr>
      </w:pPr>
    </w:p>
    <w:p w14:paraId="58EA5B79" w14:textId="3C4167A9" w:rsidR="006856DE" w:rsidRPr="00E56AF4" w:rsidRDefault="00AD773B" w:rsidP="00C543EC">
      <w:pPr>
        <w:jc w:val="both"/>
        <w:rPr>
          <w:rFonts w:eastAsia="TimesNewRoman"/>
          <w:szCs w:val="22"/>
          <w:lang w:val="en-US" w:bidi="he-IL"/>
        </w:rPr>
      </w:pPr>
      <w:r w:rsidRPr="00E56AF4">
        <w:rPr>
          <w:rFonts w:eastAsia="TimesNewRoman"/>
          <w:szCs w:val="22"/>
          <w:lang w:val="en-US" w:bidi="he-IL"/>
        </w:rPr>
        <w:t xml:space="preserve">NOTE—If a TXOP holder or source STA of an SP transmits SSW frames with the Direction field set to 1 at the beginning of a TXOP or SP, respectively, the STA is considered as the responder for an ISS or RSS that occurred in an earlier </w:t>
      </w:r>
      <w:r w:rsidRPr="00E56AF4">
        <w:rPr>
          <w:rFonts w:eastAsia="TimesNewRoman"/>
          <w:szCs w:val="22"/>
          <w:u w:val="single"/>
          <w:lang w:val="en-US" w:bidi="he-IL"/>
        </w:rPr>
        <w:t xml:space="preserve">BTI, </w:t>
      </w:r>
      <w:r w:rsidRPr="00E56AF4">
        <w:rPr>
          <w:rFonts w:eastAsia="TimesNewRoman"/>
          <w:szCs w:val="22"/>
          <w:lang w:val="en-US" w:bidi="he-IL"/>
        </w:rPr>
        <w:t xml:space="preserve">TXOP or SP. The EDMG STA performing the ISS or RSS in the earlier </w:t>
      </w:r>
      <w:r w:rsidR="0025280D" w:rsidRPr="00E56AF4">
        <w:rPr>
          <w:rFonts w:eastAsia="TimesNewRoman"/>
          <w:szCs w:val="22"/>
          <w:u w:val="single"/>
          <w:lang w:val="en-US" w:bidi="he-IL"/>
        </w:rPr>
        <w:t xml:space="preserve">BTI, </w:t>
      </w:r>
      <w:r w:rsidRPr="00E56AF4">
        <w:rPr>
          <w:rFonts w:eastAsia="TimesNewRoman"/>
          <w:szCs w:val="22"/>
          <w:lang w:val="en-US" w:bidi="he-IL"/>
        </w:rPr>
        <w:t>TXOP or SP is considered as the initiator for the subsequent unsolicited RSS.</w:t>
      </w:r>
    </w:p>
    <w:p w14:paraId="4E3C89B9" w14:textId="5930F5CA" w:rsidR="006856DE" w:rsidRDefault="006856DE" w:rsidP="00AD773B">
      <w:pPr>
        <w:rPr>
          <w:rFonts w:eastAsia="TimesNewRoman"/>
          <w:szCs w:val="22"/>
          <w:lang w:val="en-US" w:bidi="he-IL"/>
        </w:rPr>
      </w:pPr>
    </w:p>
    <w:p w14:paraId="46523DBE" w14:textId="34D79BE8" w:rsidR="00C543EC" w:rsidRDefault="00C543EC" w:rsidP="00C543EC">
      <w:pPr>
        <w:jc w:val="both"/>
        <w:rPr>
          <w:rFonts w:eastAsia="TimesNewRoman"/>
          <w:szCs w:val="22"/>
          <w:lang w:val="en-US" w:bidi="he-IL"/>
        </w:rPr>
      </w:pPr>
      <w:r w:rsidRPr="00C543EC">
        <w:rPr>
          <w:rFonts w:eastAsia="TimesNewRoman"/>
          <w:szCs w:val="22"/>
          <w:lang w:val="en-US" w:bidi="he-IL"/>
        </w:rPr>
        <w:t xml:space="preserve">If an EDMG STA receives a </w:t>
      </w:r>
      <w:r w:rsidRPr="00C543EC">
        <w:rPr>
          <w:rFonts w:eastAsia="TimesNewRoman"/>
          <w:szCs w:val="22"/>
          <w:u w:val="single"/>
          <w:lang w:val="en-US" w:bidi="he-IL"/>
        </w:rPr>
        <w:t>DMG Beacon or</w:t>
      </w:r>
      <w:r>
        <w:rPr>
          <w:rFonts w:eastAsia="TimesNewRoman"/>
          <w:szCs w:val="22"/>
          <w:lang w:val="en-US" w:bidi="he-IL"/>
        </w:rPr>
        <w:t xml:space="preserve"> </w:t>
      </w:r>
      <w:r w:rsidRPr="00C543EC">
        <w:rPr>
          <w:rFonts w:eastAsia="TimesNewRoman"/>
          <w:szCs w:val="22"/>
          <w:lang w:val="en-US" w:bidi="he-IL"/>
        </w:rPr>
        <w:t xml:space="preserve">SSW frame </w:t>
      </w:r>
      <w:r w:rsidR="00205FE9" w:rsidRPr="00205FE9">
        <w:rPr>
          <w:rFonts w:eastAsia="TimesNewRoman"/>
          <w:szCs w:val="22"/>
          <w:u w:val="single"/>
          <w:lang w:val="en-US" w:bidi="he-IL"/>
        </w:rPr>
        <w:t xml:space="preserve">from an EDMG STA </w:t>
      </w:r>
      <w:r w:rsidRPr="00C543EC">
        <w:rPr>
          <w:rFonts w:eastAsia="TimesNewRoman"/>
          <w:szCs w:val="22"/>
          <w:lang w:val="en-US" w:bidi="he-IL"/>
        </w:rPr>
        <w:t xml:space="preserve">with the Unsolicited RSS Enabled subfield equal to 1, the STA may process the received </w:t>
      </w:r>
      <w:r w:rsidRPr="00E56AF4">
        <w:rPr>
          <w:u w:val="single"/>
        </w:rPr>
        <w:t>DMG Beacon</w:t>
      </w:r>
      <w:r>
        <w:rPr>
          <w:u w:val="single"/>
        </w:rPr>
        <w:t xml:space="preserve"> </w:t>
      </w:r>
      <w:r w:rsidRPr="00C543EC">
        <w:rPr>
          <w:u w:val="single"/>
        </w:rPr>
        <w:t xml:space="preserve">or </w:t>
      </w:r>
      <w:r w:rsidRPr="00C543EC">
        <w:rPr>
          <w:rFonts w:eastAsia="TimesNewRoman"/>
          <w:szCs w:val="22"/>
          <w:lang w:val="en-US" w:bidi="he-IL"/>
        </w:rPr>
        <w:t xml:space="preserve">SSW frames as a responder even if </w:t>
      </w:r>
      <w:r w:rsidRPr="00C543EC">
        <w:rPr>
          <w:rFonts w:eastAsia="TimesNewRoman"/>
          <w:szCs w:val="22"/>
          <w:u w:val="single"/>
          <w:lang w:val="en-US" w:bidi="he-IL"/>
        </w:rPr>
        <w:t>the A-BFT is not present for the case of a received DMG Beacon frame</w:t>
      </w:r>
      <w:r>
        <w:rPr>
          <w:rFonts w:eastAsia="TimesNewRoman"/>
          <w:szCs w:val="22"/>
          <w:u w:val="single"/>
          <w:lang w:val="en-US" w:bidi="he-IL"/>
        </w:rPr>
        <w:t>,</w:t>
      </w:r>
      <w:r w:rsidRPr="00C543EC">
        <w:rPr>
          <w:rFonts w:eastAsia="TimesNewRoman"/>
          <w:szCs w:val="22"/>
          <w:u w:val="single"/>
          <w:lang w:val="en-US" w:bidi="he-IL"/>
        </w:rPr>
        <w:t xml:space="preserve"> or </w:t>
      </w:r>
      <w:r>
        <w:rPr>
          <w:rFonts w:eastAsia="TimesNewRoman"/>
          <w:szCs w:val="22"/>
          <w:u w:val="single"/>
          <w:lang w:val="en-US" w:bidi="he-IL"/>
        </w:rPr>
        <w:t xml:space="preserve">even if </w:t>
      </w:r>
      <w:r w:rsidRPr="00C543EC">
        <w:rPr>
          <w:rFonts w:eastAsia="TimesNewRoman"/>
          <w:szCs w:val="22"/>
          <w:lang w:val="en-US" w:bidi="he-IL"/>
        </w:rPr>
        <w:t xml:space="preserve">the STA’s MAC address does not match the RA field </w:t>
      </w:r>
      <w:r w:rsidRPr="00C543EC">
        <w:rPr>
          <w:rFonts w:eastAsia="TimesNewRoman"/>
          <w:strike/>
          <w:szCs w:val="22"/>
          <w:lang w:val="en-US" w:bidi="he-IL"/>
        </w:rPr>
        <w:t>of the</w:t>
      </w:r>
      <w:r w:rsidRPr="00C543EC">
        <w:rPr>
          <w:rFonts w:eastAsia="TimesNewRoman"/>
          <w:szCs w:val="22"/>
          <w:u w:val="single"/>
          <w:lang w:val="en-US" w:bidi="he-IL"/>
        </w:rPr>
        <w:t xml:space="preserve"> for the case of a</w:t>
      </w:r>
      <w:r>
        <w:rPr>
          <w:rFonts w:eastAsia="TimesNewRoman"/>
          <w:szCs w:val="22"/>
          <w:lang w:val="en-US" w:bidi="he-IL"/>
        </w:rPr>
        <w:t xml:space="preserve"> </w:t>
      </w:r>
      <w:r w:rsidRPr="00C543EC">
        <w:rPr>
          <w:rFonts w:eastAsia="TimesNewRoman"/>
          <w:szCs w:val="22"/>
          <w:lang w:val="en-US" w:bidi="he-IL"/>
        </w:rPr>
        <w:t>received SSW frame. The STA may then perform an RSS with the initiator in response to the received SSW frames in a subsequent TXOP or SP. This is known as an unsolicited RSS.</w:t>
      </w:r>
    </w:p>
    <w:p w14:paraId="10DDD2C6" w14:textId="77777777" w:rsidR="00FB0B8E" w:rsidRDefault="00FB0B8E" w:rsidP="00C543EC">
      <w:pPr>
        <w:jc w:val="both"/>
        <w:rPr>
          <w:rFonts w:eastAsia="TimesNewRoman"/>
          <w:szCs w:val="22"/>
          <w:lang w:val="en-US" w:bidi="he-IL"/>
        </w:rPr>
      </w:pPr>
    </w:p>
    <w:p w14:paraId="28EBB0AD" w14:textId="015F31F8" w:rsidR="00FB0B8E" w:rsidRPr="00032410" w:rsidRDefault="00FB0B8E" w:rsidP="00C543EC">
      <w:pPr>
        <w:jc w:val="both"/>
        <w:rPr>
          <w:rFonts w:eastAsia="TimesNewRoman"/>
          <w:szCs w:val="22"/>
          <w:u w:val="single"/>
          <w:lang w:val="en-US" w:bidi="he-IL"/>
        </w:rPr>
      </w:pPr>
      <w:r w:rsidRPr="00032410">
        <w:rPr>
          <w:rFonts w:eastAsia="TimesNewRoman"/>
          <w:szCs w:val="22"/>
          <w:u w:val="single"/>
          <w:lang w:val="en-US" w:bidi="he-IL"/>
        </w:rPr>
        <w:t>An EDMG STA shall not perform an unsolicited RSS in response to a DMG Beacon or SSW frame with the Unsolicited RSS Enabled subfield set to 0.</w:t>
      </w:r>
    </w:p>
    <w:p w14:paraId="6998043E" w14:textId="77777777" w:rsidR="00C543EC" w:rsidRPr="00E56AF4" w:rsidRDefault="00C543EC" w:rsidP="00AD773B">
      <w:pPr>
        <w:rPr>
          <w:rFonts w:eastAsia="TimesNewRoman"/>
          <w:szCs w:val="22"/>
          <w:lang w:val="en-US" w:bidi="he-IL"/>
        </w:rPr>
      </w:pPr>
    </w:p>
    <w:p w14:paraId="545F3F93" w14:textId="1FCFF8A6" w:rsidR="006856DE" w:rsidRPr="00E56AF4" w:rsidRDefault="006856DE" w:rsidP="006856DE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  <w:r w:rsidRPr="00E56AF4">
        <w:rPr>
          <w:rFonts w:ascii="Arial,Bold" w:hAnsi="Arial,Bold" w:cs="Arial,Bold"/>
          <w:bCs/>
          <w:i/>
          <w:sz w:val="20"/>
          <w:lang w:val="en-US" w:bidi="he-IL"/>
        </w:rPr>
        <w:t xml:space="preserve">Modify the following paragraph as </w:t>
      </w:r>
      <w:r w:rsidR="00C543EC">
        <w:rPr>
          <w:rFonts w:ascii="Arial,Bold" w:hAnsi="Arial,Bold" w:cs="Arial,Bold"/>
          <w:bCs/>
          <w:i/>
          <w:sz w:val="20"/>
          <w:lang w:val="en-US" w:bidi="he-IL"/>
        </w:rPr>
        <w:t>follows</w:t>
      </w:r>
      <w:r w:rsidRPr="00E56AF4">
        <w:rPr>
          <w:rFonts w:ascii="Arial,Bold" w:hAnsi="Arial,Bold" w:cs="Arial,Bold"/>
          <w:bCs/>
          <w:i/>
          <w:sz w:val="20"/>
          <w:lang w:val="en-US" w:bidi="he-IL"/>
        </w:rPr>
        <w:t>:</w:t>
      </w:r>
    </w:p>
    <w:p w14:paraId="220C0184" w14:textId="77777777" w:rsidR="006856DE" w:rsidRPr="00E56AF4" w:rsidRDefault="006856DE" w:rsidP="00AD773B">
      <w:pPr>
        <w:rPr>
          <w:rFonts w:eastAsia="TimesNewRoman"/>
          <w:szCs w:val="22"/>
          <w:lang w:val="en-US" w:bidi="he-IL"/>
        </w:rPr>
      </w:pPr>
    </w:p>
    <w:p w14:paraId="65C5F813" w14:textId="77777777" w:rsidR="006856DE" w:rsidRPr="00E56AF4" w:rsidRDefault="006856DE" w:rsidP="00C543EC">
      <w:pPr>
        <w:jc w:val="both"/>
      </w:pPr>
      <w:r w:rsidRPr="00E56AF4">
        <w:t>An unsolicited RSS takes place when all of the following conditions are met:</w:t>
      </w:r>
    </w:p>
    <w:p w14:paraId="76CAD394" w14:textId="4A840F1E" w:rsidR="006856DE" w:rsidRPr="00E56AF4" w:rsidRDefault="006856DE" w:rsidP="00C543EC">
      <w:pPr>
        <w:jc w:val="both"/>
      </w:pPr>
      <w:r w:rsidRPr="00E56AF4">
        <w:t>a)</w:t>
      </w:r>
      <w:r w:rsidRPr="00E56AF4">
        <w:tab/>
        <w:t xml:space="preserve">An EDMG STA transmits </w:t>
      </w:r>
      <w:proofErr w:type="gramStart"/>
      <w:r w:rsidRPr="00E56AF4">
        <w:t>a</w:t>
      </w:r>
      <w:r w:rsidRPr="00C543EC">
        <w:rPr>
          <w:strike/>
        </w:rPr>
        <w:t>n</w:t>
      </w:r>
      <w:proofErr w:type="gramEnd"/>
      <w:r w:rsidRPr="00E56AF4">
        <w:t xml:space="preserve"> </w:t>
      </w:r>
      <w:r w:rsidR="00C543EC" w:rsidRPr="00E56AF4">
        <w:rPr>
          <w:u w:val="single"/>
        </w:rPr>
        <w:t>DMG Beacon</w:t>
      </w:r>
      <w:r w:rsidR="00C543EC">
        <w:rPr>
          <w:u w:val="single"/>
        </w:rPr>
        <w:t xml:space="preserve"> </w:t>
      </w:r>
      <w:r w:rsidR="00C543EC" w:rsidRPr="00C543EC">
        <w:rPr>
          <w:u w:val="single"/>
        </w:rPr>
        <w:t xml:space="preserve">or </w:t>
      </w:r>
      <w:r w:rsidRPr="00E56AF4">
        <w:t>SSW</w:t>
      </w:r>
      <w:r w:rsidR="00C543EC">
        <w:t xml:space="preserve"> </w:t>
      </w:r>
      <w:r w:rsidRPr="00E56AF4">
        <w:t>frame with the Unsolicited RSS Enabled</w:t>
      </w:r>
      <w:r w:rsidR="00C871E8" w:rsidRPr="00E56AF4">
        <w:t xml:space="preserve"> </w:t>
      </w:r>
      <w:r w:rsidRPr="00E56AF4">
        <w:t>subfield set to 1</w:t>
      </w:r>
    </w:p>
    <w:p w14:paraId="5E23DD6F" w14:textId="48F98047" w:rsidR="006856DE" w:rsidRDefault="006856DE" w:rsidP="00C543EC">
      <w:pPr>
        <w:jc w:val="both"/>
      </w:pPr>
      <w:r w:rsidRPr="00E56AF4">
        <w:t>b)</w:t>
      </w:r>
      <w:r w:rsidRPr="00E56AF4">
        <w:tab/>
        <w:t>Following the transmission of a</w:t>
      </w:r>
      <w:r w:rsidR="00C543EC" w:rsidRPr="00C543EC">
        <w:rPr>
          <w:strike/>
        </w:rPr>
        <w:t>n</w:t>
      </w:r>
      <w:r w:rsidR="00C543EC" w:rsidRPr="00E56AF4">
        <w:t xml:space="preserve"> </w:t>
      </w:r>
      <w:r w:rsidR="00C543EC" w:rsidRPr="00E56AF4">
        <w:rPr>
          <w:u w:val="single"/>
        </w:rPr>
        <w:t>DMG Beacon</w:t>
      </w:r>
      <w:r w:rsidR="00C543EC">
        <w:rPr>
          <w:u w:val="single"/>
        </w:rPr>
        <w:t xml:space="preserve"> </w:t>
      </w:r>
      <w:r w:rsidR="00C543EC" w:rsidRPr="00C543EC">
        <w:rPr>
          <w:u w:val="single"/>
        </w:rPr>
        <w:t>or</w:t>
      </w:r>
      <w:r w:rsidRPr="00E56AF4">
        <w:t xml:space="preserve"> SSW frame </w:t>
      </w:r>
      <w:r>
        <w:t xml:space="preserve">with the Unsolicited RSS Enabled subfield set to 1, the STA identified in (a) receives an SSW frame </w:t>
      </w:r>
      <w:r w:rsidR="00FB2D6F" w:rsidRPr="00032410">
        <w:rPr>
          <w:u w:val="single"/>
        </w:rPr>
        <w:t>that is not a response to an immediately preceding ISS and</w:t>
      </w:r>
      <w:r w:rsidR="00FB2D6F">
        <w:t xml:space="preserve"> </w:t>
      </w:r>
      <w:r w:rsidRPr="0010568F">
        <w:rPr>
          <w:strike/>
        </w:rPr>
        <w:t xml:space="preserve">transmitted as part of an RSS </w:t>
      </w:r>
      <w:r>
        <w:t xml:space="preserve">for which </w:t>
      </w:r>
      <w:r w:rsidR="00FB2D6F" w:rsidRPr="00032410">
        <w:rPr>
          <w:u w:val="single"/>
        </w:rPr>
        <w:t xml:space="preserve">the Direction field is set to 1 and </w:t>
      </w:r>
      <w:r>
        <w:t>the RA field of the SSW frame is equal to the STA’s MAC address</w:t>
      </w:r>
    </w:p>
    <w:p w14:paraId="7E773E58" w14:textId="77777777" w:rsidR="00C871E8" w:rsidRDefault="006856DE" w:rsidP="00C543EC">
      <w:pPr>
        <w:jc w:val="both"/>
      </w:pPr>
      <w:r>
        <w:t>c)</w:t>
      </w:r>
      <w:r>
        <w:tab/>
      </w:r>
      <w:r w:rsidR="00C871E8">
        <w:rPr>
          <w:u w:val="single"/>
        </w:rPr>
        <w:t>In the case an SSW frame wa</w:t>
      </w:r>
      <w:r w:rsidR="00C871E8" w:rsidRPr="00C871E8">
        <w:rPr>
          <w:u w:val="single"/>
        </w:rPr>
        <w:t xml:space="preserve">s transmitted in (a), </w:t>
      </w:r>
      <w:proofErr w:type="spellStart"/>
      <w:r w:rsidR="00C871E8" w:rsidRPr="00C871E8">
        <w:rPr>
          <w:u w:val="single"/>
        </w:rPr>
        <w:t>t</w:t>
      </w:r>
      <w:r w:rsidRPr="00C871E8">
        <w:rPr>
          <w:strike/>
        </w:rPr>
        <w:t>T</w:t>
      </w:r>
      <w:r>
        <w:t>he</w:t>
      </w:r>
      <w:proofErr w:type="spellEnd"/>
      <w:r>
        <w:t xml:space="preserve"> STA that transmitted the SSW frame identified in (b) is different than the STA addressed by the SSW frame identified in (a).</w:t>
      </w:r>
    </w:p>
    <w:p w14:paraId="4EB92B94" w14:textId="16646699" w:rsidR="00C871E8" w:rsidRDefault="00C871E8" w:rsidP="006856DE"/>
    <w:p w14:paraId="03EBB4A1" w14:textId="77777777" w:rsidR="00D52058" w:rsidRPr="00E56AF4" w:rsidRDefault="00D52058" w:rsidP="00D52058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  <w:r w:rsidRPr="00E56AF4">
        <w:rPr>
          <w:rFonts w:ascii="Arial,Bold" w:hAnsi="Arial,Bold" w:cs="Arial,Bold"/>
          <w:bCs/>
          <w:i/>
          <w:sz w:val="20"/>
          <w:lang w:val="en-US" w:bidi="he-IL"/>
        </w:rPr>
        <w:t xml:space="preserve">Modify the following paragraph as </w:t>
      </w:r>
      <w:r>
        <w:rPr>
          <w:rFonts w:ascii="Arial,Bold" w:hAnsi="Arial,Bold" w:cs="Arial,Bold"/>
          <w:bCs/>
          <w:i/>
          <w:sz w:val="20"/>
          <w:lang w:val="en-US" w:bidi="he-IL"/>
        </w:rPr>
        <w:t>follows</w:t>
      </w:r>
      <w:r w:rsidRPr="00E56AF4">
        <w:rPr>
          <w:rFonts w:ascii="Arial,Bold" w:hAnsi="Arial,Bold" w:cs="Arial,Bold"/>
          <w:bCs/>
          <w:i/>
          <w:sz w:val="20"/>
          <w:lang w:val="en-US" w:bidi="he-IL"/>
        </w:rPr>
        <w:t>:</w:t>
      </w:r>
    </w:p>
    <w:p w14:paraId="24C0C850" w14:textId="7E1D1D5C" w:rsidR="00D52058" w:rsidRDefault="00D52058" w:rsidP="006856DE"/>
    <w:p w14:paraId="3DFC44C3" w14:textId="74A1CC7B" w:rsidR="00D52058" w:rsidRDefault="00D52058" w:rsidP="00D52058">
      <w:pPr>
        <w:jc w:val="both"/>
      </w:pPr>
      <w:r w:rsidRPr="00D52058">
        <w:t xml:space="preserve">Figure 58 shows an example of an unsolicited RSS. STA A that performs an ISS or RSS with STA C sets the Unsolicited RSS Enabled subfield to 1 to indicate it is operating as an initiator corresponding to a potential unsolicited RSS in a subsequent TXOP or SP. STA B (TXOP holder or source STA of the SP) transmitting SSW frames with the Direction subfield set to 1 at the beginning of a TXOP or SP (e.g., TXOP2 or SP2) is considered as the responder of STA A for the ISS or RSS in the earlier </w:t>
      </w:r>
      <w:r w:rsidRPr="00D52058">
        <w:rPr>
          <w:u w:val="single"/>
        </w:rPr>
        <w:t xml:space="preserve">BTI, </w:t>
      </w:r>
      <w:r w:rsidRPr="00D52058">
        <w:t>TXOP or SP (e.g., TXOP1 or SP1). In the TXOP2 or SP2, if a SSW frame with the Direction subfield set to 1 is received, STA A operates as the initiator and responds with a SSW Feedback frame without performing an ISS.</w:t>
      </w:r>
    </w:p>
    <w:p w14:paraId="29F7111C" w14:textId="77777777" w:rsidR="00D52058" w:rsidRDefault="00D52058" w:rsidP="006856DE"/>
    <w:p w14:paraId="12529906" w14:textId="6C889A47" w:rsidR="00C871E8" w:rsidRPr="006B4428" w:rsidRDefault="00C871E8" w:rsidP="00C871E8">
      <w:pPr>
        <w:autoSpaceDE w:val="0"/>
        <w:autoSpaceDN w:val="0"/>
        <w:adjustRightInd w:val="0"/>
        <w:rPr>
          <w:rFonts w:ascii="Arial,Bold" w:hAnsi="Arial,Bold" w:cs="Arial,Bold"/>
          <w:bCs/>
          <w:i/>
          <w:sz w:val="20"/>
          <w:lang w:val="en-US" w:bidi="he-IL"/>
        </w:rPr>
      </w:pPr>
      <w:r>
        <w:rPr>
          <w:rFonts w:ascii="Arial,Bold" w:hAnsi="Arial,Bold" w:cs="Arial,Bold"/>
          <w:bCs/>
          <w:i/>
          <w:sz w:val="20"/>
          <w:lang w:val="en-US" w:bidi="he-IL"/>
        </w:rPr>
        <w:t>Replace figure 58 with the following figure:</w:t>
      </w:r>
    </w:p>
    <w:p w14:paraId="0A65A548" w14:textId="77777777" w:rsidR="00C871E8" w:rsidRDefault="00C871E8" w:rsidP="006856DE"/>
    <w:p w14:paraId="10892260" w14:textId="3F5CB10E" w:rsidR="00C871E8" w:rsidRDefault="00C543EC" w:rsidP="006856DE">
      <w:r>
        <w:object w:dxaOrig="16883" w:dyaOrig="6996" w14:anchorId="380EE2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15pt;height:182.15pt" o:ole="">
            <v:imagedata r:id="rId11" o:title=""/>
          </v:shape>
          <o:OLEObject Type="Embed" ProgID="Visio.Drawing.11" ShapeID="_x0000_i1025" DrawAspect="Content" ObjectID="_1569785386" r:id="rId12"/>
        </w:object>
      </w:r>
    </w:p>
    <w:p w14:paraId="53DFB441" w14:textId="77777777" w:rsidR="00422D95" w:rsidRDefault="00422D95" w:rsidP="006856DE">
      <w:pPr>
        <w:rPr>
          <w:b/>
        </w:rPr>
      </w:pPr>
    </w:p>
    <w:p w14:paraId="5F4CC368" w14:textId="77777777" w:rsidR="00DC34E5" w:rsidRDefault="00DC34E5">
      <w:pPr>
        <w:rPr>
          <w:b/>
        </w:rPr>
      </w:pPr>
      <w:r>
        <w:rPr>
          <w:b/>
        </w:rPr>
        <w:br w:type="page"/>
      </w:r>
    </w:p>
    <w:p w14:paraId="2F7E7743" w14:textId="7FD6677B" w:rsidR="00260415" w:rsidRDefault="00260415" w:rsidP="006856DE">
      <w:pPr>
        <w:rPr>
          <w:b/>
        </w:rPr>
      </w:pPr>
      <w:r w:rsidRPr="00260415">
        <w:rPr>
          <w:b/>
        </w:rPr>
        <w:lastRenderedPageBreak/>
        <w:t>SP</w:t>
      </w:r>
    </w:p>
    <w:p w14:paraId="64EC6B33" w14:textId="5F254242" w:rsidR="00260415" w:rsidRDefault="00260415" w:rsidP="006856DE">
      <w:pPr>
        <w:rPr>
          <w:b/>
        </w:rPr>
      </w:pPr>
    </w:p>
    <w:p w14:paraId="7584E6C1" w14:textId="7FF5A070" w:rsidR="00B80CA2" w:rsidRPr="00260415" w:rsidRDefault="00EE15F5" w:rsidP="00260415">
      <w:pPr>
        <w:numPr>
          <w:ilvl w:val="0"/>
          <w:numId w:val="18"/>
        </w:numPr>
        <w:rPr>
          <w:b/>
          <w:lang w:val="en-SG"/>
        </w:rPr>
      </w:pPr>
      <w:r w:rsidRPr="00260415">
        <w:rPr>
          <w:b/>
          <w:lang w:val="en-US"/>
        </w:rPr>
        <w:t xml:space="preserve">Do you support the addition of </w:t>
      </w:r>
      <w:r w:rsidR="00260415">
        <w:rPr>
          <w:b/>
          <w:lang w:val="en-US"/>
        </w:rPr>
        <w:t>the proposed text to enable unsolicited RSS after BTI</w:t>
      </w:r>
      <w:r w:rsidRPr="00260415">
        <w:rPr>
          <w:b/>
          <w:lang w:val="en-US"/>
        </w:rPr>
        <w:t xml:space="preserve"> to the draft 11ay specification?</w:t>
      </w:r>
    </w:p>
    <w:p w14:paraId="0D18E49F" w14:textId="7288E762" w:rsidR="00260415" w:rsidRPr="00260415" w:rsidRDefault="00260415" w:rsidP="00260415">
      <w:pPr>
        <w:numPr>
          <w:ilvl w:val="1"/>
          <w:numId w:val="18"/>
        </w:numPr>
        <w:rPr>
          <w:b/>
          <w:lang w:val="en-SG"/>
        </w:rPr>
      </w:pPr>
      <w:r>
        <w:rPr>
          <w:b/>
          <w:lang w:val="en-US"/>
        </w:rPr>
        <w:t>Yes</w:t>
      </w:r>
    </w:p>
    <w:p w14:paraId="422AF435" w14:textId="31BDC7D9" w:rsidR="00260415" w:rsidRPr="00260415" w:rsidRDefault="00260415" w:rsidP="00260415">
      <w:pPr>
        <w:numPr>
          <w:ilvl w:val="1"/>
          <w:numId w:val="18"/>
        </w:numPr>
        <w:rPr>
          <w:b/>
          <w:lang w:val="en-SG"/>
        </w:rPr>
      </w:pPr>
      <w:r>
        <w:rPr>
          <w:b/>
          <w:lang w:val="en-US"/>
        </w:rPr>
        <w:t>No</w:t>
      </w:r>
    </w:p>
    <w:p w14:paraId="5CC27F04" w14:textId="26DF3EB4" w:rsidR="00260415" w:rsidRPr="00260415" w:rsidRDefault="00260415" w:rsidP="00260415">
      <w:pPr>
        <w:numPr>
          <w:ilvl w:val="1"/>
          <w:numId w:val="18"/>
        </w:numPr>
        <w:rPr>
          <w:b/>
          <w:lang w:val="en-SG"/>
        </w:rPr>
      </w:pPr>
      <w:r>
        <w:rPr>
          <w:b/>
          <w:lang w:val="en-US"/>
        </w:rPr>
        <w:t>Abstain</w:t>
      </w:r>
    </w:p>
    <w:p w14:paraId="336BC168" w14:textId="77777777" w:rsidR="00260415" w:rsidRDefault="00260415" w:rsidP="006856DE">
      <w:pPr>
        <w:rPr>
          <w:b/>
        </w:rPr>
      </w:pPr>
    </w:p>
    <w:p w14:paraId="2AE3FFC7" w14:textId="77777777" w:rsidR="00DC34E5" w:rsidRPr="00260415" w:rsidRDefault="00DC34E5" w:rsidP="006856DE">
      <w:pPr>
        <w:rPr>
          <w:b/>
        </w:rPr>
      </w:pPr>
    </w:p>
    <w:p w14:paraId="07C42A95" w14:textId="1EF15203" w:rsidR="00CA09B2" w:rsidRPr="00C54554" w:rsidRDefault="00CA09B2" w:rsidP="006856DE">
      <w:r w:rsidRPr="00C54554">
        <w:rPr>
          <w:b/>
          <w:sz w:val="24"/>
        </w:rPr>
        <w:t>References:</w:t>
      </w:r>
    </w:p>
    <w:p w14:paraId="45C53C10" w14:textId="2BFCFC69" w:rsidR="00CA09B2" w:rsidRPr="00835D65" w:rsidRDefault="002F60E7" w:rsidP="00835D65">
      <w:pPr>
        <w:numPr>
          <w:ilvl w:val="0"/>
          <w:numId w:val="1"/>
        </w:numPr>
        <w:rPr>
          <w:bCs/>
          <w:szCs w:val="22"/>
        </w:rPr>
      </w:pPr>
      <w:r>
        <w:rPr>
          <w:bCs/>
          <w:szCs w:val="22"/>
        </w:rPr>
        <w:t>Draft P802.11ay_D0.5.doc</w:t>
      </w:r>
    </w:p>
    <w:sectPr w:rsidR="00CA09B2" w:rsidRPr="00835D65" w:rsidSect="00416854">
      <w:headerReference w:type="default" r:id="rId13"/>
      <w:footerReference w:type="default" r:id="rId14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F021D" w14:textId="77777777" w:rsidR="00EF27EC" w:rsidRDefault="00EF27EC">
      <w:r>
        <w:separator/>
      </w:r>
    </w:p>
  </w:endnote>
  <w:endnote w:type="continuationSeparator" w:id="0">
    <w:p w14:paraId="72F20662" w14:textId="77777777" w:rsidR="00EF27EC" w:rsidRDefault="00EF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FF538" w14:textId="370E762B" w:rsidR="0029020B" w:rsidRDefault="00031767" w:rsidP="005A557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F2FBC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DC34E5">
      <w:rPr>
        <w:noProof/>
      </w:rPr>
      <w:t>1</w:t>
    </w:r>
    <w:r w:rsidR="0029020B">
      <w:fldChar w:fldCharType="end"/>
    </w:r>
    <w:r w:rsidR="0029020B">
      <w:tab/>
    </w:r>
    <w:r w:rsidR="005D157B">
      <w:t>Gaius Wee (Panasonic)</w:t>
    </w:r>
  </w:p>
  <w:p w14:paraId="10BF3DC4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1B0D2" w14:textId="77777777" w:rsidR="00EF27EC" w:rsidRDefault="00EF27EC">
      <w:r>
        <w:separator/>
      </w:r>
    </w:p>
  </w:footnote>
  <w:footnote w:type="continuationSeparator" w:id="0">
    <w:p w14:paraId="2F3470FD" w14:textId="77777777" w:rsidR="00EF27EC" w:rsidRDefault="00EF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89868" w14:textId="4F15D0A3" w:rsidR="0029020B" w:rsidRDefault="00BA7C8E">
    <w:pPr>
      <w:pStyle w:val="Header"/>
      <w:tabs>
        <w:tab w:val="clear" w:pos="6480"/>
        <w:tab w:val="center" w:pos="4680"/>
        <w:tab w:val="right" w:pos="9360"/>
      </w:tabs>
    </w:pPr>
    <w:r>
      <w:t xml:space="preserve">October </w:t>
    </w:r>
    <w:r w:rsidR="005A557F">
      <w:t>201</w:t>
    </w:r>
    <w:r w:rsidR="00C667B2">
      <w:t>7</w:t>
    </w:r>
    <w:r w:rsidR="0029020B">
      <w:tab/>
    </w:r>
    <w:r w:rsidR="0029020B">
      <w:tab/>
    </w:r>
    <w:fldSimple w:instr=" TITLE  \* MERGEFORMAT ">
      <w:r w:rsidR="009F2FBC" w:rsidRPr="00874B72">
        <w:t>doc.: IEEE 802.11-</w:t>
      </w:r>
      <w:r w:rsidR="00DA0D33" w:rsidRPr="00874B72">
        <w:t>17</w:t>
      </w:r>
      <w:r w:rsidR="009F2FBC" w:rsidRPr="00874B72">
        <w:t>/</w:t>
      </w:r>
      <w:r w:rsidR="00DE0C93">
        <w:t>1584</w:t>
      </w:r>
      <w:r w:rsidR="009F2FBC" w:rsidRPr="00874B72">
        <w:t>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ED"/>
    <w:multiLevelType w:val="hybridMultilevel"/>
    <w:tmpl w:val="A0A6A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8532A"/>
    <w:multiLevelType w:val="hybridMultilevel"/>
    <w:tmpl w:val="83FC016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3">
    <w:nsid w:val="07E92DCF"/>
    <w:multiLevelType w:val="multilevel"/>
    <w:tmpl w:val="1CB833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BF4E37"/>
    <w:multiLevelType w:val="hybridMultilevel"/>
    <w:tmpl w:val="C7325680"/>
    <w:lvl w:ilvl="0" w:tplc="F7041A14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538F2"/>
    <w:multiLevelType w:val="multilevel"/>
    <w:tmpl w:val="37E491DA"/>
    <w:lvl w:ilvl="0">
      <w:start w:val="5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71C1049"/>
    <w:multiLevelType w:val="hybridMultilevel"/>
    <w:tmpl w:val="FE3840EE"/>
    <w:lvl w:ilvl="0" w:tplc="60C4D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24C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4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A5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02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07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E5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05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AC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94A35B3"/>
    <w:multiLevelType w:val="hybridMultilevel"/>
    <w:tmpl w:val="58EA8592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C10B3"/>
    <w:multiLevelType w:val="hybridMultilevel"/>
    <w:tmpl w:val="83FC016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77BE2"/>
    <w:multiLevelType w:val="hybridMultilevel"/>
    <w:tmpl w:val="55EA4B7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36414"/>
    <w:multiLevelType w:val="hybridMultilevel"/>
    <w:tmpl w:val="D5E8E28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75B1D"/>
    <w:multiLevelType w:val="multilevel"/>
    <w:tmpl w:val="420AED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1931CD2"/>
    <w:multiLevelType w:val="hybridMultilevel"/>
    <w:tmpl w:val="1820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56C21"/>
    <w:multiLevelType w:val="multilevel"/>
    <w:tmpl w:val="B50E5AA6"/>
    <w:lvl w:ilvl="0">
      <w:start w:val="9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02579C4"/>
    <w:multiLevelType w:val="multilevel"/>
    <w:tmpl w:val="373EB2C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CD53D7B"/>
    <w:multiLevelType w:val="hybridMultilevel"/>
    <w:tmpl w:val="AFEEE624"/>
    <w:lvl w:ilvl="0" w:tplc="31E6AD76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1589D"/>
    <w:multiLevelType w:val="hybridMultilevel"/>
    <w:tmpl w:val="5A562DFC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1">
      <w:start w:val="1"/>
      <w:numFmt w:val="decimal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16"/>
  </w:num>
  <w:num w:numId="11">
    <w:abstractNumId w:val="10"/>
  </w:num>
  <w:num w:numId="12">
    <w:abstractNumId w:val="15"/>
  </w:num>
  <w:num w:numId="13">
    <w:abstractNumId w:val="1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9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9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3"/>
    <w:lvlOverride w:ilvl="0">
      <w:startOverride w:val="10"/>
    </w:lvlOverride>
    <w:lvlOverride w:ilvl="1">
      <w:startOverride w:val="38"/>
    </w:lvlOverride>
    <w:lvlOverride w:ilvl="2">
      <w:startOverride w:val="6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C"/>
    <w:rsid w:val="000006ED"/>
    <w:rsid w:val="00017DAE"/>
    <w:rsid w:val="00020551"/>
    <w:rsid w:val="00031767"/>
    <w:rsid w:val="00031BD9"/>
    <w:rsid w:val="00032410"/>
    <w:rsid w:val="00040D31"/>
    <w:rsid w:val="00052C40"/>
    <w:rsid w:val="000759FF"/>
    <w:rsid w:val="0008167A"/>
    <w:rsid w:val="000976DE"/>
    <w:rsid w:val="000A1341"/>
    <w:rsid w:val="000D714B"/>
    <w:rsid w:val="000E4820"/>
    <w:rsid w:val="000F1C1B"/>
    <w:rsid w:val="000F5E31"/>
    <w:rsid w:val="0010568F"/>
    <w:rsid w:val="001078E5"/>
    <w:rsid w:val="00110EC4"/>
    <w:rsid w:val="0011476F"/>
    <w:rsid w:val="00116CA9"/>
    <w:rsid w:val="00142AA1"/>
    <w:rsid w:val="00151965"/>
    <w:rsid w:val="001625DA"/>
    <w:rsid w:val="00191DBB"/>
    <w:rsid w:val="00192121"/>
    <w:rsid w:val="00193CFE"/>
    <w:rsid w:val="001944EF"/>
    <w:rsid w:val="001A1A33"/>
    <w:rsid w:val="001B187E"/>
    <w:rsid w:val="001B29DC"/>
    <w:rsid w:val="001C0DE5"/>
    <w:rsid w:val="001C165C"/>
    <w:rsid w:val="001D723B"/>
    <w:rsid w:val="001E4099"/>
    <w:rsid w:val="001E76AD"/>
    <w:rsid w:val="00203598"/>
    <w:rsid w:val="00205FE9"/>
    <w:rsid w:val="002247FB"/>
    <w:rsid w:val="00251C8C"/>
    <w:rsid w:val="0025280D"/>
    <w:rsid w:val="00256664"/>
    <w:rsid w:val="00260415"/>
    <w:rsid w:val="0029020B"/>
    <w:rsid w:val="002948F3"/>
    <w:rsid w:val="002A0007"/>
    <w:rsid w:val="002B1E1B"/>
    <w:rsid w:val="002D053B"/>
    <w:rsid w:val="002D44BE"/>
    <w:rsid w:val="002E3957"/>
    <w:rsid w:val="002F60E7"/>
    <w:rsid w:val="00304733"/>
    <w:rsid w:val="0032346F"/>
    <w:rsid w:val="003250FF"/>
    <w:rsid w:val="003318D1"/>
    <w:rsid w:val="003363F1"/>
    <w:rsid w:val="003441EC"/>
    <w:rsid w:val="00363536"/>
    <w:rsid w:val="00365C33"/>
    <w:rsid w:val="00370491"/>
    <w:rsid w:val="00373A88"/>
    <w:rsid w:val="003B5162"/>
    <w:rsid w:val="003C57CF"/>
    <w:rsid w:val="003F361B"/>
    <w:rsid w:val="003F60BC"/>
    <w:rsid w:val="00412A03"/>
    <w:rsid w:val="00416854"/>
    <w:rsid w:val="0042179E"/>
    <w:rsid w:val="004225A9"/>
    <w:rsid w:val="00422D95"/>
    <w:rsid w:val="0042346E"/>
    <w:rsid w:val="00427E63"/>
    <w:rsid w:val="0043607E"/>
    <w:rsid w:val="00442037"/>
    <w:rsid w:val="00445832"/>
    <w:rsid w:val="00452892"/>
    <w:rsid w:val="00463A56"/>
    <w:rsid w:val="00474F22"/>
    <w:rsid w:val="004808FE"/>
    <w:rsid w:val="00481194"/>
    <w:rsid w:val="00493A5E"/>
    <w:rsid w:val="004A3357"/>
    <w:rsid w:val="004B064B"/>
    <w:rsid w:val="004D4A45"/>
    <w:rsid w:val="004D562D"/>
    <w:rsid w:val="00506689"/>
    <w:rsid w:val="00512AE0"/>
    <w:rsid w:val="00525A28"/>
    <w:rsid w:val="005338B6"/>
    <w:rsid w:val="00545EF4"/>
    <w:rsid w:val="005517D9"/>
    <w:rsid w:val="00552356"/>
    <w:rsid w:val="00556072"/>
    <w:rsid w:val="00566664"/>
    <w:rsid w:val="005727DC"/>
    <w:rsid w:val="00585873"/>
    <w:rsid w:val="0058632F"/>
    <w:rsid w:val="005903C6"/>
    <w:rsid w:val="005A0857"/>
    <w:rsid w:val="005A2462"/>
    <w:rsid w:val="005A557F"/>
    <w:rsid w:val="005B5027"/>
    <w:rsid w:val="005C0624"/>
    <w:rsid w:val="005C3EAC"/>
    <w:rsid w:val="005D157B"/>
    <w:rsid w:val="005D4F47"/>
    <w:rsid w:val="006053A3"/>
    <w:rsid w:val="00611929"/>
    <w:rsid w:val="00611AB6"/>
    <w:rsid w:val="0062440B"/>
    <w:rsid w:val="00632A26"/>
    <w:rsid w:val="00641B82"/>
    <w:rsid w:val="006435CB"/>
    <w:rsid w:val="006452A0"/>
    <w:rsid w:val="00656CE2"/>
    <w:rsid w:val="0066519B"/>
    <w:rsid w:val="00665200"/>
    <w:rsid w:val="006856DE"/>
    <w:rsid w:val="006A2BB4"/>
    <w:rsid w:val="006B4428"/>
    <w:rsid w:val="006B6A33"/>
    <w:rsid w:val="006C0727"/>
    <w:rsid w:val="006C1BEF"/>
    <w:rsid w:val="006C5949"/>
    <w:rsid w:val="006D2A3B"/>
    <w:rsid w:val="006D6FE8"/>
    <w:rsid w:val="006E145F"/>
    <w:rsid w:val="006E5556"/>
    <w:rsid w:val="006F7AEA"/>
    <w:rsid w:val="00707538"/>
    <w:rsid w:val="007077F6"/>
    <w:rsid w:val="0071468E"/>
    <w:rsid w:val="00720616"/>
    <w:rsid w:val="00724F0E"/>
    <w:rsid w:val="00742C53"/>
    <w:rsid w:val="00745A86"/>
    <w:rsid w:val="007468A0"/>
    <w:rsid w:val="00763BA3"/>
    <w:rsid w:val="00770572"/>
    <w:rsid w:val="0077127A"/>
    <w:rsid w:val="00781850"/>
    <w:rsid w:val="0078699A"/>
    <w:rsid w:val="0078795C"/>
    <w:rsid w:val="00792E15"/>
    <w:rsid w:val="007A4EEC"/>
    <w:rsid w:val="007B37AC"/>
    <w:rsid w:val="007C5543"/>
    <w:rsid w:val="007C5FD4"/>
    <w:rsid w:val="007D49AA"/>
    <w:rsid w:val="007E641A"/>
    <w:rsid w:val="007E6EA7"/>
    <w:rsid w:val="007F30F9"/>
    <w:rsid w:val="007F36E7"/>
    <w:rsid w:val="008103C5"/>
    <w:rsid w:val="008345A7"/>
    <w:rsid w:val="00835D65"/>
    <w:rsid w:val="008408C4"/>
    <w:rsid w:val="00842871"/>
    <w:rsid w:val="008437E9"/>
    <w:rsid w:val="008526F4"/>
    <w:rsid w:val="00852B1C"/>
    <w:rsid w:val="00856BE4"/>
    <w:rsid w:val="0086125A"/>
    <w:rsid w:val="00861DAB"/>
    <w:rsid w:val="00862925"/>
    <w:rsid w:val="00874B72"/>
    <w:rsid w:val="00876EEF"/>
    <w:rsid w:val="00877C37"/>
    <w:rsid w:val="00884A48"/>
    <w:rsid w:val="00890215"/>
    <w:rsid w:val="008A1EC3"/>
    <w:rsid w:val="008B4699"/>
    <w:rsid w:val="008B5C9D"/>
    <w:rsid w:val="008C03B8"/>
    <w:rsid w:val="008D0D55"/>
    <w:rsid w:val="008E1B37"/>
    <w:rsid w:val="008E4185"/>
    <w:rsid w:val="008E6D26"/>
    <w:rsid w:val="0090077E"/>
    <w:rsid w:val="009073B0"/>
    <w:rsid w:val="00911AF3"/>
    <w:rsid w:val="00913ACA"/>
    <w:rsid w:val="009313A1"/>
    <w:rsid w:val="009452FD"/>
    <w:rsid w:val="00964C8C"/>
    <w:rsid w:val="00973B14"/>
    <w:rsid w:val="009808F1"/>
    <w:rsid w:val="00990C89"/>
    <w:rsid w:val="009A3CD9"/>
    <w:rsid w:val="009A6474"/>
    <w:rsid w:val="009B4D73"/>
    <w:rsid w:val="009B65E8"/>
    <w:rsid w:val="009B7BBA"/>
    <w:rsid w:val="009C3C2F"/>
    <w:rsid w:val="009C659C"/>
    <w:rsid w:val="009E47D0"/>
    <w:rsid w:val="009F2FBC"/>
    <w:rsid w:val="00A046C8"/>
    <w:rsid w:val="00A32138"/>
    <w:rsid w:val="00A33E74"/>
    <w:rsid w:val="00A33E76"/>
    <w:rsid w:val="00A35958"/>
    <w:rsid w:val="00A47AA0"/>
    <w:rsid w:val="00A6055C"/>
    <w:rsid w:val="00A6282A"/>
    <w:rsid w:val="00A822D0"/>
    <w:rsid w:val="00A83D45"/>
    <w:rsid w:val="00A87473"/>
    <w:rsid w:val="00A9175E"/>
    <w:rsid w:val="00AA427C"/>
    <w:rsid w:val="00AB07A9"/>
    <w:rsid w:val="00AB2D88"/>
    <w:rsid w:val="00AB5B96"/>
    <w:rsid w:val="00AB6D95"/>
    <w:rsid w:val="00AC2AAB"/>
    <w:rsid w:val="00AC3621"/>
    <w:rsid w:val="00AC437D"/>
    <w:rsid w:val="00AD773B"/>
    <w:rsid w:val="00AF0981"/>
    <w:rsid w:val="00AF383D"/>
    <w:rsid w:val="00AF43B7"/>
    <w:rsid w:val="00B00A29"/>
    <w:rsid w:val="00B0179D"/>
    <w:rsid w:val="00B029EE"/>
    <w:rsid w:val="00B113DD"/>
    <w:rsid w:val="00B246C8"/>
    <w:rsid w:val="00B25708"/>
    <w:rsid w:val="00B30BB2"/>
    <w:rsid w:val="00B4566D"/>
    <w:rsid w:val="00B51D41"/>
    <w:rsid w:val="00B524A7"/>
    <w:rsid w:val="00B720E2"/>
    <w:rsid w:val="00B80713"/>
    <w:rsid w:val="00B80CA2"/>
    <w:rsid w:val="00B81378"/>
    <w:rsid w:val="00B81D08"/>
    <w:rsid w:val="00B92B29"/>
    <w:rsid w:val="00BA67E2"/>
    <w:rsid w:val="00BA7C8E"/>
    <w:rsid w:val="00BB1F1A"/>
    <w:rsid w:val="00BC6644"/>
    <w:rsid w:val="00BC7F9B"/>
    <w:rsid w:val="00BD1E85"/>
    <w:rsid w:val="00BE02A1"/>
    <w:rsid w:val="00BE46D3"/>
    <w:rsid w:val="00BE68C2"/>
    <w:rsid w:val="00C028B2"/>
    <w:rsid w:val="00C5150F"/>
    <w:rsid w:val="00C531BB"/>
    <w:rsid w:val="00C543EC"/>
    <w:rsid w:val="00C54554"/>
    <w:rsid w:val="00C667B2"/>
    <w:rsid w:val="00C727F0"/>
    <w:rsid w:val="00C84DA1"/>
    <w:rsid w:val="00C871E8"/>
    <w:rsid w:val="00C92E42"/>
    <w:rsid w:val="00C93CC8"/>
    <w:rsid w:val="00CA09B2"/>
    <w:rsid w:val="00CA13DC"/>
    <w:rsid w:val="00CC2E2E"/>
    <w:rsid w:val="00CD36B6"/>
    <w:rsid w:val="00CD48AA"/>
    <w:rsid w:val="00CD6E99"/>
    <w:rsid w:val="00CF7ACA"/>
    <w:rsid w:val="00D14A3B"/>
    <w:rsid w:val="00D25552"/>
    <w:rsid w:val="00D34AAF"/>
    <w:rsid w:val="00D44DE0"/>
    <w:rsid w:val="00D52058"/>
    <w:rsid w:val="00D56523"/>
    <w:rsid w:val="00D56FCE"/>
    <w:rsid w:val="00D6149A"/>
    <w:rsid w:val="00D646AE"/>
    <w:rsid w:val="00D668B4"/>
    <w:rsid w:val="00D7232C"/>
    <w:rsid w:val="00D827EB"/>
    <w:rsid w:val="00D93124"/>
    <w:rsid w:val="00DA035A"/>
    <w:rsid w:val="00DA0D33"/>
    <w:rsid w:val="00DA168C"/>
    <w:rsid w:val="00DA50F6"/>
    <w:rsid w:val="00DC0B44"/>
    <w:rsid w:val="00DC34E5"/>
    <w:rsid w:val="00DC36B7"/>
    <w:rsid w:val="00DC5A7B"/>
    <w:rsid w:val="00DE0C93"/>
    <w:rsid w:val="00DE3991"/>
    <w:rsid w:val="00DF7B7D"/>
    <w:rsid w:val="00E26A59"/>
    <w:rsid w:val="00E31D80"/>
    <w:rsid w:val="00E33362"/>
    <w:rsid w:val="00E40DE5"/>
    <w:rsid w:val="00E51F97"/>
    <w:rsid w:val="00E550BF"/>
    <w:rsid w:val="00E56AF4"/>
    <w:rsid w:val="00E74098"/>
    <w:rsid w:val="00E82359"/>
    <w:rsid w:val="00EA2BFC"/>
    <w:rsid w:val="00EA654A"/>
    <w:rsid w:val="00EB24CA"/>
    <w:rsid w:val="00EC07E8"/>
    <w:rsid w:val="00EC2E8A"/>
    <w:rsid w:val="00EC47ED"/>
    <w:rsid w:val="00EC4A13"/>
    <w:rsid w:val="00ED2A65"/>
    <w:rsid w:val="00EE15F5"/>
    <w:rsid w:val="00EF27EC"/>
    <w:rsid w:val="00EF6A2A"/>
    <w:rsid w:val="00EF7BAB"/>
    <w:rsid w:val="00F07E76"/>
    <w:rsid w:val="00F20E91"/>
    <w:rsid w:val="00F25D32"/>
    <w:rsid w:val="00F3052E"/>
    <w:rsid w:val="00F37D2F"/>
    <w:rsid w:val="00F61B13"/>
    <w:rsid w:val="00F733C4"/>
    <w:rsid w:val="00F80AE8"/>
    <w:rsid w:val="00F81EF3"/>
    <w:rsid w:val="00F8482E"/>
    <w:rsid w:val="00F90DE4"/>
    <w:rsid w:val="00F91BA3"/>
    <w:rsid w:val="00F96791"/>
    <w:rsid w:val="00FA0F1C"/>
    <w:rsid w:val="00FA1E85"/>
    <w:rsid w:val="00FA79C9"/>
    <w:rsid w:val="00FB0B8E"/>
    <w:rsid w:val="00FB2D6F"/>
    <w:rsid w:val="00FD6030"/>
    <w:rsid w:val="00FF08A0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4C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F90DE4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F90DE4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F90DE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90DE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F90DE4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90D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eastAsia="en-US" w:bidi="he-IL"/>
    </w:rPr>
  </w:style>
  <w:style w:type="paragraph" w:styleId="BalloonText">
    <w:name w:val="Balloon Text"/>
    <w:basedOn w:val="Normal"/>
    <w:link w:val="BalloonTextChar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6A33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Level1Header">
    <w:name w:val="IEEEStds Level 1 Header"/>
    <w:basedOn w:val="Normal"/>
    <w:next w:val="Normal"/>
    <w:link w:val="IEEEStdsLevel1HeaderChar"/>
    <w:rsid w:val="00F90DE4"/>
    <w:pPr>
      <w:keepNext/>
      <w:keepLines/>
      <w:numPr>
        <w:numId w:val="3"/>
      </w:numPr>
      <w:suppressAutoHyphens/>
      <w:spacing w:before="360" w:after="240"/>
      <w:outlineLvl w:val="0"/>
    </w:pPr>
    <w:rPr>
      <w:rFonts w:ascii="Arial" w:hAnsi="Arial"/>
      <w:b/>
      <w:sz w:val="24"/>
      <w:lang w:val="en-US" w:eastAsia="ja-JP"/>
    </w:rPr>
  </w:style>
  <w:style w:type="paragraph" w:customStyle="1" w:styleId="IEEEStdsLevel4Header">
    <w:name w:val="IEEEStds Level 4 Header"/>
    <w:basedOn w:val="IEEEStdsLevel3Header"/>
    <w:next w:val="Normal"/>
    <w:rsid w:val="00F90DE4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Normal"/>
    <w:rsid w:val="00F90DE4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Normal"/>
    <w:rsid w:val="00F90DE4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Normal"/>
    <w:rsid w:val="00F90DE4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F90DE4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F90DE4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F90DE4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F90DE4"/>
    <w:pPr>
      <w:numPr>
        <w:ilvl w:val="8"/>
      </w:numPr>
      <w:outlineLvl w:val="8"/>
    </w:pPr>
  </w:style>
  <w:style w:type="character" w:customStyle="1" w:styleId="Heading4Char">
    <w:name w:val="Heading 4 Char"/>
    <w:link w:val="Heading4"/>
    <w:rsid w:val="00F90DE4"/>
    <w:rPr>
      <w:rFonts w:ascii="Arial" w:hAnsi="Arial"/>
      <w:b/>
      <w:lang w:val="en-US" w:eastAsia="ja-JP"/>
    </w:rPr>
  </w:style>
  <w:style w:type="character" w:customStyle="1" w:styleId="Heading5Char">
    <w:name w:val="Heading 5 Char"/>
    <w:link w:val="Heading5"/>
    <w:rsid w:val="00F90DE4"/>
    <w:rPr>
      <w:rFonts w:ascii="Arial" w:hAnsi="Arial"/>
      <w:b/>
      <w:lang w:val="en-US" w:eastAsia="ja-JP"/>
    </w:rPr>
  </w:style>
  <w:style w:type="character" w:customStyle="1" w:styleId="Heading6Char">
    <w:name w:val="Heading 6 Char"/>
    <w:link w:val="Heading6"/>
    <w:rsid w:val="00F90DE4"/>
    <w:rPr>
      <w:rFonts w:ascii="Arial" w:hAnsi="Arial"/>
      <w:b/>
      <w:lang w:val="en-US" w:eastAsia="ja-JP"/>
    </w:rPr>
  </w:style>
  <w:style w:type="character" w:customStyle="1" w:styleId="Heading7Char">
    <w:name w:val="Heading 7 Char"/>
    <w:link w:val="Heading7"/>
    <w:rsid w:val="00F90DE4"/>
    <w:rPr>
      <w:rFonts w:ascii="Arial" w:hAnsi="Arial"/>
      <w:b/>
      <w:lang w:val="en-US" w:eastAsia="ja-JP"/>
    </w:rPr>
  </w:style>
  <w:style w:type="character" w:customStyle="1" w:styleId="Heading8Char">
    <w:name w:val="Heading 8 Char"/>
    <w:link w:val="Heading8"/>
    <w:rsid w:val="00F90DE4"/>
    <w:rPr>
      <w:rFonts w:ascii="Arial" w:hAnsi="Arial"/>
      <w:b/>
      <w:lang w:val="en-US" w:eastAsia="ja-JP"/>
    </w:rPr>
  </w:style>
  <w:style w:type="character" w:customStyle="1" w:styleId="Heading9Char">
    <w:name w:val="Heading 9 Char"/>
    <w:link w:val="Heading9"/>
    <w:rsid w:val="00F90DE4"/>
    <w:rPr>
      <w:rFonts w:ascii="Arial" w:hAnsi="Arial"/>
      <w:b/>
      <w:lang w:val="en-US" w:eastAsia="ja-JP"/>
    </w:rPr>
  </w:style>
  <w:style w:type="character" w:customStyle="1" w:styleId="IEEEStdsLevel1HeaderChar">
    <w:name w:val="IEEEStds Level 1 Header Char"/>
    <w:link w:val="IEEEStdsLevel1Header"/>
    <w:rsid w:val="00F90DE4"/>
    <w:rPr>
      <w:rFonts w:ascii="Arial" w:hAnsi="Arial"/>
      <w:b/>
      <w:sz w:val="24"/>
      <w:lang w:val="en-US" w:eastAsia="ja-JP"/>
    </w:rPr>
  </w:style>
  <w:style w:type="paragraph" w:customStyle="1" w:styleId="IEEEStdsTableData-Center">
    <w:name w:val="IEEEStds Table Data - Center"/>
    <w:basedOn w:val="Normal"/>
    <w:rsid w:val="00FA79C9"/>
    <w:pPr>
      <w:keepNext/>
      <w:keepLines/>
      <w:jc w:val="center"/>
    </w:pPr>
    <w:rPr>
      <w:sz w:val="18"/>
      <w:lang w:val="en-US" w:eastAsia="ja-JP"/>
    </w:rPr>
  </w:style>
  <w:style w:type="paragraph" w:styleId="Caption">
    <w:name w:val="caption"/>
    <w:basedOn w:val="Normal"/>
    <w:next w:val="Normal"/>
    <w:unhideWhenUsed/>
    <w:qFormat/>
    <w:rsid w:val="00FA79C9"/>
    <w:rPr>
      <w:b/>
      <w:bCs/>
      <w:sz w:val="20"/>
    </w:rPr>
  </w:style>
  <w:style w:type="character" w:styleId="CommentReference">
    <w:name w:val="annotation reference"/>
    <w:rsid w:val="00B81D08"/>
    <w:rPr>
      <w:sz w:val="18"/>
      <w:szCs w:val="18"/>
    </w:rPr>
  </w:style>
  <w:style w:type="paragraph" w:styleId="CommentText">
    <w:name w:val="annotation text"/>
    <w:basedOn w:val="Normal"/>
    <w:link w:val="CommentTextChar"/>
    <w:rsid w:val="00B81D08"/>
  </w:style>
  <w:style w:type="character" w:customStyle="1" w:styleId="CommentTextChar">
    <w:name w:val="Comment Text Char"/>
    <w:link w:val="CommentText"/>
    <w:rsid w:val="00B81D08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1D08"/>
    <w:rPr>
      <w:b/>
      <w:bCs/>
    </w:rPr>
  </w:style>
  <w:style w:type="character" w:customStyle="1" w:styleId="CommentSubjectChar">
    <w:name w:val="Comment Subject Char"/>
    <w:link w:val="CommentSubject"/>
    <w:rsid w:val="00B81D08"/>
    <w:rPr>
      <w:b/>
      <w:bCs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B4D73"/>
    <w:pPr>
      <w:ind w:left="720"/>
      <w:contextualSpacing/>
    </w:pPr>
  </w:style>
  <w:style w:type="paragraph" w:styleId="Revision">
    <w:name w:val="Revision"/>
    <w:hidden/>
    <w:uiPriority w:val="99"/>
    <w:semiHidden/>
    <w:rsid w:val="00F25D32"/>
    <w:rPr>
      <w:sz w:val="22"/>
      <w:lang w:val="en-GB" w:eastAsia="en-US"/>
    </w:rPr>
  </w:style>
  <w:style w:type="paragraph" w:customStyle="1" w:styleId="IEEEStdsParagraph">
    <w:name w:val="IEEEStds Paragraph"/>
    <w:link w:val="IEEEStdsParagraphChar"/>
    <w:rsid w:val="00632A26"/>
    <w:pPr>
      <w:spacing w:after="240"/>
      <w:jc w:val="both"/>
    </w:pPr>
    <w:rPr>
      <w:rFonts w:eastAsia="Times New Roman"/>
    </w:rPr>
  </w:style>
  <w:style w:type="character" w:customStyle="1" w:styleId="IEEEStdsParagraphChar">
    <w:name w:val="IEEEStds Paragraph Char"/>
    <w:link w:val="IEEEStdsParagraph"/>
    <w:rsid w:val="00632A26"/>
    <w:rPr>
      <w:rFonts w:eastAsia="Times New Roman"/>
    </w:rPr>
  </w:style>
  <w:style w:type="paragraph" w:customStyle="1" w:styleId="IEEEStdsBibliographicEntry">
    <w:name w:val="IEEEStds Bibliographic Entry"/>
    <w:basedOn w:val="IEEEStdsParagraph"/>
    <w:rsid w:val="00632A26"/>
    <w:pPr>
      <w:keepLines/>
      <w:numPr>
        <w:numId w:val="16"/>
      </w:numPr>
      <w:tabs>
        <w:tab w:val="clear" w:pos="720"/>
        <w:tab w:val="left" w:pos="540"/>
      </w:tabs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F90DE4"/>
    <w:pPr>
      <w:tabs>
        <w:tab w:val="left" w:pos="1080"/>
      </w:tabs>
      <w:suppressAutoHyphens/>
      <w:spacing w:after="240"/>
      <w:outlineLvl w:val="3"/>
    </w:pPr>
    <w:rPr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F90DE4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F90DE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90DE4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F90DE4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90D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7077F6"/>
    <w:pPr>
      <w:autoSpaceDE w:val="0"/>
      <w:autoSpaceDN w:val="0"/>
      <w:adjustRightInd w:val="0"/>
    </w:pPr>
    <w:rPr>
      <w:color w:val="000000"/>
      <w:sz w:val="24"/>
      <w:szCs w:val="24"/>
      <w:lang w:eastAsia="en-US" w:bidi="he-IL"/>
    </w:rPr>
  </w:style>
  <w:style w:type="paragraph" w:styleId="BalloonText">
    <w:name w:val="Balloon Text"/>
    <w:basedOn w:val="Normal"/>
    <w:link w:val="BalloonTextChar"/>
    <w:rsid w:val="006B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6A33"/>
    <w:rPr>
      <w:rFonts w:ascii="Segoe UI" w:hAnsi="Segoe UI" w:cs="Segoe UI"/>
      <w:sz w:val="18"/>
      <w:szCs w:val="18"/>
      <w:lang w:val="en-GB" w:bidi="ar-SA"/>
    </w:rPr>
  </w:style>
  <w:style w:type="table" w:styleId="TableGrid">
    <w:name w:val="Table Grid"/>
    <w:basedOn w:val="TableNormal"/>
    <w:rsid w:val="0054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StdsLevel1Header">
    <w:name w:val="IEEEStds Level 1 Header"/>
    <w:basedOn w:val="Normal"/>
    <w:next w:val="Normal"/>
    <w:link w:val="IEEEStdsLevel1HeaderChar"/>
    <w:rsid w:val="00F90DE4"/>
    <w:pPr>
      <w:keepNext/>
      <w:keepLines/>
      <w:numPr>
        <w:numId w:val="3"/>
      </w:numPr>
      <w:suppressAutoHyphens/>
      <w:spacing w:before="360" w:after="240"/>
      <w:outlineLvl w:val="0"/>
    </w:pPr>
    <w:rPr>
      <w:rFonts w:ascii="Arial" w:hAnsi="Arial"/>
      <w:b/>
      <w:sz w:val="24"/>
      <w:lang w:val="en-US" w:eastAsia="ja-JP"/>
    </w:rPr>
  </w:style>
  <w:style w:type="paragraph" w:customStyle="1" w:styleId="IEEEStdsLevel4Header">
    <w:name w:val="IEEEStds Level 4 Header"/>
    <w:basedOn w:val="IEEEStdsLevel3Header"/>
    <w:next w:val="Normal"/>
    <w:rsid w:val="00F90DE4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Normal"/>
    <w:rsid w:val="00F90DE4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Normal"/>
    <w:rsid w:val="00F90DE4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Normal"/>
    <w:rsid w:val="00F90DE4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F90DE4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F90DE4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F90DE4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F90DE4"/>
    <w:pPr>
      <w:numPr>
        <w:ilvl w:val="8"/>
      </w:numPr>
      <w:outlineLvl w:val="8"/>
    </w:pPr>
  </w:style>
  <w:style w:type="character" w:customStyle="1" w:styleId="Heading4Char">
    <w:name w:val="Heading 4 Char"/>
    <w:link w:val="Heading4"/>
    <w:rsid w:val="00F90DE4"/>
    <w:rPr>
      <w:rFonts w:ascii="Arial" w:hAnsi="Arial"/>
      <w:b/>
      <w:lang w:val="en-US" w:eastAsia="ja-JP"/>
    </w:rPr>
  </w:style>
  <w:style w:type="character" w:customStyle="1" w:styleId="Heading5Char">
    <w:name w:val="Heading 5 Char"/>
    <w:link w:val="Heading5"/>
    <w:rsid w:val="00F90DE4"/>
    <w:rPr>
      <w:rFonts w:ascii="Arial" w:hAnsi="Arial"/>
      <w:b/>
      <w:lang w:val="en-US" w:eastAsia="ja-JP"/>
    </w:rPr>
  </w:style>
  <w:style w:type="character" w:customStyle="1" w:styleId="Heading6Char">
    <w:name w:val="Heading 6 Char"/>
    <w:link w:val="Heading6"/>
    <w:rsid w:val="00F90DE4"/>
    <w:rPr>
      <w:rFonts w:ascii="Arial" w:hAnsi="Arial"/>
      <w:b/>
      <w:lang w:val="en-US" w:eastAsia="ja-JP"/>
    </w:rPr>
  </w:style>
  <w:style w:type="character" w:customStyle="1" w:styleId="Heading7Char">
    <w:name w:val="Heading 7 Char"/>
    <w:link w:val="Heading7"/>
    <w:rsid w:val="00F90DE4"/>
    <w:rPr>
      <w:rFonts w:ascii="Arial" w:hAnsi="Arial"/>
      <w:b/>
      <w:lang w:val="en-US" w:eastAsia="ja-JP"/>
    </w:rPr>
  </w:style>
  <w:style w:type="character" w:customStyle="1" w:styleId="Heading8Char">
    <w:name w:val="Heading 8 Char"/>
    <w:link w:val="Heading8"/>
    <w:rsid w:val="00F90DE4"/>
    <w:rPr>
      <w:rFonts w:ascii="Arial" w:hAnsi="Arial"/>
      <w:b/>
      <w:lang w:val="en-US" w:eastAsia="ja-JP"/>
    </w:rPr>
  </w:style>
  <w:style w:type="character" w:customStyle="1" w:styleId="Heading9Char">
    <w:name w:val="Heading 9 Char"/>
    <w:link w:val="Heading9"/>
    <w:rsid w:val="00F90DE4"/>
    <w:rPr>
      <w:rFonts w:ascii="Arial" w:hAnsi="Arial"/>
      <w:b/>
      <w:lang w:val="en-US" w:eastAsia="ja-JP"/>
    </w:rPr>
  </w:style>
  <w:style w:type="character" w:customStyle="1" w:styleId="IEEEStdsLevel1HeaderChar">
    <w:name w:val="IEEEStds Level 1 Header Char"/>
    <w:link w:val="IEEEStdsLevel1Header"/>
    <w:rsid w:val="00F90DE4"/>
    <w:rPr>
      <w:rFonts w:ascii="Arial" w:hAnsi="Arial"/>
      <w:b/>
      <w:sz w:val="24"/>
      <w:lang w:val="en-US" w:eastAsia="ja-JP"/>
    </w:rPr>
  </w:style>
  <w:style w:type="paragraph" w:customStyle="1" w:styleId="IEEEStdsTableData-Center">
    <w:name w:val="IEEEStds Table Data - Center"/>
    <w:basedOn w:val="Normal"/>
    <w:rsid w:val="00FA79C9"/>
    <w:pPr>
      <w:keepNext/>
      <w:keepLines/>
      <w:jc w:val="center"/>
    </w:pPr>
    <w:rPr>
      <w:sz w:val="18"/>
      <w:lang w:val="en-US" w:eastAsia="ja-JP"/>
    </w:rPr>
  </w:style>
  <w:style w:type="paragraph" w:styleId="Caption">
    <w:name w:val="caption"/>
    <w:basedOn w:val="Normal"/>
    <w:next w:val="Normal"/>
    <w:unhideWhenUsed/>
    <w:qFormat/>
    <w:rsid w:val="00FA79C9"/>
    <w:rPr>
      <w:b/>
      <w:bCs/>
      <w:sz w:val="20"/>
    </w:rPr>
  </w:style>
  <w:style w:type="character" w:styleId="CommentReference">
    <w:name w:val="annotation reference"/>
    <w:rsid w:val="00B81D08"/>
    <w:rPr>
      <w:sz w:val="18"/>
      <w:szCs w:val="18"/>
    </w:rPr>
  </w:style>
  <w:style w:type="paragraph" w:styleId="CommentText">
    <w:name w:val="annotation text"/>
    <w:basedOn w:val="Normal"/>
    <w:link w:val="CommentTextChar"/>
    <w:rsid w:val="00B81D08"/>
  </w:style>
  <w:style w:type="character" w:customStyle="1" w:styleId="CommentTextChar">
    <w:name w:val="Comment Text Char"/>
    <w:link w:val="CommentText"/>
    <w:rsid w:val="00B81D08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1D08"/>
    <w:rPr>
      <w:b/>
      <w:bCs/>
    </w:rPr>
  </w:style>
  <w:style w:type="character" w:customStyle="1" w:styleId="CommentSubjectChar">
    <w:name w:val="Comment Subject Char"/>
    <w:link w:val="CommentSubject"/>
    <w:rsid w:val="00B81D08"/>
    <w:rPr>
      <w:b/>
      <w:bCs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B4D73"/>
    <w:pPr>
      <w:ind w:left="720"/>
      <w:contextualSpacing/>
    </w:pPr>
  </w:style>
  <w:style w:type="paragraph" w:styleId="Revision">
    <w:name w:val="Revision"/>
    <w:hidden/>
    <w:uiPriority w:val="99"/>
    <w:semiHidden/>
    <w:rsid w:val="00F25D32"/>
    <w:rPr>
      <w:sz w:val="22"/>
      <w:lang w:val="en-GB" w:eastAsia="en-US"/>
    </w:rPr>
  </w:style>
  <w:style w:type="paragraph" w:customStyle="1" w:styleId="IEEEStdsParagraph">
    <w:name w:val="IEEEStds Paragraph"/>
    <w:link w:val="IEEEStdsParagraphChar"/>
    <w:rsid w:val="00632A26"/>
    <w:pPr>
      <w:spacing w:after="240"/>
      <w:jc w:val="both"/>
    </w:pPr>
    <w:rPr>
      <w:rFonts w:eastAsia="Times New Roman"/>
    </w:rPr>
  </w:style>
  <w:style w:type="character" w:customStyle="1" w:styleId="IEEEStdsParagraphChar">
    <w:name w:val="IEEEStds Paragraph Char"/>
    <w:link w:val="IEEEStdsParagraph"/>
    <w:rsid w:val="00632A26"/>
    <w:rPr>
      <w:rFonts w:eastAsia="Times New Roman"/>
    </w:rPr>
  </w:style>
  <w:style w:type="paragraph" w:customStyle="1" w:styleId="IEEEStdsBibliographicEntry">
    <w:name w:val="IEEEStds Bibliographic Entry"/>
    <w:basedOn w:val="IEEEStdsParagraph"/>
    <w:rsid w:val="00632A26"/>
    <w:pPr>
      <w:keepLines/>
      <w:numPr>
        <w:numId w:val="16"/>
      </w:numPr>
      <w:tabs>
        <w:tab w:val="clear" w:pos="720"/>
        <w:tab w:val="left" w:pos="540"/>
      </w:tabs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1682-67DE-464E-93E4-6ED2277B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Gaius Wee</dc:creator>
  <cp:keywords>December 2016</cp:keywords>
  <cp:lastModifiedBy>Yao Huang Wee,Gaius</cp:lastModifiedBy>
  <cp:revision>9</cp:revision>
  <cp:lastPrinted>1900-12-31T16:00:00Z</cp:lastPrinted>
  <dcterms:created xsi:type="dcterms:W3CDTF">2017-10-17T13:02:00Z</dcterms:created>
  <dcterms:modified xsi:type="dcterms:W3CDTF">2017-10-17T14:43:00Z</dcterms:modified>
</cp:coreProperties>
</file>