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2FBE2550" w:rsidR="00CA09B2" w:rsidRDefault="005E742E">
            <w:pPr>
              <w:pStyle w:val="T2"/>
            </w:pPr>
            <w:r>
              <w:t>Commnet Resoution I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D874AA1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AE0442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1A24BD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7BD73D8A" w14:textId="2FEE3CE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304F315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C327D2" w:rsidRDefault="00C327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841602" w14:textId="1610F23C" w:rsidR="00C327D2" w:rsidRDefault="00C327D2" w:rsidP="00A051BF">
                            <w:pPr>
                              <w:jc w:val="both"/>
                            </w:pPr>
                            <w:r>
                              <w:t xml:space="preserve">This document suggests </w:t>
                            </w:r>
                            <w:r w:rsidR="00FA1B9B">
                              <w:t>resolution for CIDs</w:t>
                            </w:r>
                            <w:r w:rsidR="00FD47C3">
                              <w:t xml:space="preserve"> 175, 176, 361, 275, 39, 359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C327D2" w:rsidRDefault="00C327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841602" w14:textId="1610F23C" w:rsidR="00C327D2" w:rsidRDefault="00C327D2" w:rsidP="00A051BF">
                      <w:pPr>
                        <w:jc w:val="both"/>
                      </w:pPr>
                      <w:r>
                        <w:t xml:space="preserve">This document suggests </w:t>
                      </w:r>
                      <w:r w:rsidR="00FA1B9B">
                        <w:t>resolution for CIDs</w:t>
                      </w:r>
                      <w:r w:rsidR="00FD47C3">
                        <w:t xml:space="preserve"> 175, 176, 361, 275, 39, 359</w:t>
                      </w:r>
                    </w:p>
                  </w:txbxContent>
                </v:textbox>
              </v:shape>
            </w:pict>
          </mc:Fallback>
        </mc:AlternateContent>
      </w:r>
    </w:p>
    <w:p w14:paraId="3C1185AD" w14:textId="77777777" w:rsidR="00C32AD8" w:rsidRDefault="00CA09B2" w:rsidP="009D6203">
      <w:r>
        <w:br w:type="page"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14"/>
        <w:gridCol w:w="1052"/>
        <w:gridCol w:w="1093"/>
        <w:gridCol w:w="686"/>
        <w:gridCol w:w="2665"/>
        <w:gridCol w:w="2652"/>
      </w:tblGrid>
      <w:tr w:rsidR="00C32AD8" w:rsidRPr="00C32AD8" w14:paraId="75CAD666" w14:textId="77777777" w:rsidTr="00C32AD8">
        <w:trPr>
          <w:trHeight w:val="2700"/>
        </w:trPr>
        <w:tc>
          <w:tcPr>
            <w:tcW w:w="600" w:type="dxa"/>
            <w:shd w:val="clear" w:color="000000" w:fill="FFC7CE"/>
            <w:hideMark/>
          </w:tcPr>
          <w:p w14:paraId="074217D7" w14:textId="77777777" w:rsidR="00C32AD8" w:rsidRPr="00C32AD8" w:rsidRDefault="00C32AD8" w:rsidP="00C32AD8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lastRenderedPageBreak/>
              <w:t>175</w:t>
            </w:r>
          </w:p>
        </w:tc>
        <w:tc>
          <w:tcPr>
            <w:tcW w:w="920" w:type="dxa"/>
            <w:shd w:val="clear" w:color="000000" w:fill="FFC7CE"/>
            <w:hideMark/>
          </w:tcPr>
          <w:p w14:paraId="0D994C5B" w14:textId="77777777" w:rsidR="00C32AD8" w:rsidRPr="00C32AD8" w:rsidRDefault="00C32AD8" w:rsidP="00C32AD8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22.00</w:t>
            </w:r>
          </w:p>
        </w:tc>
        <w:tc>
          <w:tcPr>
            <w:tcW w:w="920" w:type="dxa"/>
            <w:shd w:val="clear" w:color="000000" w:fill="FFC7CE"/>
            <w:hideMark/>
          </w:tcPr>
          <w:p w14:paraId="4D12E9D8" w14:textId="77777777" w:rsidR="00C32AD8" w:rsidRPr="00C32AD8" w:rsidRDefault="00C32AD8" w:rsidP="00C32AD8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9.4.2.130</w:t>
            </w:r>
          </w:p>
        </w:tc>
        <w:tc>
          <w:tcPr>
            <w:tcW w:w="1120" w:type="dxa"/>
            <w:shd w:val="clear" w:color="000000" w:fill="FFC7CE"/>
            <w:hideMark/>
          </w:tcPr>
          <w:p w14:paraId="69A1D271" w14:textId="77777777" w:rsidR="00C32AD8" w:rsidRPr="00C32AD8" w:rsidRDefault="00C32AD8" w:rsidP="00C32AD8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 </w:t>
            </w:r>
          </w:p>
        </w:tc>
        <w:tc>
          <w:tcPr>
            <w:tcW w:w="700" w:type="dxa"/>
            <w:shd w:val="clear" w:color="000000" w:fill="FFC7CE"/>
            <w:hideMark/>
          </w:tcPr>
          <w:p w14:paraId="00132421" w14:textId="77777777" w:rsidR="00C32AD8" w:rsidRPr="00C32AD8" w:rsidRDefault="00C32AD8" w:rsidP="00C32AD8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 </w:t>
            </w:r>
          </w:p>
        </w:tc>
        <w:tc>
          <w:tcPr>
            <w:tcW w:w="2700" w:type="dxa"/>
            <w:shd w:val="clear" w:color="000000" w:fill="FFC7CE"/>
            <w:hideMark/>
          </w:tcPr>
          <w:p w14:paraId="795DA8C0" w14:textId="77777777" w:rsidR="00C32AD8" w:rsidRPr="00C32AD8" w:rsidRDefault="00C32AD8" w:rsidP="00C32AD8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It should be specified how Nmeas is defined w.r.t. number of receive antennas. This is not a problem for measurement request but feedback may be a problem if multiple antennas receive simultaneously.</w:t>
            </w:r>
          </w:p>
        </w:tc>
        <w:tc>
          <w:tcPr>
            <w:tcW w:w="2700" w:type="dxa"/>
            <w:shd w:val="clear" w:color="000000" w:fill="FFC7CE"/>
            <w:hideMark/>
          </w:tcPr>
          <w:p w14:paraId="191FD8BF" w14:textId="77777777" w:rsidR="00C32AD8" w:rsidRPr="00C32AD8" w:rsidRDefault="00C32AD8" w:rsidP="00C32AD8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C32AD8">
              <w:rPr>
                <w:rFonts w:ascii="Calibri" w:hAnsi="Calibri"/>
                <w:color w:val="9C0006"/>
                <w:szCs w:val="22"/>
                <w:lang w:val="en-US" w:bidi="he-IL"/>
              </w:rPr>
              <w:t>as mentioned in comment</w:t>
            </w:r>
          </w:p>
        </w:tc>
      </w:tr>
    </w:tbl>
    <w:p w14:paraId="65817DFE" w14:textId="05DA1D06" w:rsidR="00C327D2" w:rsidRDefault="002479BB" w:rsidP="009D6203">
      <w:r>
        <w:t xml:space="preserve">Proposed Resolution: </w:t>
      </w:r>
      <w:r w:rsidR="000306C4">
        <w:rPr>
          <w:b/>
          <w:bCs/>
        </w:rPr>
        <w:t>Reject</w:t>
      </w:r>
    </w:p>
    <w:p w14:paraId="3EDE9E50" w14:textId="0B873D54" w:rsidR="002479BB" w:rsidRDefault="002479BB" w:rsidP="009D6203">
      <w:r>
        <w:t xml:space="preserve">In D0.5 the Nmeas is defined, when the </w:t>
      </w:r>
      <w:r w:rsidR="00EB7F9B">
        <w:t>EDMG Extended Flag field is set, as describing the number of AWV feedback IDs.  The AWV feedback ID is different, for reception in different antennas, hence the comment is resolved.</w:t>
      </w:r>
    </w:p>
    <w:p w14:paraId="5E48698D" w14:textId="4E144567" w:rsidR="00EB7F9B" w:rsidRDefault="00EB7F9B" w:rsidP="009D6203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16"/>
        <w:gridCol w:w="1052"/>
        <w:gridCol w:w="2667"/>
        <w:gridCol w:w="4840"/>
      </w:tblGrid>
      <w:tr w:rsidR="00EB7F9B" w:rsidRPr="00EB7F9B" w14:paraId="0E9E7D51" w14:textId="77777777" w:rsidTr="00EB7F9B">
        <w:trPr>
          <w:trHeight w:val="1943"/>
        </w:trPr>
        <w:tc>
          <w:tcPr>
            <w:tcW w:w="600" w:type="dxa"/>
            <w:shd w:val="clear" w:color="000000" w:fill="FFC7CE"/>
            <w:hideMark/>
          </w:tcPr>
          <w:p w14:paraId="0FFF2330" w14:textId="77777777" w:rsidR="00EB7F9B" w:rsidRPr="00EB7F9B" w:rsidRDefault="00EB7F9B" w:rsidP="00EB7F9B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176</w:t>
            </w:r>
          </w:p>
        </w:tc>
        <w:tc>
          <w:tcPr>
            <w:tcW w:w="916" w:type="dxa"/>
            <w:shd w:val="clear" w:color="000000" w:fill="FFC7CE"/>
            <w:hideMark/>
          </w:tcPr>
          <w:p w14:paraId="49F59804" w14:textId="77777777" w:rsidR="00EB7F9B" w:rsidRPr="00EB7F9B" w:rsidRDefault="00EB7F9B" w:rsidP="00EB7F9B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24.00</w:t>
            </w:r>
          </w:p>
        </w:tc>
        <w:tc>
          <w:tcPr>
            <w:tcW w:w="1052" w:type="dxa"/>
            <w:shd w:val="clear" w:color="000000" w:fill="FFC7CE"/>
            <w:hideMark/>
          </w:tcPr>
          <w:p w14:paraId="6DD5B867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9.4.2.136</w:t>
            </w:r>
          </w:p>
        </w:tc>
        <w:tc>
          <w:tcPr>
            <w:tcW w:w="2667" w:type="dxa"/>
            <w:shd w:val="clear" w:color="000000" w:fill="FFC7CE"/>
            <w:hideMark/>
          </w:tcPr>
          <w:p w14:paraId="6CA4E4F7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Only the channel from one transmit DMG antenna to one receive DMG antenna can be fed back with this element.</w:t>
            </w:r>
          </w:p>
        </w:tc>
        <w:tc>
          <w:tcPr>
            <w:tcW w:w="4840" w:type="dxa"/>
            <w:shd w:val="clear" w:color="000000" w:fill="FFC7CE"/>
            <w:hideMark/>
          </w:tcPr>
          <w:p w14:paraId="0CF0D816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It should be clarified how the channel measurement feedback element will carry the information over several receive antennas. It would be probably be the best to define a separate channel measurement element per receive antenna, in which case the amplitudes and tap delay keep their current definition.</w:t>
            </w:r>
          </w:p>
        </w:tc>
      </w:tr>
    </w:tbl>
    <w:p w14:paraId="7AB751DD" w14:textId="047FC9BD" w:rsidR="00EB7F9B" w:rsidRDefault="00EB7F9B" w:rsidP="009D6203">
      <w:pPr>
        <w:rPr>
          <w:lang w:val="en-US"/>
        </w:rPr>
      </w:pPr>
      <w:r>
        <w:rPr>
          <w:lang w:val="en-US"/>
        </w:rPr>
        <w:t xml:space="preserve">Proposed Resolution: </w:t>
      </w:r>
      <w:r w:rsidR="000306C4">
        <w:rPr>
          <w:b/>
          <w:bCs/>
          <w:lang w:val="en-US"/>
        </w:rPr>
        <w:t>Reject</w:t>
      </w:r>
    </w:p>
    <w:p w14:paraId="12DB0B41" w14:textId="75A8E1B4" w:rsidR="00EB7F9B" w:rsidRDefault="00EB7F9B" w:rsidP="009D6203">
      <w:pPr>
        <w:rPr>
          <w:lang w:val="en-US"/>
        </w:rPr>
      </w:pPr>
      <w:r>
        <w:rPr>
          <w:lang w:val="en-US"/>
        </w:rPr>
        <w:t>The channel measurements are now referenced to SISO IDs.  Each SISO ID covers a transmit antenna ID and a receive antenna id.</w:t>
      </w:r>
    </w:p>
    <w:p w14:paraId="6AE7BE62" w14:textId="34DE2DCC" w:rsidR="00EB7F9B" w:rsidRDefault="00EB7F9B" w:rsidP="009D6203">
      <w:pPr>
        <w:rPr>
          <w:lang w:val="en-US"/>
        </w:rPr>
      </w:pPr>
    </w:p>
    <w:tbl>
      <w:tblPr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916"/>
        <w:gridCol w:w="1052"/>
        <w:gridCol w:w="2670"/>
        <w:gridCol w:w="2669"/>
      </w:tblGrid>
      <w:tr w:rsidR="00EB7F9B" w:rsidRPr="00EB7F9B" w14:paraId="4E459FC8" w14:textId="77777777" w:rsidTr="00F04E97">
        <w:trPr>
          <w:trHeight w:val="1800"/>
        </w:trPr>
        <w:tc>
          <w:tcPr>
            <w:tcW w:w="599" w:type="dxa"/>
            <w:shd w:val="clear" w:color="000000" w:fill="FFC7CE"/>
            <w:hideMark/>
          </w:tcPr>
          <w:p w14:paraId="62CFC2B3" w14:textId="77777777" w:rsidR="00EB7F9B" w:rsidRPr="00EB7F9B" w:rsidRDefault="00EB7F9B" w:rsidP="00EB7F9B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359</w:t>
            </w:r>
          </w:p>
        </w:tc>
        <w:tc>
          <w:tcPr>
            <w:tcW w:w="916" w:type="dxa"/>
            <w:shd w:val="clear" w:color="000000" w:fill="FFC7CE"/>
            <w:hideMark/>
          </w:tcPr>
          <w:p w14:paraId="576D284B" w14:textId="77777777" w:rsidR="00EB7F9B" w:rsidRPr="00EB7F9B" w:rsidRDefault="00EB7F9B" w:rsidP="00EB7F9B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21.05</w:t>
            </w:r>
          </w:p>
        </w:tc>
        <w:tc>
          <w:tcPr>
            <w:tcW w:w="1052" w:type="dxa"/>
            <w:shd w:val="clear" w:color="000000" w:fill="FFC7CE"/>
            <w:hideMark/>
          </w:tcPr>
          <w:p w14:paraId="11AF98DF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9.4.2.130</w:t>
            </w:r>
          </w:p>
        </w:tc>
        <w:tc>
          <w:tcPr>
            <w:tcW w:w="2670" w:type="dxa"/>
            <w:shd w:val="clear" w:color="000000" w:fill="FFC7CE"/>
            <w:hideMark/>
          </w:tcPr>
          <w:p w14:paraId="5DEF2493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The definition of BS-FBCK in baseline needs to be reworded to include the case of BRP-TX-RX packet and the how index is defined</w:t>
            </w:r>
          </w:p>
        </w:tc>
        <w:tc>
          <w:tcPr>
            <w:tcW w:w="2669" w:type="dxa"/>
            <w:shd w:val="clear" w:color="000000" w:fill="FFC7CE"/>
            <w:hideMark/>
          </w:tcPr>
          <w:p w14:paraId="3A5AF3BE" w14:textId="77777777" w:rsidR="00EB7F9B" w:rsidRPr="00EB7F9B" w:rsidRDefault="00EB7F9B" w:rsidP="00EB7F9B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EB7F9B">
              <w:rPr>
                <w:rFonts w:ascii="Calibri" w:hAnsi="Calibri"/>
                <w:color w:val="9C0006"/>
                <w:szCs w:val="22"/>
                <w:lang w:val="en-US" w:bidi="he-IL"/>
              </w:rPr>
              <w:t>redefine BS-FBCK based on 11ay BRP packet and TRN structure</w:t>
            </w:r>
          </w:p>
        </w:tc>
      </w:tr>
    </w:tbl>
    <w:p w14:paraId="4A8FC519" w14:textId="4AE7817D" w:rsidR="00EB7F9B" w:rsidRDefault="00F04E97" w:rsidP="009D6203">
      <w:pPr>
        <w:rPr>
          <w:lang w:val="en-US"/>
        </w:rPr>
      </w:pPr>
      <w:r>
        <w:rPr>
          <w:lang w:val="en-US"/>
        </w:rPr>
        <w:t>Proposed Resolution:</w:t>
      </w:r>
      <w:r w:rsidR="00320884">
        <w:rPr>
          <w:lang w:val="en-US"/>
        </w:rPr>
        <w:t xml:space="preserve"> </w:t>
      </w:r>
      <w:r w:rsidRPr="00320884">
        <w:rPr>
          <w:b/>
          <w:bCs/>
          <w:lang w:val="en-US"/>
        </w:rPr>
        <w:t>Reject</w:t>
      </w:r>
    </w:p>
    <w:p w14:paraId="3762D9B5" w14:textId="345D2727" w:rsidR="00F04E97" w:rsidRDefault="00F04E97" w:rsidP="009D6203">
      <w:pPr>
        <w:rPr>
          <w:lang w:val="en-US"/>
        </w:rPr>
      </w:pPr>
      <w:r>
        <w:rPr>
          <w:lang w:val="en-US"/>
        </w:rPr>
        <w:t xml:space="preserve">When TX-RX packet is transmitted, a single sector FBCK is realy </w:t>
      </w:r>
      <w:r w:rsidR="00FD47C3">
        <w:rPr>
          <w:lang w:val="en-US"/>
        </w:rPr>
        <w:t>un</w:t>
      </w:r>
      <w:r>
        <w:rPr>
          <w:lang w:val="en-US"/>
        </w:rPr>
        <w:t>important as channel measurement feedback is desired.  The definition currently available for BS-FBCK (index of the best TRN-T subfield) is sufficient for this use.</w:t>
      </w:r>
    </w:p>
    <w:p w14:paraId="7729BF36" w14:textId="29647453" w:rsidR="00F04E97" w:rsidRDefault="00F04E97" w:rsidP="009D6203">
      <w:pPr>
        <w:rPr>
          <w:lang w:val="en-US"/>
        </w:rPr>
      </w:pPr>
    </w:p>
    <w:tbl>
      <w:tblPr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916"/>
        <w:gridCol w:w="1052"/>
        <w:gridCol w:w="2667"/>
        <w:gridCol w:w="2671"/>
      </w:tblGrid>
      <w:tr w:rsidR="00F04E97" w:rsidRPr="00F04E97" w14:paraId="657ADACB" w14:textId="77777777" w:rsidTr="00F04E97">
        <w:trPr>
          <w:trHeight w:val="900"/>
        </w:trPr>
        <w:tc>
          <w:tcPr>
            <w:tcW w:w="600" w:type="dxa"/>
            <w:shd w:val="clear" w:color="000000" w:fill="FFC7CE"/>
            <w:hideMark/>
          </w:tcPr>
          <w:p w14:paraId="3DEA8704" w14:textId="77777777" w:rsidR="00F04E97" w:rsidRPr="00F04E97" w:rsidRDefault="00F04E97" w:rsidP="00F04E97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F04E97">
              <w:rPr>
                <w:rFonts w:ascii="Calibri" w:hAnsi="Calibri"/>
                <w:color w:val="9C0006"/>
                <w:szCs w:val="22"/>
                <w:lang w:val="en-US" w:bidi="he-IL"/>
              </w:rPr>
              <w:t>361</w:t>
            </w:r>
          </w:p>
        </w:tc>
        <w:tc>
          <w:tcPr>
            <w:tcW w:w="916" w:type="dxa"/>
            <w:shd w:val="clear" w:color="000000" w:fill="FFC7CE"/>
            <w:hideMark/>
          </w:tcPr>
          <w:p w14:paraId="694A7C0B" w14:textId="77777777" w:rsidR="00F04E97" w:rsidRPr="00F04E97" w:rsidRDefault="00F04E97" w:rsidP="00F04E97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F04E97">
              <w:rPr>
                <w:rFonts w:ascii="Calibri" w:hAnsi="Calibri"/>
                <w:color w:val="9C0006"/>
                <w:szCs w:val="22"/>
                <w:lang w:val="en-US" w:bidi="he-IL"/>
              </w:rPr>
              <w:t>21.12</w:t>
            </w:r>
          </w:p>
        </w:tc>
        <w:tc>
          <w:tcPr>
            <w:tcW w:w="1052" w:type="dxa"/>
            <w:shd w:val="clear" w:color="000000" w:fill="FFC7CE"/>
            <w:hideMark/>
          </w:tcPr>
          <w:p w14:paraId="698598CC" w14:textId="77777777" w:rsidR="00F04E97" w:rsidRPr="00F04E97" w:rsidRDefault="00F04E97" w:rsidP="00F04E97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F04E97">
              <w:rPr>
                <w:rFonts w:ascii="Calibri" w:hAnsi="Calibri"/>
                <w:color w:val="9C0006"/>
                <w:szCs w:val="22"/>
                <w:lang w:val="en-US" w:bidi="he-IL"/>
              </w:rPr>
              <w:t>9.4.2.130</w:t>
            </w:r>
          </w:p>
        </w:tc>
        <w:tc>
          <w:tcPr>
            <w:tcW w:w="2667" w:type="dxa"/>
            <w:shd w:val="clear" w:color="000000" w:fill="FFC7CE"/>
            <w:hideMark/>
          </w:tcPr>
          <w:p w14:paraId="56AF6AF0" w14:textId="77777777" w:rsidR="00F04E97" w:rsidRPr="00F04E97" w:rsidRDefault="00F04E97" w:rsidP="00F04E97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F04E97">
              <w:rPr>
                <w:rFonts w:ascii="Calibri" w:hAnsi="Calibri"/>
                <w:color w:val="9C0006"/>
                <w:szCs w:val="22"/>
                <w:lang w:val="en-US" w:bidi="he-IL"/>
              </w:rPr>
              <w:t>The number of taps should be scaled by N_CB of the TRN subfield</w:t>
            </w:r>
          </w:p>
        </w:tc>
        <w:tc>
          <w:tcPr>
            <w:tcW w:w="2671" w:type="dxa"/>
            <w:shd w:val="clear" w:color="000000" w:fill="FFC7CE"/>
            <w:hideMark/>
          </w:tcPr>
          <w:p w14:paraId="22A66B9B" w14:textId="77777777" w:rsidR="00F04E97" w:rsidRPr="00F04E97" w:rsidRDefault="00F04E97" w:rsidP="00F04E97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F04E97">
              <w:rPr>
                <w:rFonts w:ascii="Calibri" w:hAnsi="Calibri"/>
                <w:color w:val="9C0006"/>
                <w:szCs w:val="22"/>
                <w:lang w:val="en-US" w:bidi="he-IL"/>
              </w:rPr>
              <w:t>scale the taps by BW of the packet containing the FBCK-REQ</w:t>
            </w:r>
          </w:p>
        </w:tc>
      </w:tr>
    </w:tbl>
    <w:p w14:paraId="0DCF5F3C" w14:textId="3F1314B3" w:rsidR="00F04E97" w:rsidRDefault="00F04E97" w:rsidP="009D6203">
      <w:pPr>
        <w:rPr>
          <w:lang w:val="en-US"/>
        </w:rPr>
      </w:pPr>
      <w:r>
        <w:rPr>
          <w:lang w:val="en-US"/>
        </w:rPr>
        <w:t xml:space="preserve">Proposed Resolution: </w:t>
      </w:r>
      <w:r w:rsidR="000306C4">
        <w:rPr>
          <w:b/>
          <w:bCs/>
          <w:lang w:val="en-US"/>
        </w:rPr>
        <w:t>Reject</w:t>
      </w:r>
    </w:p>
    <w:p w14:paraId="0240DFB0" w14:textId="05CCA911" w:rsidR="00F04E97" w:rsidRDefault="00F04E97" w:rsidP="009D6203">
      <w:pPr>
        <w:rPr>
          <w:lang w:val="en-US"/>
        </w:rPr>
      </w:pPr>
      <w:r>
        <w:rPr>
          <w:lang w:val="en-US"/>
        </w:rPr>
        <w:t>Already done in D0.5</w:t>
      </w:r>
    </w:p>
    <w:p w14:paraId="177E9393" w14:textId="28334C2B" w:rsidR="00320884" w:rsidRDefault="00320884" w:rsidP="009D6203">
      <w:pPr>
        <w:rPr>
          <w:lang w:val="en-US"/>
        </w:rPr>
      </w:pPr>
    </w:p>
    <w:tbl>
      <w:tblPr>
        <w:tblW w:w="7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09"/>
        <w:gridCol w:w="1164"/>
        <w:gridCol w:w="2616"/>
        <w:gridCol w:w="2627"/>
      </w:tblGrid>
      <w:tr w:rsidR="00320884" w:rsidRPr="00320884" w14:paraId="6BFB6CFE" w14:textId="77777777" w:rsidTr="00320884">
        <w:trPr>
          <w:trHeight w:val="1200"/>
        </w:trPr>
        <w:tc>
          <w:tcPr>
            <w:tcW w:w="598" w:type="dxa"/>
            <w:shd w:val="clear" w:color="auto" w:fill="auto"/>
            <w:hideMark/>
          </w:tcPr>
          <w:p w14:paraId="55162E53" w14:textId="77777777" w:rsidR="00320884" w:rsidRPr="00320884" w:rsidRDefault="00320884" w:rsidP="0032088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20884">
              <w:rPr>
                <w:rFonts w:ascii="Calibri" w:hAnsi="Calibri"/>
                <w:color w:val="000000"/>
                <w:szCs w:val="22"/>
                <w:lang w:val="en-US" w:bidi="he-IL"/>
              </w:rPr>
              <w:t>275</w:t>
            </w:r>
          </w:p>
        </w:tc>
        <w:tc>
          <w:tcPr>
            <w:tcW w:w="909" w:type="dxa"/>
            <w:shd w:val="clear" w:color="auto" w:fill="auto"/>
            <w:hideMark/>
          </w:tcPr>
          <w:p w14:paraId="4EFC0263" w14:textId="77777777" w:rsidR="00320884" w:rsidRPr="00320884" w:rsidRDefault="00320884" w:rsidP="00320884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20884">
              <w:rPr>
                <w:rFonts w:ascii="Calibri" w:hAnsi="Calibri"/>
                <w:color w:val="000000"/>
                <w:szCs w:val="22"/>
                <w:lang w:val="en-US" w:bidi="he-IL"/>
              </w:rPr>
              <w:t>57.19</w:t>
            </w:r>
          </w:p>
        </w:tc>
        <w:tc>
          <w:tcPr>
            <w:tcW w:w="1164" w:type="dxa"/>
            <w:shd w:val="clear" w:color="auto" w:fill="auto"/>
            <w:hideMark/>
          </w:tcPr>
          <w:p w14:paraId="34F480CF" w14:textId="77777777" w:rsidR="00320884" w:rsidRPr="00320884" w:rsidRDefault="00320884" w:rsidP="0032088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20884">
              <w:rPr>
                <w:rFonts w:ascii="Calibri" w:hAnsi="Calibri"/>
                <w:color w:val="000000"/>
                <w:szCs w:val="22"/>
                <w:lang w:val="en-US" w:bidi="he-IL"/>
              </w:rPr>
              <w:t>10.36.11.5</w:t>
            </w:r>
          </w:p>
        </w:tc>
        <w:tc>
          <w:tcPr>
            <w:tcW w:w="2616" w:type="dxa"/>
            <w:shd w:val="clear" w:color="auto" w:fill="auto"/>
            <w:hideMark/>
          </w:tcPr>
          <w:p w14:paraId="22EA6AE0" w14:textId="77777777" w:rsidR="00320884" w:rsidRPr="00320884" w:rsidRDefault="00320884" w:rsidP="0032088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20884">
              <w:rPr>
                <w:rFonts w:ascii="Calibri" w:hAnsi="Calibri"/>
                <w:color w:val="000000"/>
                <w:szCs w:val="22"/>
                <w:lang w:val="en-US" w:bidi="he-IL"/>
              </w:rPr>
              <w:t>Where is the energy detection in secondary channels defined ?</w:t>
            </w:r>
          </w:p>
        </w:tc>
        <w:tc>
          <w:tcPr>
            <w:tcW w:w="2627" w:type="dxa"/>
            <w:shd w:val="clear" w:color="auto" w:fill="auto"/>
            <w:hideMark/>
          </w:tcPr>
          <w:p w14:paraId="1612D829" w14:textId="77777777" w:rsidR="00320884" w:rsidRPr="00320884" w:rsidRDefault="00320884" w:rsidP="00320884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320884">
              <w:rPr>
                <w:rFonts w:ascii="Calibri" w:hAnsi="Calibri"/>
                <w:color w:val="000000"/>
                <w:szCs w:val="22"/>
                <w:lang w:val="en-US" w:bidi="he-IL"/>
              </w:rPr>
              <w:t>Define the energy dection in the secondary channels (duration and theresholds) or provide reference</w:t>
            </w:r>
          </w:p>
        </w:tc>
      </w:tr>
    </w:tbl>
    <w:p w14:paraId="52FDD51A" w14:textId="29B4BFE2" w:rsidR="00320884" w:rsidRDefault="00041DAD" w:rsidP="009D6203">
      <w:pPr>
        <w:rPr>
          <w:lang w:val="en-US"/>
        </w:rPr>
      </w:pPr>
      <w:r>
        <w:rPr>
          <w:lang w:val="en-US"/>
        </w:rPr>
        <w:t>Proposed Resolution: Revised</w:t>
      </w:r>
    </w:p>
    <w:p w14:paraId="0BFD6E0E" w14:textId="38249D54" w:rsidR="00041DAD" w:rsidRDefault="00041DAD" w:rsidP="00041DAD">
      <w:pPr>
        <w:rPr>
          <w:lang w:val="en-US"/>
        </w:rPr>
      </w:pPr>
      <w:r>
        <w:rPr>
          <w:lang w:val="en-US"/>
        </w:rPr>
        <w:t>The requested information is defined clearly in 10.22.2.12.  Clause 10.36.11.2.2 shall be deleted as it is redundant.</w:t>
      </w:r>
    </w:p>
    <w:p w14:paraId="6FB45FF4" w14:textId="56FABCA1" w:rsidR="00041DAD" w:rsidRDefault="00041DAD" w:rsidP="00041DA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TGay Editor: Remove subclause 10.36.11.2.2 from the draft</w:t>
      </w:r>
    </w:p>
    <w:p w14:paraId="6C2349FF" w14:textId="22B6051C" w:rsidR="0095244E" w:rsidRDefault="0095244E" w:rsidP="00041DAD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TGay Editor: Add the following text </w:t>
      </w:r>
      <w:r w:rsidR="00E27C9F">
        <w:rPr>
          <w:b/>
          <w:bCs/>
          <w:i/>
          <w:iCs/>
          <w:lang w:val="en-US"/>
        </w:rPr>
        <w:t>after the second paragraph of 10.22.2.12 (D5.0 P59L7)</w:t>
      </w:r>
    </w:p>
    <w:p w14:paraId="4B4FA68A" w14:textId="77777777" w:rsidR="00E27C9F" w:rsidRDefault="00E27C9F" w:rsidP="00E27C9F">
      <w:pPr>
        <w:pStyle w:val="IEEEStdsParagraph"/>
      </w:pPr>
      <w:r>
        <w:lastRenderedPageBreak/>
        <w:t>An EDMG STA shall maintain physical and virtual CS on a primary channel.</w:t>
      </w:r>
    </w:p>
    <w:p w14:paraId="3BEEC6FC" w14:textId="45F93BEB" w:rsidR="00E27C9F" w:rsidRDefault="00E27C9F" w:rsidP="00E27C9F">
      <w:pPr>
        <w:pStyle w:val="IEEEStdsParagraph"/>
        <w:rPr>
          <w:b/>
          <w:bCs/>
          <w:i/>
          <w:iCs/>
        </w:rPr>
      </w:pPr>
      <w:r>
        <w:t xml:space="preserve">To perform the </w:t>
      </w:r>
      <w:r>
        <w:t xml:space="preserve">following </w:t>
      </w:r>
      <w:r>
        <w:t>procedure</w:t>
      </w:r>
      <w:r>
        <w:t>, an</w:t>
      </w:r>
      <w:r>
        <w:t xml:space="preserve"> EDMG STA shall be capable of performing energy detection on each channel identified in the STA’s EDMG Operation element</w:t>
      </w:r>
      <w:r w:rsidR="00CB0C7E">
        <w:t xml:space="preserve"> as defined in 30.3.8.</w:t>
      </w:r>
      <w:bookmarkStart w:id="0" w:name="_GoBack"/>
      <w:bookmarkEnd w:id="0"/>
    </w:p>
    <w:p w14:paraId="50282A5D" w14:textId="3FC3F490" w:rsidR="00345B61" w:rsidRDefault="00345B61" w:rsidP="00041DAD">
      <w:pPr>
        <w:rPr>
          <w:b/>
          <w:bCs/>
          <w:i/>
          <w:iCs/>
          <w:lang w:val="en-US"/>
        </w:rPr>
      </w:pPr>
    </w:p>
    <w:tbl>
      <w:tblPr>
        <w:tblW w:w="7967" w:type="dxa"/>
        <w:tblLook w:val="04A0" w:firstRow="1" w:lastRow="0" w:firstColumn="1" w:lastColumn="0" w:noHBand="0" w:noVBand="1"/>
      </w:tblPr>
      <w:tblGrid>
        <w:gridCol w:w="594"/>
        <w:gridCol w:w="913"/>
        <w:gridCol w:w="1164"/>
        <w:gridCol w:w="2648"/>
        <w:gridCol w:w="2648"/>
      </w:tblGrid>
      <w:tr w:rsidR="00345B61" w:rsidRPr="00345B61" w14:paraId="2DA8C294" w14:textId="77777777" w:rsidTr="00345B61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14:paraId="7E0DEF41" w14:textId="77777777" w:rsidR="00345B61" w:rsidRPr="00345B61" w:rsidRDefault="00345B61" w:rsidP="00345B61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345B61">
              <w:rPr>
                <w:rFonts w:ascii="Calibri" w:hAnsi="Calibri"/>
                <w:color w:val="9C0006"/>
                <w:szCs w:val="22"/>
                <w:lang w:val="en-US" w:bidi="he-IL"/>
              </w:rPr>
              <w:t>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14:paraId="77A081D4" w14:textId="77777777" w:rsidR="00345B61" w:rsidRPr="00345B61" w:rsidRDefault="00345B61" w:rsidP="00345B61">
            <w:pPr>
              <w:jc w:val="right"/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345B61">
              <w:rPr>
                <w:rFonts w:ascii="Calibri" w:hAnsi="Calibri"/>
                <w:color w:val="9C0006"/>
                <w:szCs w:val="22"/>
                <w:lang w:val="en-US" w:bidi="he-IL"/>
              </w:rPr>
              <w:t>55.24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14:paraId="63A18D89" w14:textId="77777777" w:rsidR="00345B61" w:rsidRPr="00345B61" w:rsidRDefault="00345B61" w:rsidP="00345B61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345B61">
              <w:rPr>
                <w:rFonts w:ascii="Calibri" w:hAnsi="Calibri"/>
                <w:color w:val="9C0006"/>
                <w:szCs w:val="22"/>
                <w:lang w:val="en-US" w:bidi="he-IL"/>
              </w:rPr>
              <w:t>10.36.11.2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hideMark/>
          </w:tcPr>
          <w:p w14:paraId="378877FE" w14:textId="77777777" w:rsidR="00345B61" w:rsidRPr="00345B61" w:rsidRDefault="00345B61" w:rsidP="00345B61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345B61">
              <w:rPr>
                <w:rFonts w:ascii="Calibri" w:hAnsi="Calibri"/>
                <w:color w:val="9C0006"/>
                <w:szCs w:val="22"/>
                <w:lang w:val="en-US" w:bidi="he-IL"/>
              </w:rPr>
              <w:t>There need to be a method for the STA to inidcate to an AP its bandwidth, similar to the one used in lower bands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7CE"/>
            <w:hideMark/>
          </w:tcPr>
          <w:p w14:paraId="097020D8" w14:textId="77777777" w:rsidR="00345B61" w:rsidRPr="00345B61" w:rsidRDefault="00345B61" w:rsidP="00345B61">
            <w:pPr>
              <w:rPr>
                <w:rFonts w:ascii="Calibri" w:hAnsi="Calibri"/>
                <w:color w:val="9C0006"/>
                <w:szCs w:val="22"/>
                <w:lang w:val="en-US" w:bidi="he-IL"/>
              </w:rPr>
            </w:pPr>
            <w:r w:rsidRPr="00345B61">
              <w:rPr>
                <w:rFonts w:ascii="Calibri" w:hAnsi="Calibri"/>
                <w:color w:val="9C0006"/>
                <w:szCs w:val="22"/>
                <w:lang w:val="en-US" w:bidi="he-IL"/>
              </w:rPr>
              <w:t>Submission will be provided</w:t>
            </w:r>
          </w:p>
        </w:tc>
      </w:tr>
    </w:tbl>
    <w:p w14:paraId="0E23AC45" w14:textId="77777777" w:rsidR="00345B61" w:rsidRDefault="00345B61" w:rsidP="00041DAD">
      <w:pPr>
        <w:rPr>
          <w:b/>
          <w:bCs/>
          <w:lang w:val="en-US"/>
        </w:rPr>
      </w:pPr>
      <w:r>
        <w:rPr>
          <w:lang w:val="en-US"/>
        </w:rPr>
        <w:t xml:space="preserve">Proposed Resolution: </w:t>
      </w:r>
      <w:r>
        <w:rPr>
          <w:b/>
          <w:bCs/>
          <w:lang w:val="en-US"/>
        </w:rPr>
        <w:t>Reject</w:t>
      </w:r>
    </w:p>
    <w:p w14:paraId="5B8A01D1" w14:textId="46823CB4" w:rsidR="00345B61" w:rsidRDefault="00345B61" w:rsidP="00041DAD">
      <w:pPr>
        <w:rPr>
          <w:lang w:val="en-US"/>
        </w:rPr>
      </w:pPr>
      <w:r>
        <w:rPr>
          <w:lang w:val="en-US"/>
        </w:rPr>
        <w:t xml:space="preserve">Discussion: The fact that the Notify Channel Bandwidth frame has not been updated so support the higher bandwidths of 802.11ac means that it is not in real use.  We </w:t>
      </w:r>
      <w:r w:rsidR="00457259">
        <w:rPr>
          <w:lang w:val="en-US"/>
        </w:rPr>
        <w:t>should assume that the same will apply to the 60GHz band.</w:t>
      </w:r>
      <w:r>
        <w:rPr>
          <w:lang w:val="en-US"/>
        </w:rPr>
        <w:t xml:space="preserve"> </w:t>
      </w:r>
    </w:p>
    <w:p w14:paraId="0D5F91BF" w14:textId="5654C551" w:rsidR="005F5BFC" w:rsidRDefault="005F5BFC" w:rsidP="00041DAD">
      <w:pPr>
        <w:rPr>
          <w:lang w:val="en-US"/>
        </w:rPr>
      </w:pPr>
    </w:p>
    <w:p w14:paraId="0D22A306" w14:textId="77777777" w:rsidR="005F5BFC" w:rsidRPr="00345B61" w:rsidRDefault="005F5BFC" w:rsidP="00041DAD">
      <w:pPr>
        <w:rPr>
          <w:lang w:val="en-US"/>
        </w:rPr>
      </w:pPr>
    </w:p>
    <w:sectPr w:rsidR="005F5BFC" w:rsidRPr="00345B61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4B3E" w14:textId="77777777" w:rsidR="00E82A1A" w:rsidRDefault="00E82A1A">
      <w:r>
        <w:separator/>
      </w:r>
    </w:p>
  </w:endnote>
  <w:endnote w:type="continuationSeparator" w:id="0">
    <w:p w14:paraId="55275929" w14:textId="77777777" w:rsidR="00E82A1A" w:rsidRDefault="00E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31E35AB6" w:rsidR="00C327D2" w:rsidRDefault="00AE3ABC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327D2">
        <w:t>Submission</w:t>
      </w:r>
    </w:fldSimple>
    <w:r w:rsidR="00C327D2">
      <w:tab/>
      <w:t xml:space="preserve">page </w:t>
    </w:r>
    <w:r w:rsidR="00C327D2">
      <w:fldChar w:fldCharType="begin"/>
    </w:r>
    <w:r w:rsidR="00C327D2">
      <w:instrText xml:space="preserve">page </w:instrText>
    </w:r>
    <w:r w:rsidR="00C327D2">
      <w:fldChar w:fldCharType="separate"/>
    </w:r>
    <w:r w:rsidR="00CB0C7E">
      <w:rPr>
        <w:noProof/>
      </w:rPr>
      <w:t>3</w:t>
    </w:r>
    <w:r w:rsidR="00C327D2">
      <w:fldChar w:fldCharType="end"/>
    </w:r>
    <w:r w:rsidR="00C327D2">
      <w:tab/>
    </w:r>
    <w:fldSimple w:instr=" COMMENTS  \* MERGEFORMAT ">
      <w:r w:rsidR="00C327D2">
        <w:t xml:space="preserve">Assaf Kasher, </w:t>
      </w:r>
    </w:fldSimple>
    <w:r w:rsidR="00C327D2">
      <w:t>Qualcomm</w:t>
    </w:r>
  </w:p>
  <w:p w14:paraId="10443DCE" w14:textId="77777777" w:rsidR="00C327D2" w:rsidRDefault="00C32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95D1" w14:textId="77777777" w:rsidR="00E82A1A" w:rsidRDefault="00E82A1A">
      <w:r>
        <w:separator/>
      </w:r>
    </w:p>
  </w:footnote>
  <w:footnote w:type="continuationSeparator" w:id="0">
    <w:p w14:paraId="2EF202CA" w14:textId="77777777" w:rsidR="00E82A1A" w:rsidRDefault="00E8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18CAB537" w:rsidR="00C327D2" w:rsidRDefault="00927860" w:rsidP="0023342B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C327D2">
      <w:t xml:space="preserve"> 2017</w:t>
    </w:r>
    <w:r w:rsidR="00C327D2">
      <w:tab/>
    </w:r>
    <w:r w:rsidR="00C327D2">
      <w:tab/>
    </w:r>
    <w:fldSimple w:instr=" TITLE  \* MERGEFORMAT ">
      <w:r w:rsidR="00C327D2">
        <w:t>doc.: IEEE 802.11-17/</w:t>
      </w:r>
      <w:r>
        <w:t>1579</w:t>
      </w:r>
      <w:r w:rsidR="00C327D2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6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23294"/>
    <w:rsid w:val="000240CC"/>
    <w:rsid w:val="000306C4"/>
    <w:rsid w:val="00033815"/>
    <w:rsid w:val="00035180"/>
    <w:rsid w:val="00041DAD"/>
    <w:rsid w:val="00047EEF"/>
    <w:rsid w:val="000740A7"/>
    <w:rsid w:val="00090AFC"/>
    <w:rsid w:val="000A0B81"/>
    <w:rsid w:val="000A0D93"/>
    <w:rsid w:val="000A2C5C"/>
    <w:rsid w:val="000B0C8D"/>
    <w:rsid w:val="000B7B6E"/>
    <w:rsid w:val="000C1D25"/>
    <w:rsid w:val="000E1124"/>
    <w:rsid w:val="000F05B7"/>
    <w:rsid w:val="00110706"/>
    <w:rsid w:val="00122C87"/>
    <w:rsid w:val="00123B4E"/>
    <w:rsid w:val="00123DB1"/>
    <w:rsid w:val="001272A5"/>
    <w:rsid w:val="00134B09"/>
    <w:rsid w:val="001547FE"/>
    <w:rsid w:val="0016706C"/>
    <w:rsid w:val="00167532"/>
    <w:rsid w:val="0017068D"/>
    <w:rsid w:val="00171892"/>
    <w:rsid w:val="001812E2"/>
    <w:rsid w:val="00182B9E"/>
    <w:rsid w:val="00194584"/>
    <w:rsid w:val="001A12F7"/>
    <w:rsid w:val="001A13EF"/>
    <w:rsid w:val="001B2E1F"/>
    <w:rsid w:val="001B544B"/>
    <w:rsid w:val="001B553B"/>
    <w:rsid w:val="001C1387"/>
    <w:rsid w:val="001D06A1"/>
    <w:rsid w:val="001D723B"/>
    <w:rsid w:val="001F5D7F"/>
    <w:rsid w:val="001F7ABA"/>
    <w:rsid w:val="00212D2D"/>
    <w:rsid w:val="00213F2A"/>
    <w:rsid w:val="002276CF"/>
    <w:rsid w:val="00227DD7"/>
    <w:rsid w:val="0023342B"/>
    <w:rsid w:val="00235C08"/>
    <w:rsid w:val="00240F87"/>
    <w:rsid w:val="002479BB"/>
    <w:rsid w:val="002537A7"/>
    <w:rsid w:val="00270110"/>
    <w:rsid w:val="00277419"/>
    <w:rsid w:val="0029020B"/>
    <w:rsid w:val="002A2F98"/>
    <w:rsid w:val="002A661B"/>
    <w:rsid w:val="002B7BC3"/>
    <w:rsid w:val="002B7ED5"/>
    <w:rsid w:val="002C7151"/>
    <w:rsid w:val="002D0729"/>
    <w:rsid w:val="002D44BE"/>
    <w:rsid w:val="002F7EA7"/>
    <w:rsid w:val="003040EB"/>
    <w:rsid w:val="00320884"/>
    <w:rsid w:val="003375F0"/>
    <w:rsid w:val="00345B61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61F87"/>
    <w:rsid w:val="0046488F"/>
    <w:rsid w:val="00467361"/>
    <w:rsid w:val="00481270"/>
    <w:rsid w:val="00481577"/>
    <w:rsid w:val="004863DC"/>
    <w:rsid w:val="0049763D"/>
    <w:rsid w:val="004B064B"/>
    <w:rsid w:val="004C0029"/>
    <w:rsid w:val="004E7D6E"/>
    <w:rsid w:val="005114A4"/>
    <w:rsid w:val="00521471"/>
    <w:rsid w:val="00525DA4"/>
    <w:rsid w:val="00557812"/>
    <w:rsid w:val="00560BF8"/>
    <w:rsid w:val="00567CF7"/>
    <w:rsid w:val="0057568C"/>
    <w:rsid w:val="00584F7F"/>
    <w:rsid w:val="005876D4"/>
    <w:rsid w:val="00590EBB"/>
    <w:rsid w:val="00590FE7"/>
    <w:rsid w:val="005B3FDB"/>
    <w:rsid w:val="005B4264"/>
    <w:rsid w:val="005D11A1"/>
    <w:rsid w:val="005D1482"/>
    <w:rsid w:val="005D4518"/>
    <w:rsid w:val="005E47D8"/>
    <w:rsid w:val="005E6BBD"/>
    <w:rsid w:val="005E742E"/>
    <w:rsid w:val="005F2901"/>
    <w:rsid w:val="005F3123"/>
    <w:rsid w:val="005F542C"/>
    <w:rsid w:val="005F5BFC"/>
    <w:rsid w:val="00606E3D"/>
    <w:rsid w:val="00610328"/>
    <w:rsid w:val="00613AD4"/>
    <w:rsid w:val="0061646F"/>
    <w:rsid w:val="0062440B"/>
    <w:rsid w:val="00632ED6"/>
    <w:rsid w:val="006428E9"/>
    <w:rsid w:val="00645768"/>
    <w:rsid w:val="00665B5C"/>
    <w:rsid w:val="00666F26"/>
    <w:rsid w:val="00682D0E"/>
    <w:rsid w:val="00694EBF"/>
    <w:rsid w:val="0069654D"/>
    <w:rsid w:val="006A031A"/>
    <w:rsid w:val="006C0727"/>
    <w:rsid w:val="006C781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272B"/>
    <w:rsid w:val="00770572"/>
    <w:rsid w:val="00772633"/>
    <w:rsid w:val="00780C4E"/>
    <w:rsid w:val="007833E8"/>
    <w:rsid w:val="00785BE9"/>
    <w:rsid w:val="007925FD"/>
    <w:rsid w:val="007B0994"/>
    <w:rsid w:val="007B3AE0"/>
    <w:rsid w:val="007C1ACC"/>
    <w:rsid w:val="007C6EEB"/>
    <w:rsid w:val="007E1671"/>
    <w:rsid w:val="007E1CE9"/>
    <w:rsid w:val="007E4F70"/>
    <w:rsid w:val="00811220"/>
    <w:rsid w:val="00830450"/>
    <w:rsid w:val="00833AEA"/>
    <w:rsid w:val="00872636"/>
    <w:rsid w:val="00873CD5"/>
    <w:rsid w:val="008A655D"/>
    <w:rsid w:val="008A6DF8"/>
    <w:rsid w:val="008B2719"/>
    <w:rsid w:val="008C0EB4"/>
    <w:rsid w:val="008C3EAE"/>
    <w:rsid w:val="008C5274"/>
    <w:rsid w:val="008D602A"/>
    <w:rsid w:val="008F077B"/>
    <w:rsid w:val="008F6792"/>
    <w:rsid w:val="00905992"/>
    <w:rsid w:val="00907FF8"/>
    <w:rsid w:val="00915C32"/>
    <w:rsid w:val="00922066"/>
    <w:rsid w:val="00927860"/>
    <w:rsid w:val="009308B0"/>
    <w:rsid w:val="009419B2"/>
    <w:rsid w:val="0095244E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47EAD"/>
    <w:rsid w:val="00A85803"/>
    <w:rsid w:val="00AA427C"/>
    <w:rsid w:val="00AB41B2"/>
    <w:rsid w:val="00AB4EB6"/>
    <w:rsid w:val="00AB7504"/>
    <w:rsid w:val="00AC5CCF"/>
    <w:rsid w:val="00AC64D9"/>
    <w:rsid w:val="00AD2DAC"/>
    <w:rsid w:val="00AE0442"/>
    <w:rsid w:val="00AE3ABC"/>
    <w:rsid w:val="00AF05F5"/>
    <w:rsid w:val="00AF3336"/>
    <w:rsid w:val="00B00CF3"/>
    <w:rsid w:val="00B0316B"/>
    <w:rsid w:val="00B05F60"/>
    <w:rsid w:val="00B14F4F"/>
    <w:rsid w:val="00B15678"/>
    <w:rsid w:val="00B33043"/>
    <w:rsid w:val="00B330E6"/>
    <w:rsid w:val="00B41DB9"/>
    <w:rsid w:val="00B4204E"/>
    <w:rsid w:val="00B62722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C04B71"/>
    <w:rsid w:val="00C06EBB"/>
    <w:rsid w:val="00C13F6E"/>
    <w:rsid w:val="00C26CAF"/>
    <w:rsid w:val="00C327D2"/>
    <w:rsid w:val="00C32AD8"/>
    <w:rsid w:val="00C3692A"/>
    <w:rsid w:val="00C811E6"/>
    <w:rsid w:val="00C81F93"/>
    <w:rsid w:val="00CA09B2"/>
    <w:rsid w:val="00CA2292"/>
    <w:rsid w:val="00CB0C7E"/>
    <w:rsid w:val="00CB41FC"/>
    <w:rsid w:val="00CE30DD"/>
    <w:rsid w:val="00CF5769"/>
    <w:rsid w:val="00D030D4"/>
    <w:rsid w:val="00D04026"/>
    <w:rsid w:val="00D30DC2"/>
    <w:rsid w:val="00D34FAF"/>
    <w:rsid w:val="00D4053E"/>
    <w:rsid w:val="00D77993"/>
    <w:rsid w:val="00D87AB4"/>
    <w:rsid w:val="00D906BE"/>
    <w:rsid w:val="00D90C83"/>
    <w:rsid w:val="00D95CAF"/>
    <w:rsid w:val="00DA32A2"/>
    <w:rsid w:val="00DC5A7B"/>
    <w:rsid w:val="00DD71AC"/>
    <w:rsid w:val="00E068DD"/>
    <w:rsid w:val="00E2291A"/>
    <w:rsid w:val="00E236C1"/>
    <w:rsid w:val="00E27C9F"/>
    <w:rsid w:val="00E507AE"/>
    <w:rsid w:val="00E519E4"/>
    <w:rsid w:val="00E52177"/>
    <w:rsid w:val="00E6284C"/>
    <w:rsid w:val="00E82A1A"/>
    <w:rsid w:val="00E9223A"/>
    <w:rsid w:val="00E929C1"/>
    <w:rsid w:val="00E93892"/>
    <w:rsid w:val="00EA4538"/>
    <w:rsid w:val="00EA5521"/>
    <w:rsid w:val="00EB7F9B"/>
    <w:rsid w:val="00EC72D9"/>
    <w:rsid w:val="00ED0A73"/>
    <w:rsid w:val="00EF1149"/>
    <w:rsid w:val="00F035D9"/>
    <w:rsid w:val="00F041E9"/>
    <w:rsid w:val="00F049A1"/>
    <w:rsid w:val="00F04E97"/>
    <w:rsid w:val="00F14818"/>
    <w:rsid w:val="00F20A7C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1B9B"/>
    <w:rsid w:val="00FA330C"/>
    <w:rsid w:val="00FA49AB"/>
    <w:rsid w:val="00FB338B"/>
    <w:rsid w:val="00FB3B01"/>
    <w:rsid w:val="00FD47C3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16BEFB5E-CEED-4CA3-870D-CDAB2C0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409A-AC14-4A0E-AB44-1728FEAF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5</cp:revision>
  <dcterms:created xsi:type="dcterms:W3CDTF">2017-10-16T05:59:00Z</dcterms:created>
  <dcterms:modified xsi:type="dcterms:W3CDTF">2017-10-19T13:55:00Z</dcterms:modified>
</cp:coreProperties>
</file>