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rsidTr="00270CA9">
        <w:trPr>
          <w:trHeight w:val="485"/>
          <w:jc w:val="center"/>
        </w:trPr>
        <w:tc>
          <w:tcPr>
            <w:tcW w:w="5000" w:type="pct"/>
            <w:gridSpan w:val="5"/>
            <w:vAlign w:val="center"/>
          </w:tcPr>
          <w:p w:rsidR="006803D3" w:rsidRDefault="006803D3" w:rsidP="00270CA9">
            <w:pPr>
              <w:pStyle w:val="T2"/>
            </w:pPr>
            <w:r>
              <w:t>Resolution to 11ay related CIDs</w:t>
            </w:r>
          </w:p>
        </w:tc>
      </w:tr>
      <w:tr w:rsidR="006803D3" w:rsidTr="00270CA9">
        <w:trPr>
          <w:trHeight w:val="359"/>
          <w:jc w:val="center"/>
        </w:trPr>
        <w:tc>
          <w:tcPr>
            <w:tcW w:w="5000" w:type="pct"/>
            <w:gridSpan w:val="5"/>
            <w:vAlign w:val="center"/>
          </w:tcPr>
          <w:p w:rsidR="006803D3" w:rsidRDefault="006803D3" w:rsidP="00270CA9">
            <w:pPr>
              <w:pStyle w:val="T2"/>
              <w:ind w:left="0"/>
              <w:rPr>
                <w:sz w:val="20"/>
              </w:rPr>
            </w:pPr>
            <w:r>
              <w:rPr>
                <w:sz w:val="20"/>
              </w:rPr>
              <w:t>Date:</w:t>
            </w:r>
            <w:r>
              <w:rPr>
                <w:b w:val="0"/>
                <w:sz w:val="20"/>
              </w:rPr>
              <w:t xml:space="preserve">  2017-</w:t>
            </w:r>
            <w:r>
              <w:rPr>
                <w:rFonts w:asciiTheme="minorEastAsia" w:hAnsiTheme="minorEastAsia"/>
                <w:b w:val="0"/>
                <w:sz w:val="20"/>
                <w:lang w:eastAsia="zh-CN"/>
              </w:rPr>
              <w:t>09</w:t>
            </w:r>
            <w:r>
              <w:rPr>
                <w:b w:val="0"/>
                <w:sz w:val="20"/>
              </w:rPr>
              <w:t>-20</w:t>
            </w:r>
          </w:p>
        </w:tc>
      </w:tr>
      <w:tr w:rsidR="006803D3" w:rsidTr="00270CA9">
        <w:trPr>
          <w:cantSplit/>
          <w:jc w:val="center"/>
        </w:trPr>
        <w:tc>
          <w:tcPr>
            <w:tcW w:w="5000" w:type="pct"/>
            <w:gridSpan w:val="5"/>
            <w:vAlign w:val="center"/>
          </w:tcPr>
          <w:p w:rsidR="006803D3" w:rsidRDefault="006803D3" w:rsidP="00270CA9">
            <w:pPr>
              <w:pStyle w:val="T2"/>
              <w:spacing w:after="0"/>
              <w:ind w:left="0" w:right="0"/>
              <w:jc w:val="left"/>
              <w:rPr>
                <w:sz w:val="20"/>
              </w:rPr>
            </w:pPr>
            <w:r>
              <w:rPr>
                <w:sz w:val="20"/>
              </w:rPr>
              <w:t>Author(s):</w:t>
            </w:r>
          </w:p>
        </w:tc>
      </w:tr>
      <w:tr w:rsidR="006803D3" w:rsidTr="00270CA9">
        <w:trPr>
          <w:jc w:val="center"/>
        </w:trPr>
        <w:tc>
          <w:tcPr>
            <w:tcW w:w="782" w:type="pct"/>
            <w:vAlign w:val="center"/>
          </w:tcPr>
          <w:p w:rsidR="006803D3" w:rsidRDefault="006803D3" w:rsidP="00270CA9">
            <w:pPr>
              <w:pStyle w:val="T2"/>
              <w:spacing w:after="0"/>
              <w:ind w:left="0" w:right="0"/>
              <w:jc w:val="left"/>
              <w:rPr>
                <w:sz w:val="20"/>
              </w:rPr>
            </w:pPr>
            <w:r>
              <w:rPr>
                <w:sz w:val="20"/>
              </w:rPr>
              <w:t>Name</w:t>
            </w:r>
          </w:p>
        </w:tc>
        <w:tc>
          <w:tcPr>
            <w:tcW w:w="775" w:type="pct"/>
            <w:vAlign w:val="center"/>
          </w:tcPr>
          <w:p w:rsidR="006803D3" w:rsidRDefault="006803D3" w:rsidP="00270CA9">
            <w:pPr>
              <w:pStyle w:val="T2"/>
              <w:spacing w:after="0"/>
              <w:ind w:left="0" w:right="0"/>
              <w:jc w:val="left"/>
              <w:rPr>
                <w:sz w:val="20"/>
              </w:rPr>
            </w:pPr>
            <w:r>
              <w:rPr>
                <w:sz w:val="20"/>
              </w:rPr>
              <w:t>Company</w:t>
            </w:r>
          </w:p>
        </w:tc>
        <w:tc>
          <w:tcPr>
            <w:tcW w:w="723" w:type="pct"/>
            <w:vAlign w:val="center"/>
          </w:tcPr>
          <w:p w:rsidR="006803D3" w:rsidRDefault="006803D3" w:rsidP="00270CA9">
            <w:pPr>
              <w:pStyle w:val="T2"/>
              <w:spacing w:after="0"/>
              <w:ind w:left="0" w:right="0"/>
              <w:jc w:val="left"/>
              <w:rPr>
                <w:sz w:val="20"/>
              </w:rPr>
            </w:pPr>
            <w:r>
              <w:rPr>
                <w:sz w:val="20"/>
              </w:rPr>
              <w:t>Address</w:t>
            </w:r>
          </w:p>
        </w:tc>
        <w:tc>
          <w:tcPr>
            <w:tcW w:w="1006" w:type="pct"/>
            <w:vAlign w:val="center"/>
          </w:tcPr>
          <w:p w:rsidR="006803D3" w:rsidRDefault="006803D3" w:rsidP="00270CA9">
            <w:pPr>
              <w:pStyle w:val="T2"/>
              <w:spacing w:after="0"/>
              <w:ind w:left="0" w:right="0"/>
              <w:jc w:val="left"/>
              <w:rPr>
                <w:sz w:val="20"/>
              </w:rPr>
            </w:pPr>
            <w:r>
              <w:rPr>
                <w:sz w:val="20"/>
              </w:rPr>
              <w:t>Phone</w:t>
            </w:r>
          </w:p>
        </w:tc>
        <w:tc>
          <w:tcPr>
            <w:tcW w:w="1714" w:type="pct"/>
            <w:vAlign w:val="center"/>
          </w:tcPr>
          <w:p w:rsidR="006803D3" w:rsidRDefault="006803D3" w:rsidP="00270CA9">
            <w:pPr>
              <w:pStyle w:val="T2"/>
              <w:spacing w:after="0"/>
              <w:ind w:left="0" w:right="0"/>
              <w:jc w:val="left"/>
              <w:rPr>
                <w:sz w:val="20"/>
              </w:rPr>
            </w:pPr>
            <w:r>
              <w:rPr>
                <w:sz w:val="20"/>
              </w:rPr>
              <w:t>email</w:t>
            </w:r>
          </w:p>
        </w:tc>
      </w:tr>
      <w:tr w:rsidR="006803D3" w:rsidTr="00270CA9">
        <w:trPr>
          <w:jc w:val="center"/>
        </w:trPr>
        <w:tc>
          <w:tcPr>
            <w:tcW w:w="782" w:type="pct"/>
            <w:vAlign w:val="center"/>
          </w:tcPr>
          <w:p w:rsidR="006803D3" w:rsidRDefault="006803D3" w:rsidP="00270CA9">
            <w:pPr>
              <w:pStyle w:val="T2"/>
              <w:spacing w:after="0"/>
              <w:ind w:left="0" w:right="0"/>
              <w:rPr>
                <w:b w:val="0"/>
                <w:sz w:val="20"/>
              </w:rPr>
            </w:pPr>
            <w:r>
              <w:rPr>
                <w:b w:val="0"/>
                <w:sz w:val="20"/>
              </w:rPr>
              <w:t>Cheng Chen</w:t>
            </w:r>
          </w:p>
        </w:tc>
        <w:tc>
          <w:tcPr>
            <w:tcW w:w="775" w:type="pct"/>
            <w:vAlign w:val="center"/>
          </w:tcPr>
          <w:p w:rsidR="006803D3" w:rsidRDefault="006803D3" w:rsidP="00270CA9">
            <w:pPr>
              <w:pStyle w:val="T2"/>
              <w:spacing w:after="0"/>
              <w:ind w:left="0" w:right="0"/>
              <w:rPr>
                <w:b w:val="0"/>
                <w:sz w:val="20"/>
              </w:rPr>
            </w:pPr>
            <w:r>
              <w:rPr>
                <w:b w:val="0"/>
                <w:sz w:val="20"/>
              </w:rPr>
              <w:t>Intel</w:t>
            </w:r>
          </w:p>
        </w:tc>
        <w:tc>
          <w:tcPr>
            <w:tcW w:w="723" w:type="pct"/>
            <w:vAlign w:val="center"/>
          </w:tcPr>
          <w:p w:rsidR="006803D3" w:rsidRDefault="006803D3" w:rsidP="00270CA9">
            <w:pPr>
              <w:pStyle w:val="T2"/>
              <w:spacing w:after="0"/>
              <w:ind w:left="0" w:right="0"/>
              <w:rPr>
                <w:b w:val="0"/>
                <w:sz w:val="20"/>
              </w:rPr>
            </w:pPr>
          </w:p>
        </w:tc>
        <w:tc>
          <w:tcPr>
            <w:tcW w:w="1006" w:type="pct"/>
            <w:vAlign w:val="center"/>
          </w:tcPr>
          <w:p w:rsidR="006803D3" w:rsidRDefault="006803D3" w:rsidP="00270CA9">
            <w:pPr>
              <w:pStyle w:val="T2"/>
              <w:spacing w:after="0"/>
              <w:ind w:left="0" w:right="0"/>
              <w:rPr>
                <w:b w:val="0"/>
                <w:sz w:val="20"/>
              </w:rPr>
            </w:pPr>
          </w:p>
        </w:tc>
        <w:tc>
          <w:tcPr>
            <w:tcW w:w="1714" w:type="pct"/>
            <w:vAlign w:val="center"/>
          </w:tcPr>
          <w:p w:rsidR="006803D3" w:rsidRDefault="006803D3" w:rsidP="00270CA9">
            <w:pPr>
              <w:pStyle w:val="T2"/>
              <w:spacing w:after="0"/>
              <w:ind w:left="0" w:right="0"/>
              <w:rPr>
                <w:b w:val="0"/>
                <w:sz w:val="16"/>
              </w:rPr>
            </w:pPr>
            <w:r w:rsidRPr="00A32863">
              <w:rPr>
                <w:sz w:val="16"/>
              </w:rPr>
              <w:t>cheng.chen@intel.com</w:t>
            </w:r>
          </w:p>
        </w:tc>
      </w:tr>
    </w:tbl>
    <w:p w:rsidR="006803D3" w:rsidRDefault="006803D3" w:rsidP="006803D3">
      <w:pPr>
        <w:pStyle w:val="T1"/>
        <w:spacing w:after="120"/>
        <w:rPr>
          <w:sz w:val="22"/>
        </w:rPr>
      </w:pPr>
    </w:p>
    <w:p w:rsidR="006803D3" w:rsidRDefault="006803D3" w:rsidP="006803D3"/>
    <w:p w:rsidR="006803D3" w:rsidRDefault="006803D3" w:rsidP="006803D3"/>
    <w:p w:rsidR="006803D3" w:rsidRDefault="006803D3" w:rsidP="006803D3"/>
    <w:p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086AF860" wp14:editId="0AC725F6">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3D3" w:rsidRDefault="006803D3" w:rsidP="006803D3">
                            <w:pPr>
                              <w:pStyle w:val="T1"/>
                              <w:spacing w:after="120"/>
                            </w:pPr>
                            <w:r>
                              <w:t>Abstract</w:t>
                            </w:r>
                          </w:p>
                          <w:p w:rsidR="006803D3" w:rsidRDefault="006803D3" w:rsidP="006803D3">
                            <w:pPr>
                              <w:jc w:val="both"/>
                            </w:pPr>
                            <w:r>
                              <w:t>This submission proposes a resolution to several CIDs submitted on the 11ay draft text. These CIDs are: 110, 143, 385, and 514.</w:t>
                            </w:r>
                          </w:p>
                          <w:p w:rsidR="006803D3" w:rsidRDefault="006803D3" w:rsidP="006803D3">
                            <w:pPr>
                              <w:jc w:val="both"/>
                            </w:pPr>
                          </w:p>
                          <w:p w:rsidR="006803D3" w:rsidRDefault="006803D3" w:rsidP="006803D3">
                            <w:pPr>
                              <w:jc w:val="both"/>
                            </w:pPr>
                            <w:r>
                              <w:t>The discussion is in reference to Draft IEEE P802.11ay/D0.5.</w:t>
                            </w:r>
                          </w:p>
                          <w:p w:rsidR="006803D3" w:rsidRPr="00E24EF1" w:rsidRDefault="006803D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F86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803D3" w:rsidRDefault="006803D3" w:rsidP="006803D3">
                      <w:pPr>
                        <w:pStyle w:val="T1"/>
                        <w:spacing w:after="120"/>
                      </w:pPr>
                      <w:r>
                        <w:t>Abstract</w:t>
                      </w:r>
                    </w:p>
                    <w:p w:rsidR="006803D3" w:rsidRDefault="006803D3" w:rsidP="006803D3">
                      <w:pPr>
                        <w:jc w:val="both"/>
                      </w:pPr>
                      <w:r>
                        <w:t>This submission proposes a resolution to several CIDs submitted on the 11ay draft text. These CIDs are: 110, 143, 385, and 514.</w:t>
                      </w:r>
                    </w:p>
                    <w:p w:rsidR="006803D3" w:rsidRDefault="006803D3" w:rsidP="006803D3">
                      <w:pPr>
                        <w:jc w:val="both"/>
                      </w:pPr>
                    </w:p>
                    <w:p w:rsidR="006803D3" w:rsidRDefault="006803D3" w:rsidP="006803D3">
                      <w:pPr>
                        <w:jc w:val="both"/>
                      </w:pPr>
                      <w:r>
                        <w:t>The discussion is in reference to Draft IEEE P802.11ay/D0.5.</w:t>
                      </w:r>
                    </w:p>
                    <w:p w:rsidR="006803D3" w:rsidRPr="00E24EF1" w:rsidRDefault="006803D3" w:rsidP="006803D3">
                      <w:pPr>
                        <w:jc w:val="both"/>
                        <w:rPr>
                          <w:szCs w:val="22"/>
                        </w:rPr>
                      </w:pPr>
                    </w:p>
                  </w:txbxContent>
                </v:textbox>
              </v:shape>
            </w:pict>
          </mc:Fallback>
        </mc:AlternateContent>
      </w:r>
    </w:p>
    <w:p w:rsidR="006803D3" w:rsidRDefault="006803D3" w:rsidP="006803D3"/>
    <w:p w:rsidR="006803D3" w:rsidRDefault="006803D3" w:rsidP="006803D3"/>
    <w:p w:rsidR="006803D3" w:rsidRDefault="006803D3" w:rsidP="006803D3"/>
    <w:p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551"/>
        <w:gridCol w:w="1164"/>
        <w:gridCol w:w="3871"/>
        <w:gridCol w:w="3623"/>
      </w:tblGrid>
      <w:tr w:rsidR="006803D3" w:rsidRPr="00427EA3" w:rsidTr="00270CA9">
        <w:trPr>
          <w:trHeight w:val="558"/>
        </w:trPr>
        <w:tc>
          <w:tcPr>
            <w:tcW w:w="546" w:type="dxa"/>
          </w:tcPr>
          <w:p w:rsidR="006803D3" w:rsidRPr="00427EA3" w:rsidRDefault="006803D3" w:rsidP="00270CA9">
            <w:pPr>
              <w:rPr>
                <w:lang w:val="en-US"/>
              </w:rPr>
            </w:pPr>
            <w:r w:rsidRPr="00427EA3">
              <w:rPr>
                <w:rFonts w:hint="eastAsia"/>
                <w:lang w:val="en-US"/>
              </w:rPr>
              <w:lastRenderedPageBreak/>
              <w:t>CID</w:t>
            </w:r>
          </w:p>
        </w:tc>
        <w:tc>
          <w:tcPr>
            <w:tcW w:w="1151" w:type="dxa"/>
          </w:tcPr>
          <w:p w:rsidR="006803D3" w:rsidRPr="00427EA3" w:rsidRDefault="006803D3" w:rsidP="00270CA9">
            <w:pPr>
              <w:rPr>
                <w:lang w:val="en-US"/>
              </w:rPr>
            </w:pPr>
            <w:r w:rsidRPr="00427EA3">
              <w:rPr>
                <w:rFonts w:hint="eastAsia"/>
                <w:lang w:val="en-US"/>
              </w:rPr>
              <w:t>Clause</w:t>
            </w:r>
          </w:p>
        </w:tc>
        <w:tc>
          <w:tcPr>
            <w:tcW w:w="3880" w:type="dxa"/>
          </w:tcPr>
          <w:p w:rsidR="006803D3" w:rsidRPr="00427EA3" w:rsidRDefault="006803D3" w:rsidP="00270CA9">
            <w:pPr>
              <w:rPr>
                <w:lang w:val="en-US"/>
              </w:rPr>
            </w:pPr>
            <w:r w:rsidRPr="00427EA3">
              <w:rPr>
                <w:rFonts w:hint="eastAsia"/>
                <w:lang w:val="en-US"/>
              </w:rPr>
              <w:t>Comment</w:t>
            </w:r>
          </w:p>
        </w:tc>
        <w:tc>
          <w:tcPr>
            <w:tcW w:w="3632" w:type="dxa"/>
          </w:tcPr>
          <w:p w:rsidR="006803D3" w:rsidRPr="00427EA3" w:rsidRDefault="006803D3" w:rsidP="00270CA9">
            <w:pPr>
              <w:rPr>
                <w:lang w:val="en-US"/>
              </w:rPr>
            </w:pPr>
            <w:r w:rsidRPr="00427EA3">
              <w:rPr>
                <w:rFonts w:hint="eastAsia"/>
                <w:lang w:val="en-US"/>
              </w:rPr>
              <w:t>Proposed change</w:t>
            </w:r>
          </w:p>
        </w:tc>
      </w:tr>
      <w:tr w:rsidR="006803D3" w:rsidRPr="00D90530" w:rsidTr="00270CA9">
        <w:trPr>
          <w:trHeight w:val="841"/>
        </w:trPr>
        <w:tc>
          <w:tcPr>
            <w:tcW w:w="546" w:type="dxa"/>
          </w:tcPr>
          <w:p w:rsidR="006803D3" w:rsidRPr="003B71AE" w:rsidRDefault="006803D3" w:rsidP="00270CA9">
            <w:pPr>
              <w:rPr>
                <w:color w:val="000000" w:themeColor="text1"/>
              </w:rPr>
            </w:pPr>
            <w:r w:rsidRPr="003B71AE">
              <w:rPr>
                <w:rFonts w:hint="eastAsia"/>
                <w:color w:val="000000" w:themeColor="text1"/>
              </w:rPr>
              <w:t>1</w:t>
            </w:r>
            <w:r w:rsidRPr="003B71AE">
              <w:rPr>
                <w:color w:val="000000" w:themeColor="text1"/>
              </w:rPr>
              <w:t>10</w:t>
            </w:r>
          </w:p>
        </w:tc>
        <w:tc>
          <w:tcPr>
            <w:tcW w:w="1151" w:type="dxa"/>
          </w:tcPr>
          <w:p w:rsidR="006803D3" w:rsidRPr="003B71AE" w:rsidRDefault="006803D3" w:rsidP="00270CA9">
            <w:pPr>
              <w:rPr>
                <w:color w:val="000000" w:themeColor="text1"/>
              </w:rPr>
            </w:pPr>
            <w:r w:rsidRPr="003B71AE">
              <w:rPr>
                <w:color w:val="000000" w:themeColor="text1"/>
              </w:rPr>
              <w:t>10.36.11.3</w:t>
            </w:r>
          </w:p>
        </w:tc>
        <w:tc>
          <w:tcPr>
            <w:tcW w:w="3880" w:type="dxa"/>
          </w:tcPr>
          <w:p w:rsidR="006803D3" w:rsidRPr="003B71AE" w:rsidRDefault="006803D3" w:rsidP="00270CA9">
            <w:pPr>
              <w:rPr>
                <w:color w:val="000000" w:themeColor="text1"/>
              </w:rPr>
            </w:pPr>
            <w:r w:rsidRPr="003B71AE">
              <w:rPr>
                <w:color w:val="000000" w:themeColor="text1"/>
              </w:rPr>
              <w:t xml:space="preserve">What if the value of the Section ID and DMG Antenna ID subfields identified in the allocation do not correspond to a sector and DMG antenna reported by the STA? What is the expected </w:t>
            </w:r>
            <w:proofErr w:type="spellStart"/>
            <w:r w:rsidRPr="003B71AE">
              <w:rPr>
                <w:color w:val="000000" w:themeColor="text1"/>
              </w:rPr>
              <w:t>behavior</w:t>
            </w:r>
            <w:proofErr w:type="spellEnd"/>
            <w:r w:rsidRPr="003B71AE">
              <w:rPr>
                <w:color w:val="000000" w:themeColor="text1"/>
              </w:rPr>
              <w:t>?</w:t>
            </w:r>
          </w:p>
        </w:tc>
        <w:tc>
          <w:tcPr>
            <w:tcW w:w="3632" w:type="dxa"/>
          </w:tcPr>
          <w:p w:rsidR="006803D3" w:rsidRPr="003B71AE" w:rsidRDefault="006803D3" w:rsidP="00270CA9">
            <w:pPr>
              <w:rPr>
                <w:color w:val="000000" w:themeColor="text1"/>
              </w:rPr>
            </w:pPr>
            <w:r w:rsidRPr="003B71AE">
              <w:rPr>
                <w:color w:val="000000" w:themeColor="text1"/>
              </w:rPr>
              <w:t>Please clarify</w:t>
            </w:r>
          </w:p>
        </w:tc>
      </w:tr>
    </w:tbl>
    <w:p w:rsidR="006803D3" w:rsidRPr="007072B2" w:rsidRDefault="006803D3" w:rsidP="006803D3">
      <w:pPr>
        <w:rPr>
          <w:sz w:val="20"/>
        </w:rPr>
      </w:pPr>
    </w:p>
    <w:p w:rsidR="006803D3" w:rsidRPr="008179AB" w:rsidRDefault="006803D3" w:rsidP="006803D3">
      <w:pPr>
        <w:rPr>
          <w:szCs w:val="22"/>
          <w:lang w:eastAsia="zh-CN"/>
        </w:rPr>
      </w:pPr>
      <w:r w:rsidRPr="008179AB">
        <w:rPr>
          <w:rFonts w:hint="eastAsia"/>
          <w:b/>
          <w:szCs w:val="22"/>
          <w:lang w:eastAsia="zh-CN"/>
        </w:rPr>
        <w:t>Discus</w:t>
      </w:r>
      <w:r w:rsidRPr="008179AB">
        <w:rPr>
          <w:b/>
          <w:szCs w:val="22"/>
          <w:lang w:eastAsia="zh-CN"/>
        </w:rPr>
        <w:t>sion</w:t>
      </w:r>
      <w:r w:rsidRPr="008179AB">
        <w:rPr>
          <w:szCs w:val="22"/>
          <w:lang w:eastAsia="zh-CN"/>
        </w:rPr>
        <w:t xml:space="preserve">: </w:t>
      </w:r>
    </w:p>
    <w:p w:rsidR="006803D3" w:rsidRDefault="006803D3" w:rsidP="006803D3">
      <w:pPr>
        <w:rPr>
          <w:szCs w:val="22"/>
        </w:rPr>
      </w:pPr>
      <w:r w:rsidRPr="005A3C19">
        <w:rPr>
          <w:szCs w:val="22"/>
        </w:rPr>
        <w:t>If the value of the Sector and DMG Antenna ID subfields identified in a directional allocation do not correspond to a sector and DMG antenna reported by the STA, the chances that the STA is able to talk with the AP or PCP is very low. More</w:t>
      </w:r>
      <w:r>
        <w:rPr>
          <w:szCs w:val="22"/>
        </w:rPr>
        <w:t>over, allowing these STAs to access a directional allocation that does not correspond to a sector and DMG antenna reported by them may lead to more collisions and interfere with those STAs whose reported sector and DMG antenna correspond to the directional allocation. Considering these, this behaviour should be prohibited.</w:t>
      </w:r>
    </w:p>
    <w:p w:rsidR="006803D3" w:rsidRPr="005A3C19" w:rsidRDefault="006803D3" w:rsidP="006803D3">
      <w:pPr>
        <w:rPr>
          <w:szCs w:val="22"/>
        </w:rPr>
      </w:pPr>
    </w:p>
    <w:p w:rsidR="006803D3" w:rsidRPr="008179AB" w:rsidRDefault="006803D3" w:rsidP="006803D3">
      <w:pPr>
        <w:rPr>
          <w:szCs w:val="22"/>
        </w:rPr>
      </w:pPr>
      <w:r w:rsidRPr="008179AB">
        <w:rPr>
          <w:b/>
          <w:szCs w:val="22"/>
        </w:rPr>
        <w:t>Proposed resolution:</w:t>
      </w:r>
      <w:r w:rsidRPr="008179AB">
        <w:rPr>
          <w:szCs w:val="22"/>
        </w:rPr>
        <w:t xml:space="preserve"> Revised.</w:t>
      </w:r>
    </w:p>
    <w:p w:rsidR="006803D3" w:rsidRPr="008179AB" w:rsidRDefault="006803D3" w:rsidP="006803D3">
      <w:pPr>
        <w:rPr>
          <w:i/>
          <w:szCs w:val="22"/>
          <w:lang w:eastAsia="zh-CN"/>
        </w:rPr>
      </w:pPr>
      <w:r w:rsidRPr="008179AB">
        <w:rPr>
          <w:rFonts w:hint="eastAsia"/>
          <w:i/>
          <w:szCs w:val="22"/>
          <w:lang w:eastAsia="zh-CN"/>
        </w:rPr>
        <w:t>Change</w:t>
      </w:r>
      <w:r w:rsidRPr="008179AB">
        <w:rPr>
          <w:i/>
          <w:szCs w:val="22"/>
          <w:lang w:eastAsia="zh-CN"/>
        </w:rPr>
        <w:t xml:space="preserve"> the second paragraph in 10.36.11.3 as follows:</w:t>
      </w:r>
    </w:p>
    <w:p w:rsidR="006803D3" w:rsidRPr="008179AB" w:rsidRDefault="006803D3" w:rsidP="006803D3">
      <w:pPr>
        <w:widowControl w:val="0"/>
        <w:autoSpaceDE w:val="0"/>
        <w:autoSpaceDN w:val="0"/>
        <w:adjustRightInd w:val="0"/>
        <w:rPr>
          <w:color w:val="00B0F0"/>
          <w:szCs w:val="22"/>
          <w:u w:val="single"/>
          <w:lang w:val="en-US" w:eastAsia="zh-CN"/>
        </w:rPr>
      </w:pPr>
      <w:r w:rsidRPr="008179AB">
        <w:rPr>
          <w:szCs w:val="22"/>
          <w:lang w:val="en-US" w:eastAsia="zh-CN"/>
        </w:rPr>
        <w:t>The Sector ID and DMG Antenna ID subfields of a directional allocation shall be set to the sector and</w:t>
      </w:r>
      <w:r w:rsidRPr="008179AB">
        <w:rPr>
          <w:rFonts w:hint="eastAsia"/>
          <w:szCs w:val="22"/>
          <w:lang w:val="en-US" w:eastAsia="zh-CN"/>
        </w:rPr>
        <w:t xml:space="preserve"> </w:t>
      </w:r>
      <w:r w:rsidRPr="008179AB">
        <w:rPr>
          <w:szCs w:val="22"/>
          <w:lang w:val="en-US" w:eastAsia="zh-CN"/>
        </w:rPr>
        <w:t>DMG antenna, respectively, that the PCP or AP uses to receive frames during the entire allocation. If the</w:t>
      </w:r>
      <w:r w:rsidRPr="008179AB">
        <w:rPr>
          <w:rFonts w:hint="eastAsia"/>
          <w:szCs w:val="22"/>
          <w:lang w:val="en-US" w:eastAsia="zh-CN"/>
        </w:rPr>
        <w:t xml:space="preserve"> </w:t>
      </w:r>
      <w:r w:rsidRPr="008179AB">
        <w:rPr>
          <w:szCs w:val="22"/>
          <w:lang w:val="en-US" w:eastAsia="zh-CN"/>
        </w:rPr>
        <w:t>Destination AID field of the allocation is not the broadcast AID, the Sector ID and DMG Antenna ID subfields of the allocation shall be set to indicate the sector and DMG antenna that are to be used during the allocation for communication with the STA identified by the Destination AID field. Otherwise if the Destination AID field of the allocation is the broadcast AID, the PCP or AP may choose any antenna configuration for communication during the allocation and shall indicate the configuration through the</w:t>
      </w:r>
      <w:r w:rsidRPr="008179AB">
        <w:rPr>
          <w:rFonts w:hint="eastAsia"/>
          <w:szCs w:val="22"/>
          <w:lang w:val="en-US" w:eastAsia="zh-CN"/>
        </w:rPr>
        <w:t xml:space="preserve"> </w:t>
      </w:r>
      <w:r w:rsidRPr="008179AB">
        <w:rPr>
          <w:szCs w:val="22"/>
          <w:lang w:val="en-US" w:eastAsia="zh-CN"/>
        </w:rPr>
        <w:t xml:space="preserve">Sector ID and DMG Antenna ID subfields. A non-PCP and non-AP EDMG STA receiving such allocation shall stay awake during the allocation if the value of the Sector ID and DMG Antenna ID subfields identified in the allocation correspond to a sector and DMG antenna reported by the STA to the PCP or AP in the last beamforming feedback to the PCP or AP, respectively. </w:t>
      </w:r>
      <w:r w:rsidRPr="008179AB">
        <w:rPr>
          <w:color w:val="00B0F0"/>
          <w:szCs w:val="22"/>
          <w:u w:val="single"/>
          <w:lang w:val="en-US" w:eastAsia="zh-CN"/>
        </w:rPr>
        <w:t xml:space="preserve">If the value of the Sector ID and DMG Antenna ID subfields identified in the allocation do not correspond to a sector and DMG antenna reported by the STA to the PCP or AP in the last beamforming feedback, the non-PCP and non-AP EDMG STA </w:t>
      </w:r>
      <w:r>
        <w:rPr>
          <w:color w:val="00B0F0"/>
          <w:szCs w:val="22"/>
          <w:u w:val="single"/>
          <w:lang w:val="en-US" w:eastAsia="zh-CN"/>
        </w:rPr>
        <w:t>shall not</w:t>
      </w:r>
      <w:r w:rsidRPr="008179AB">
        <w:rPr>
          <w:color w:val="00B0F0"/>
          <w:szCs w:val="22"/>
          <w:u w:val="single"/>
          <w:lang w:val="en-US" w:eastAsia="zh-CN"/>
        </w:rPr>
        <w:t xml:space="preserve"> access the directional allocation.</w:t>
      </w:r>
    </w:p>
    <w:p w:rsidR="006803D3" w:rsidRDefault="006803D3" w:rsidP="006803D3">
      <w:pPr>
        <w:rPr>
          <w:color w:val="00B0F0"/>
          <w:u w:val="single"/>
        </w:rPr>
      </w:pPr>
    </w:p>
    <w:p w:rsidR="006803D3" w:rsidRDefault="006803D3" w:rsidP="006803D3">
      <w:pPr>
        <w:rPr>
          <w:color w:val="00B0F0"/>
          <w:u w:val="single"/>
        </w:rPr>
      </w:pPr>
    </w:p>
    <w:p w:rsidR="006803D3" w:rsidRDefault="006803D3" w:rsidP="006803D3">
      <w:pPr>
        <w:rPr>
          <w:color w:val="00B0F0"/>
          <w:u w:val="single"/>
        </w:rPr>
      </w:pPr>
    </w:p>
    <w:tbl>
      <w:tblPr>
        <w:tblStyle w:val="TableGrid"/>
        <w:tblW w:w="9209" w:type="dxa"/>
        <w:tblLook w:val="04A0" w:firstRow="1" w:lastRow="0" w:firstColumn="1" w:lastColumn="0" w:noHBand="0" w:noVBand="1"/>
      </w:tblPr>
      <w:tblGrid>
        <w:gridCol w:w="595"/>
        <w:gridCol w:w="1219"/>
        <w:gridCol w:w="3783"/>
        <w:gridCol w:w="3612"/>
      </w:tblGrid>
      <w:tr w:rsidR="006803D3" w:rsidRPr="000079B8" w:rsidTr="00270CA9">
        <w:trPr>
          <w:trHeight w:val="841"/>
        </w:trPr>
        <w:tc>
          <w:tcPr>
            <w:tcW w:w="595" w:type="dxa"/>
          </w:tcPr>
          <w:p w:rsidR="006803D3" w:rsidRPr="000079B8" w:rsidRDefault="006803D3" w:rsidP="00270CA9">
            <w:pPr>
              <w:rPr>
                <w:color w:val="000000" w:themeColor="text1"/>
              </w:rPr>
            </w:pPr>
            <w:r w:rsidRPr="000079B8">
              <w:rPr>
                <w:rFonts w:hint="eastAsia"/>
                <w:color w:val="000000" w:themeColor="text1"/>
              </w:rPr>
              <w:t>CID</w:t>
            </w:r>
          </w:p>
        </w:tc>
        <w:tc>
          <w:tcPr>
            <w:tcW w:w="1216" w:type="dxa"/>
          </w:tcPr>
          <w:p w:rsidR="006803D3" w:rsidRPr="000079B8" w:rsidRDefault="006803D3" w:rsidP="00270CA9">
            <w:pPr>
              <w:rPr>
                <w:color w:val="000000" w:themeColor="text1"/>
              </w:rPr>
            </w:pPr>
            <w:r w:rsidRPr="000079B8">
              <w:rPr>
                <w:rFonts w:hint="eastAsia"/>
                <w:color w:val="000000" w:themeColor="text1"/>
              </w:rPr>
              <w:t>Clause</w:t>
            </w:r>
          </w:p>
        </w:tc>
        <w:tc>
          <w:tcPr>
            <w:tcW w:w="3784" w:type="dxa"/>
          </w:tcPr>
          <w:p w:rsidR="006803D3" w:rsidRPr="000079B8" w:rsidRDefault="006803D3" w:rsidP="00270CA9">
            <w:pPr>
              <w:rPr>
                <w:color w:val="000000" w:themeColor="text1"/>
              </w:rPr>
            </w:pPr>
            <w:r w:rsidRPr="000079B8">
              <w:rPr>
                <w:rFonts w:hint="eastAsia"/>
                <w:color w:val="000000" w:themeColor="text1"/>
              </w:rPr>
              <w:t>Comment</w:t>
            </w:r>
          </w:p>
        </w:tc>
        <w:tc>
          <w:tcPr>
            <w:tcW w:w="3614" w:type="dxa"/>
          </w:tcPr>
          <w:p w:rsidR="006803D3" w:rsidRPr="000079B8" w:rsidRDefault="006803D3" w:rsidP="00270CA9">
            <w:pPr>
              <w:rPr>
                <w:color w:val="000000" w:themeColor="text1"/>
              </w:rPr>
            </w:pPr>
            <w:r w:rsidRPr="000079B8">
              <w:rPr>
                <w:rFonts w:hint="eastAsia"/>
                <w:color w:val="000000" w:themeColor="text1"/>
              </w:rPr>
              <w:t>Proposed change</w:t>
            </w:r>
          </w:p>
        </w:tc>
      </w:tr>
      <w:tr w:rsidR="006803D3" w:rsidRPr="008913FB" w:rsidTr="00270CA9">
        <w:trPr>
          <w:trHeight w:val="841"/>
        </w:trPr>
        <w:tc>
          <w:tcPr>
            <w:tcW w:w="595" w:type="dxa"/>
          </w:tcPr>
          <w:p w:rsidR="006803D3" w:rsidRPr="008913FB" w:rsidRDefault="006803D3" w:rsidP="00270CA9">
            <w:pPr>
              <w:rPr>
                <w:color w:val="000000" w:themeColor="text1"/>
              </w:rPr>
            </w:pPr>
            <w:r>
              <w:rPr>
                <w:color w:val="000000" w:themeColor="text1"/>
              </w:rPr>
              <w:t>143</w:t>
            </w:r>
          </w:p>
        </w:tc>
        <w:tc>
          <w:tcPr>
            <w:tcW w:w="1216" w:type="dxa"/>
          </w:tcPr>
          <w:p w:rsidR="006803D3" w:rsidRPr="008913FB" w:rsidRDefault="006803D3" w:rsidP="00270CA9">
            <w:pPr>
              <w:rPr>
                <w:color w:val="000000" w:themeColor="text1"/>
              </w:rPr>
            </w:pPr>
            <w:r w:rsidRPr="00285236">
              <w:rPr>
                <w:color w:val="000000" w:themeColor="text1"/>
              </w:rPr>
              <w:t>10.38.9.2.4</w:t>
            </w:r>
          </w:p>
        </w:tc>
        <w:tc>
          <w:tcPr>
            <w:tcW w:w="3784" w:type="dxa"/>
          </w:tcPr>
          <w:p w:rsidR="006803D3" w:rsidRPr="008913FB" w:rsidRDefault="006803D3" w:rsidP="00270CA9">
            <w:pPr>
              <w:rPr>
                <w:color w:val="000000" w:themeColor="text1"/>
              </w:rPr>
            </w:pPr>
            <w:r w:rsidRPr="00285236">
              <w:rPr>
                <w:color w:val="000000" w:themeColor="text1"/>
              </w:rPr>
              <w:t>Need to specify how groups in the EDMG Group ID Set element are maintained. What are the rules that ensure STAs have the same view and remain updated?</w:t>
            </w:r>
          </w:p>
        </w:tc>
        <w:tc>
          <w:tcPr>
            <w:tcW w:w="3614" w:type="dxa"/>
          </w:tcPr>
          <w:p w:rsidR="006803D3" w:rsidRPr="008913FB" w:rsidRDefault="006803D3" w:rsidP="00270CA9">
            <w:pPr>
              <w:rPr>
                <w:color w:val="000000" w:themeColor="text1"/>
              </w:rPr>
            </w:pPr>
            <w:r w:rsidRPr="00285236">
              <w:rPr>
                <w:color w:val="000000" w:themeColor="text1"/>
              </w:rPr>
              <w:t>As noted</w:t>
            </w:r>
          </w:p>
        </w:tc>
      </w:tr>
    </w:tbl>
    <w:p w:rsidR="006803D3" w:rsidRDefault="006803D3" w:rsidP="006803D3">
      <w:pPr>
        <w:rPr>
          <w:b/>
          <w:sz w:val="20"/>
        </w:rPr>
      </w:pPr>
    </w:p>
    <w:p w:rsidR="006803D3" w:rsidRPr="008179AB" w:rsidRDefault="006803D3" w:rsidP="006803D3">
      <w:pPr>
        <w:rPr>
          <w:szCs w:val="22"/>
          <w:lang w:val="en-US" w:eastAsia="zh-CN"/>
        </w:rPr>
      </w:pPr>
      <w:r w:rsidRPr="008179AB">
        <w:rPr>
          <w:b/>
          <w:szCs w:val="22"/>
        </w:rPr>
        <w:t>Discussion:</w:t>
      </w:r>
    </w:p>
    <w:p w:rsidR="006803D3" w:rsidRPr="008179AB" w:rsidRDefault="006803D3" w:rsidP="006803D3">
      <w:pPr>
        <w:pStyle w:val="ListParagraph"/>
        <w:numPr>
          <w:ilvl w:val="0"/>
          <w:numId w:val="5"/>
        </w:numPr>
        <w:ind w:firstLineChars="0"/>
        <w:rPr>
          <w:rFonts w:eastAsiaTheme="minorEastAsia"/>
          <w:szCs w:val="22"/>
          <w:lang w:val="en-US" w:eastAsia="zh-CN"/>
        </w:rPr>
      </w:pPr>
      <w:r w:rsidRPr="008179AB">
        <w:rPr>
          <w:rFonts w:eastAsiaTheme="minorEastAsia"/>
          <w:szCs w:val="22"/>
          <w:lang w:val="en-US" w:eastAsia="zh-CN"/>
        </w:rPr>
        <w:t>In the September IEEE meeting, the contribution “11-17-1184-02-00ay-mu-mimo-bf-selection” passed the motion. In that proposal, after MU-MIMO beamforming is done, the AP or PCP will transmit a -MIMO BF Selection frame to all STAs in the MU group and it includes several MU-MIMO transmission configurations, each of which is associated with a subset of the STAs in the MU group corresponding to a specific MU-MIMO transition pattern.</w:t>
      </w:r>
    </w:p>
    <w:p w:rsidR="006803D3" w:rsidRPr="008179AB" w:rsidRDefault="006803D3" w:rsidP="006803D3">
      <w:pPr>
        <w:pStyle w:val="ListParagraph"/>
        <w:numPr>
          <w:ilvl w:val="0"/>
          <w:numId w:val="5"/>
        </w:numPr>
        <w:ind w:firstLineChars="0"/>
        <w:rPr>
          <w:rFonts w:eastAsiaTheme="minorEastAsia"/>
          <w:szCs w:val="22"/>
          <w:lang w:val="en-US" w:eastAsia="zh-CN"/>
        </w:rPr>
      </w:pPr>
      <w:r w:rsidRPr="008179AB">
        <w:rPr>
          <w:rFonts w:eastAsiaTheme="minorEastAsia"/>
          <w:szCs w:val="22"/>
          <w:lang w:val="en-US" w:eastAsia="zh-CN"/>
        </w:rPr>
        <w:lastRenderedPageBreak/>
        <w:t>If the AP or PCP needs to change the MU group corresponding to an existing EDMG Group ID, the AP or PCP can update the EDMG Group ID in Beacon frame, but some STAs may miss the Beacon frame and therefore lose track of the update. As a result, it is better that the AP or PCP sends an announce frame to each of the STAs that will be affected by such change.</w:t>
      </w:r>
    </w:p>
    <w:p w:rsidR="006803D3" w:rsidRPr="008179AB" w:rsidRDefault="006803D3" w:rsidP="006803D3">
      <w:pPr>
        <w:rPr>
          <w:szCs w:val="22"/>
          <w:lang w:val="en-US" w:eastAsia="zh-CN"/>
        </w:rPr>
      </w:pPr>
    </w:p>
    <w:p w:rsidR="006803D3" w:rsidRPr="008179AB" w:rsidRDefault="006803D3" w:rsidP="006803D3">
      <w:pPr>
        <w:rPr>
          <w:szCs w:val="22"/>
          <w:lang w:val="en-US" w:eastAsia="zh-CN"/>
        </w:rPr>
      </w:pPr>
      <w:r w:rsidRPr="007E7855">
        <w:rPr>
          <w:b/>
          <w:szCs w:val="22"/>
          <w:lang w:val="en-US" w:eastAsia="zh-CN"/>
        </w:rPr>
        <w:t>Proposed resolution:</w:t>
      </w:r>
      <w:r w:rsidRPr="008179AB">
        <w:rPr>
          <w:szCs w:val="22"/>
          <w:lang w:val="en-US" w:eastAsia="zh-CN"/>
        </w:rPr>
        <w:t xml:space="preserve"> Revised</w:t>
      </w:r>
    </w:p>
    <w:p w:rsidR="006803D3" w:rsidRPr="008179AB" w:rsidRDefault="006803D3" w:rsidP="006803D3">
      <w:pPr>
        <w:rPr>
          <w:i/>
          <w:szCs w:val="22"/>
          <w:lang w:val="en-US" w:eastAsia="zh-CN"/>
        </w:rPr>
      </w:pPr>
      <w:r w:rsidRPr="008179AB">
        <w:rPr>
          <w:i/>
          <w:szCs w:val="22"/>
          <w:lang w:val="en-US" w:eastAsia="zh-CN"/>
        </w:rPr>
        <w:t xml:space="preserve">Change the </w:t>
      </w:r>
      <w:r>
        <w:rPr>
          <w:i/>
          <w:szCs w:val="22"/>
          <w:lang w:val="en-US" w:eastAsia="zh-CN"/>
        </w:rPr>
        <w:t>3</w:t>
      </w:r>
      <w:r w:rsidRPr="005A3C19">
        <w:rPr>
          <w:i/>
          <w:szCs w:val="22"/>
          <w:vertAlign w:val="superscript"/>
          <w:lang w:val="en-US" w:eastAsia="zh-CN"/>
        </w:rPr>
        <w:t>rd</w:t>
      </w:r>
      <w:r>
        <w:rPr>
          <w:i/>
          <w:szCs w:val="22"/>
          <w:lang w:val="en-US" w:eastAsia="zh-CN"/>
        </w:rPr>
        <w:t xml:space="preserve"> par</w:t>
      </w:r>
      <w:r w:rsidRPr="008179AB">
        <w:rPr>
          <w:i/>
          <w:szCs w:val="22"/>
          <w:lang w:val="en-US" w:eastAsia="zh-CN"/>
        </w:rPr>
        <w:t xml:space="preserve">agraph in </w:t>
      </w:r>
      <w:r>
        <w:rPr>
          <w:i/>
          <w:szCs w:val="22"/>
          <w:lang w:val="en-US" w:eastAsia="zh-CN"/>
        </w:rPr>
        <w:t>10.38.9.2.4.1</w:t>
      </w:r>
      <w:r w:rsidRPr="008179AB">
        <w:rPr>
          <w:i/>
          <w:szCs w:val="22"/>
          <w:lang w:val="en-US" w:eastAsia="zh-CN"/>
        </w:rPr>
        <w:t xml:space="preserve"> as follows:</w:t>
      </w:r>
    </w:p>
    <w:p w:rsidR="006803D3" w:rsidRPr="005A3C19" w:rsidRDefault="006803D3" w:rsidP="006803D3">
      <w:pPr>
        <w:widowControl w:val="0"/>
        <w:autoSpaceDE w:val="0"/>
        <w:autoSpaceDN w:val="0"/>
        <w:adjustRightInd w:val="0"/>
        <w:rPr>
          <w:color w:val="00B0F0"/>
          <w:szCs w:val="22"/>
          <w:lang w:val="en-US" w:eastAsia="zh-CN"/>
        </w:rPr>
      </w:pPr>
      <w:r w:rsidRPr="005A3C19">
        <w:rPr>
          <w:szCs w:val="22"/>
          <w:lang w:val="en-US" w:eastAsia="zh-CN"/>
        </w:rPr>
        <w:t>The execution of the MU-MIMO beamforming protocol uses the EDMG Group I</w:t>
      </w:r>
      <w:r>
        <w:rPr>
          <w:szCs w:val="22"/>
          <w:lang w:val="en-US" w:eastAsia="zh-CN"/>
        </w:rPr>
        <w:t xml:space="preserve">D Set element transmitted </w:t>
      </w:r>
      <w:r w:rsidRPr="005A3C19">
        <w:rPr>
          <w:szCs w:val="22"/>
          <w:lang w:val="en-US" w:eastAsia="zh-CN"/>
        </w:rPr>
        <w:t>by the AP or PCP of the BSS. The AP or PCP shall transmit an EDM</w:t>
      </w:r>
      <w:r>
        <w:rPr>
          <w:szCs w:val="22"/>
          <w:lang w:val="en-US" w:eastAsia="zh-CN"/>
        </w:rPr>
        <w:t xml:space="preserve">G Group ID Set element prior to </w:t>
      </w:r>
      <w:r w:rsidRPr="005A3C19">
        <w:rPr>
          <w:szCs w:val="22"/>
          <w:lang w:val="en-US" w:eastAsia="zh-CN"/>
        </w:rPr>
        <w:t>performing MU-MIMO beamforming protocol. The EDMG Group ID Set ele</w:t>
      </w:r>
      <w:r>
        <w:rPr>
          <w:szCs w:val="22"/>
          <w:lang w:val="en-US" w:eastAsia="zh-CN"/>
        </w:rPr>
        <w:t>ment shall include all existent</w:t>
      </w:r>
      <w:r>
        <w:rPr>
          <w:rFonts w:hint="eastAsia"/>
          <w:szCs w:val="22"/>
          <w:lang w:val="en-US" w:eastAsia="zh-CN"/>
        </w:rPr>
        <w:t xml:space="preserve"> </w:t>
      </w:r>
      <w:r w:rsidRPr="005A3C19">
        <w:rPr>
          <w:szCs w:val="22"/>
          <w:lang w:val="en-US" w:eastAsia="zh-CN"/>
        </w:rPr>
        <w:t>groups in a BSS. A MU-MIMO capable EDMG STA shall store the g</w:t>
      </w:r>
      <w:r>
        <w:rPr>
          <w:szCs w:val="22"/>
          <w:lang w:val="en-US" w:eastAsia="zh-CN"/>
        </w:rPr>
        <w:t>roups in the last received EDMG</w:t>
      </w:r>
      <w:r>
        <w:rPr>
          <w:rFonts w:hint="eastAsia"/>
          <w:szCs w:val="22"/>
          <w:lang w:val="en-US" w:eastAsia="zh-CN"/>
        </w:rPr>
        <w:t xml:space="preserve"> </w:t>
      </w:r>
      <w:r w:rsidRPr="005A3C19">
        <w:rPr>
          <w:szCs w:val="22"/>
          <w:lang w:val="en-US" w:eastAsia="zh-CN"/>
        </w:rPr>
        <w:t>Group ID Set element transmitted by the AP or PCP.</w:t>
      </w:r>
      <w:r w:rsidRPr="005A3C19">
        <w:rPr>
          <w:color w:val="00B0F0"/>
          <w:szCs w:val="22"/>
          <w:u w:val="single"/>
          <w:lang w:val="en-US" w:eastAsia="zh-CN"/>
        </w:rPr>
        <w:t xml:space="preserve"> If an AP or PCP needs to change the STAs in an MU group associated with an existing EDMG group ID, it shall send an announce frame to each of the STAs that will be affected by the change to notify the update.</w:t>
      </w:r>
    </w:p>
    <w:p w:rsidR="006803D3" w:rsidRPr="00285236" w:rsidRDefault="006803D3" w:rsidP="006803D3">
      <w:pPr>
        <w:rPr>
          <w:color w:val="00B0F0"/>
          <w:u w:val="single"/>
          <w:lang w:val="en-US" w:eastAsia="zh-CN"/>
        </w:rPr>
      </w:pPr>
    </w:p>
    <w:p w:rsidR="006803D3" w:rsidRDefault="006803D3" w:rsidP="006803D3">
      <w:pPr>
        <w:rPr>
          <w:color w:val="00B0F0"/>
          <w:u w:val="single"/>
        </w:rPr>
      </w:pPr>
    </w:p>
    <w:p w:rsidR="006803D3" w:rsidRDefault="006803D3" w:rsidP="006803D3">
      <w:pPr>
        <w:rPr>
          <w:color w:val="00B0F0"/>
          <w:u w:val="single"/>
        </w:rPr>
      </w:pPr>
    </w:p>
    <w:tbl>
      <w:tblPr>
        <w:tblStyle w:val="TableGrid"/>
        <w:tblW w:w="9209" w:type="dxa"/>
        <w:tblLook w:val="04A0" w:firstRow="1" w:lastRow="0" w:firstColumn="1" w:lastColumn="0" w:noHBand="0" w:noVBand="1"/>
      </w:tblPr>
      <w:tblGrid>
        <w:gridCol w:w="551"/>
        <w:gridCol w:w="1219"/>
        <w:gridCol w:w="3805"/>
        <w:gridCol w:w="3634"/>
      </w:tblGrid>
      <w:tr w:rsidR="006803D3" w:rsidRPr="000079B8" w:rsidTr="00270CA9">
        <w:trPr>
          <w:trHeight w:val="841"/>
        </w:trPr>
        <w:tc>
          <w:tcPr>
            <w:tcW w:w="551" w:type="dxa"/>
          </w:tcPr>
          <w:p w:rsidR="006803D3" w:rsidRPr="000079B8" w:rsidRDefault="006803D3" w:rsidP="00270CA9">
            <w:pPr>
              <w:rPr>
                <w:color w:val="000000" w:themeColor="text1"/>
              </w:rPr>
            </w:pPr>
            <w:r w:rsidRPr="000079B8">
              <w:rPr>
                <w:rFonts w:hint="eastAsia"/>
                <w:color w:val="000000" w:themeColor="text1"/>
              </w:rPr>
              <w:t>CID</w:t>
            </w:r>
          </w:p>
        </w:tc>
        <w:tc>
          <w:tcPr>
            <w:tcW w:w="1219" w:type="dxa"/>
          </w:tcPr>
          <w:p w:rsidR="006803D3" w:rsidRPr="000079B8" w:rsidRDefault="006803D3" w:rsidP="00270CA9">
            <w:pPr>
              <w:rPr>
                <w:color w:val="000000" w:themeColor="text1"/>
              </w:rPr>
            </w:pPr>
            <w:r w:rsidRPr="000079B8">
              <w:rPr>
                <w:rFonts w:hint="eastAsia"/>
                <w:color w:val="000000" w:themeColor="text1"/>
              </w:rPr>
              <w:t>Clause</w:t>
            </w:r>
          </w:p>
        </w:tc>
        <w:tc>
          <w:tcPr>
            <w:tcW w:w="3805" w:type="dxa"/>
          </w:tcPr>
          <w:p w:rsidR="006803D3" w:rsidRPr="000079B8" w:rsidRDefault="006803D3" w:rsidP="00270CA9">
            <w:pPr>
              <w:rPr>
                <w:color w:val="000000" w:themeColor="text1"/>
              </w:rPr>
            </w:pPr>
            <w:r w:rsidRPr="000079B8">
              <w:rPr>
                <w:rFonts w:hint="eastAsia"/>
                <w:color w:val="000000" w:themeColor="text1"/>
              </w:rPr>
              <w:t>Comment</w:t>
            </w:r>
          </w:p>
        </w:tc>
        <w:tc>
          <w:tcPr>
            <w:tcW w:w="3634" w:type="dxa"/>
          </w:tcPr>
          <w:p w:rsidR="006803D3" w:rsidRPr="000079B8" w:rsidRDefault="006803D3" w:rsidP="00270CA9">
            <w:pPr>
              <w:rPr>
                <w:color w:val="000000" w:themeColor="text1"/>
              </w:rPr>
            </w:pPr>
            <w:r w:rsidRPr="000079B8">
              <w:rPr>
                <w:rFonts w:hint="eastAsia"/>
                <w:color w:val="000000" w:themeColor="text1"/>
              </w:rPr>
              <w:t>Proposed change</w:t>
            </w:r>
          </w:p>
        </w:tc>
      </w:tr>
      <w:tr w:rsidR="006803D3" w:rsidRPr="00D512A7" w:rsidTr="00270CA9">
        <w:trPr>
          <w:trHeight w:val="841"/>
        </w:trPr>
        <w:tc>
          <w:tcPr>
            <w:tcW w:w="551" w:type="dxa"/>
          </w:tcPr>
          <w:p w:rsidR="006803D3" w:rsidRPr="008913FB" w:rsidRDefault="006803D3" w:rsidP="00270CA9">
            <w:pPr>
              <w:rPr>
                <w:color w:val="000000" w:themeColor="text1"/>
              </w:rPr>
            </w:pPr>
            <w:r w:rsidRPr="008913FB">
              <w:rPr>
                <w:rFonts w:hint="eastAsia"/>
                <w:color w:val="000000" w:themeColor="text1"/>
              </w:rPr>
              <w:t>385</w:t>
            </w:r>
          </w:p>
        </w:tc>
        <w:tc>
          <w:tcPr>
            <w:tcW w:w="1219" w:type="dxa"/>
          </w:tcPr>
          <w:p w:rsidR="006803D3" w:rsidRPr="008913FB" w:rsidRDefault="006803D3" w:rsidP="00270CA9">
            <w:pPr>
              <w:rPr>
                <w:color w:val="000000" w:themeColor="text1"/>
              </w:rPr>
            </w:pPr>
            <w:r w:rsidRPr="008913FB">
              <w:rPr>
                <w:color w:val="000000" w:themeColor="text1"/>
              </w:rPr>
              <w:t>10.36.11.4</w:t>
            </w:r>
          </w:p>
        </w:tc>
        <w:tc>
          <w:tcPr>
            <w:tcW w:w="3805" w:type="dxa"/>
          </w:tcPr>
          <w:p w:rsidR="006803D3" w:rsidRPr="008913FB" w:rsidRDefault="006803D3" w:rsidP="00270CA9">
            <w:pPr>
              <w:rPr>
                <w:color w:val="000000" w:themeColor="text1"/>
              </w:rPr>
            </w:pPr>
            <w:r w:rsidRPr="008913FB">
              <w:rPr>
                <w:color w:val="000000" w:themeColor="text1"/>
              </w:rPr>
              <w:t>How does a STA know it is an intended receiver of a CTS-to -self?</w:t>
            </w:r>
          </w:p>
        </w:tc>
        <w:tc>
          <w:tcPr>
            <w:tcW w:w="3634" w:type="dxa"/>
          </w:tcPr>
          <w:p w:rsidR="006803D3" w:rsidRPr="008913FB" w:rsidRDefault="006803D3" w:rsidP="00270CA9">
            <w:pPr>
              <w:rPr>
                <w:color w:val="000000" w:themeColor="text1"/>
              </w:rPr>
            </w:pPr>
            <w:r w:rsidRPr="008913FB">
              <w:rPr>
                <w:color w:val="000000" w:themeColor="text1"/>
              </w:rPr>
              <w:t>add AIDs in control trailer of CTS to self or RTS if SU/MU MIMO bit in control trailer indicates MU</w:t>
            </w:r>
          </w:p>
        </w:tc>
      </w:tr>
    </w:tbl>
    <w:p w:rsidR="006803D3" w:rsidRDefault="006803D3" w:rsidP="006803D3">
      <w:pPr>
        <w:rPr>
          <w:sz w:val="20"/>
          <w:lang w:val="en-US" w:eastAsia="zh-CN"/>
        </w:rPr>
      </w:pPr>
    </w:p>
    <w:p w:rsidR="006803D3" w:rsidRPr="008179AB" w:rsidRDefault="006803D3" w:rsidP="006803D3">
      <w:pPr>
        <w:rPr>
          <w:szCs w:val="22"/>
          <w:lang w:val="en-US" w:eastAsia="zh-CN"/>
        </w:rPr>
      </w:pPr>
      <w:r w:rsidRPr="008179AB">
        <w:rPr>
          <w:b/>
          <w:szCs w:val="22"/>
        </w:rPr>
        <w:t>Discussion:</w:t>
      </w:r>
    </w:p>
    <w:p w:rsidR="006803D3" w:rsidRPr="008179AB" w:rsidRDefault="006803D3" w:rsidP="006803D3">
      <w:pPr>
        <w:rPr>
          <w:szCs w:val="22"/>
          <w:lang w:val="en-US" w:eastAsia="zh-CN"/>
        </w:rPr>
      </w:pPr>
      <w:r w:rsidRPr="008179AB">
        <w:rPr>
          <w:szCs w:val="22"/>
          <w:lang w:val="en-US" w:eastAsia="zh-CN"/>
        </w:rPr>
        <w:t>In the September IEEE meeting, the contribution “11-17-1184-02-00ay-mu-mimo-bf-selection” passed the motion. In that proposal, EDMG Group ID is included in the contrail trailer when CT_TYPE is GRANT_RTS_CTS2self. As a result, STAs in the MU group will know they are intended receivers of a CTS-to-self.</w:t>
      </w:r>
    </w:p>
    <w:p w:rsidR="006803D3" w:rsidRPr="008179AB" w:rsidRDefault="006803D3" w:rsidP="006803D3">
      <w:pPr>
        <w:rPr>
          <w:szCs w:val="22"/>
          <w:lang w:val="en-US" w:eastAsia="zh-CN"/>
        </w:rPr>
      </w:pPr>
    </w:p>
    <w:p w:rsidR="006803D3" w:rsidRPr="008179AB" w:rsidRDefault="006803D3" w:rsidP="006803D3">
      <w:pPr>
        <w:rPr>
          <w:szCs w:val="22"/>
        </w:rPr>
      </w:pPr>
      <w:r w:rsidRPr="008179AB">
        <w:rPr>
          <w:b/>
          <w:szCs w:val="22"/>
        </w:rPr>
        <w:t>Proposed resolution:</w:t>
      </w:r>
      <w:r w:rsidRPr="008179AB">
        <w:rPr>
          <w:szCs w:val="22"/>
        </w:rPr>
        <w:t xml:space="preserve"> Rejected.</w:t>
      </w:r>
    </w:p>
    <w:p w:rsidR="006803D3" w:rsidRPr="00085B72" w:rsidRDefault="006803D3" w:rsidP="006803D3">
      <w:pPr>
        <w:rPr>
          <w:color w:val="00B0F0"/>
          <w:u w:val="single"/>
        </w:rPr>
      </w:pPr>
    </w:p>
    <w:p w:rsidR="006803D3" w:rsidRDefault="006803D3" w:rsidP="006803D3"/>
    <w:p w:rsidR="006803D3" w:rsidRDefault="006803D3" w:rsidP="006803D3"/>
    <w:tbl>
      <w:tblPr>
        <w:tblStyle w:val="TableGrid"/>
        <w:tblW w:w="9209" w:type="dxa"/>
        <w:tblLook w:val="04A0" w:firstRow="1" w:lastRow="0" w:firstColumn="1" w:lastColumn="0" w:noHBand="0" w:noVBand="1"/>
      </w:tblPr>
      <w:tblGrid>
        <w:gridCol w:w="551"/>
        <w:gridCol w:w="1219"/>
        <w:gridCol w:w="3808"/>
        <w:gridCol w:w="3631"/>
      </w:tblGrid>
      <w:tr w:rsidR="006803D3" w:rsidRPr="002D5ED2" w:rsidTr="00270CA9">
        <w:trPr>
          <w:trHeight w:val="841"/>
        </w:trPr>
        <w:tc>
          <w:tcPr>
            <w:tcW w:w="546" w:type="dxa"/>
          </w:tcPr>
          <w:p w:rsidR="006803D3" w:rsidRPr="000079B8" w:rsidRDefault="006803D3" w:rsidP="00270CA9">
            <w:pPr>
              <w:rPr>
                <w:color w:val="000000" w:themeColor="text1"/>
              </w:rPr>
            </w:pPr>
            <w:r w:rsidRPr="000079B8">
              <w:rPr>
                <w:rFonts w:hint="eastAsia"/>
                <w:color w:val="000000" w:themeColor="text1"/>
              </w:rPr>
              <w:t>CID</w:t>
            </w:r>
          </w:p>
        </w:tc>
        <w:tc>
          <w:tcPr>
            <w:tcW w:w="1206" w:type="dxa"/>
          </w:tcPr>
          <w:p w:rsidR="006803D3" w:rsidRPr="000079B8" w:rsidRDefault="006803D3" w:rsidP="00270CA9">
            <w:pPr>
              <w:rPr>
                <w:color w:val="000000" w:themeColor="text1"/>
              </w:rPr>
            </w:pPr>
            <w:r w:rsidRPr="000079B8">
              <w:rPr>
                <w:rFonts w:hint="eastAsia"/>
                <w:color w:val="000000" w:themeColor="text1"/>
              </w:rPr>
              <w:t>Clause</w:t>
            </w:r>
          </w:p>
        </w:tc>
        <w:tc>
          <w:tcPr>
            <w:tcW w:w="3818" w:type="dxa"/>
          </w:tcPr>
          <w:p w:rsidR="006803D3" w:rsidRPr="000079B8" w:rsidRDefault="006803D3" w:rsidP="00270CA9">
            <w:pPr>
              <w:rPr>
                <w:color w:val="000000" w:themeColor="text1"/>
              </w:rPr>
            </w:pPr>
            <w:r w:rsidRPr="000079B8">
              <w:rPr>
                <w:rFonts w:hint="eastAsia"/>
                <w:color w:val="000000" w:themeColor="text1"/>
              </w:rPr>
              <w:t>Comment</w:t>
            </w:r>
          </w:p>
        </w:tc>
        <w:tc>
          <w:tcPr>
            <w:tcW w:w="3639" w:type="dxa"/>
          </w:tcPr>
          <w:p w:rsidR="006803D3" w:rsidRPr="000079B8" w:rsidRDefault="006803D3" w:rsidP="00270CA9">
            <w:pPr>
              <w:rPr>
                <w:color w:val="000000" w:themeColor="text1"/>
              </w:rPr>
            </w:pPr>
            <w:r w:rsidRPr="000079B8">
              <w:rPr>
                <w:rFonts w:hint="eastAsia"/>
                <w:color w:val="000000" w:themeColor="text1"/>
              </w:rPr>
              <w:t>Proposed change</w:t>
            </w:r>
          </w:p>
        </w:tc>
      </w:tr>
      <w:tr w:rsidR="006803D3" w:rsidRPr="000079B8" w:rsidTr="00270CA9">
        <w:trPr>
          <w:trHeight w:val="841"/>
        </w:trPr>
        <w:tc>
          <w:tcPr>
            <w:tcW w:w="546" w:type="dxa"/>
          </w:tcPr>
          <w:p w:rsidR="006803D3" w:rsidRPr="000079B8" w:rsidRDefault="006803D3" w:rsidP="00270CA9">
            <w:pPr>
              <w:rPr>
                <w:color w:val="000000" w:themeColor="text1"/>
              </w:rPr>
            </w:pPr>
            <w:r w:rsidRPr="000079B8">
              <w:rPr>
                <w:rFonts w:hint="eastAsia"/>
                <w:color w:val="000000" w:themeColor="text1"/>
              </w:rPr>
              <w:t>514</w:t>
            </w:r>
          </w:p>
        </w:tc>
        <w:tc>
          <w:tcPr>
            <w:tcW w:w="1206" w:type="dxa"/>
          </w:tcPr>
          <w:p w:rsidR="006803D3" w:rsidRPr="000079B8" w:rsidRDefault="006803D3" w:rsidP="00270CA9">
            <w:pPr>
              <w:rPr>
                <w:color w:val="000000" w:themeColor="text1"/>
              </w:rPr>
            </w:pPr>
            <w:r w:rsidRPr="000079B8">
              <w:rPr>
                <w:color w:val="000000" w:themeColor="text1"/>
              </w:rPr>
              <w:t>10.38.9.3.3</w:t>
            </w:r>
          </w:p>
        </w:tc>
        <w:tc>
          <w:tcPr>
            <w:tcW w:w="3818" w:type="dxa"/>
          </w:tcPr>
          <w:p w:rsidR="006803D3" w:rsidRPr="000079B8" w:rsidRDefault="006803D3" w:rsidP="00270CA9">
            <w:pPr>
              <w:rPr>
                <w:color w:val="000000" w:themeColor="text1"/>
              </w:rPr>
            </w:pPr>
            <w:r w:rsidRPr="000079B8">
              <w:rPr>
                <w:color w:val="000000" w:themeColor="text1"/>
              </w:rPr>
              <w:t>It is not clear what to do when a collision happens</w:t>
            </w:r>
          </w:p>
        </w:tc>
        <w:tc>
          <w:tcPr>
            <w:tcW w:w="3639" w:type="dxa"/>
          </w:tcPr>
          <w:p w:rsidR="006803D3" w:rsidRPr="000079B8" w:rsidRDefault="006803D3" w:rsidP="00270CA9">
            <w:pPr>
              <w:rPr>
                <w:color w:val="000000" w:themeColor="text1"/>
              </w:rPr>
            </w:pPr>
            <w:r w:rsidRPr="000079B8">
              <w:rPr>
                <w:color w:val="000000" w:themeColor="text1"/>
              </w:rPr>
              <w:t>Add "A STA that did not receive feedback from the AP or PCP in terms of a Sector ACK shall continue asymmetric beamforming training during next scheduled beamforming training allocation."</w:t>
            </w:r>
          </w:p>
        </w:tc>
      </w:tr>
    </w:tbl>
    <w:p w:rsidR="006803D3" w:rsidRPr="00A55899" w:rsidRDefault="006803D3" w:rsidP="006803D3">
      <w:pPr>
        <w:rPr>
          <w:sz w:val="20"/>
        </w:rPr>
      </w:pPr>
    </w:p>
    <w:p w:rsidR="006803D3" w:rsidRPr="008179AB" w:rsidRDefault="006803D3" w:rsidP="006803D3">
      <w:pPr>
        <w:rPr>
          <w:szCs w:val="22"/>
          <w:lang w:val="en-US" w:eastAsia="zh-CN"/>
        </w:rPr>
      </w:pPr>
      <w:r w:rsidRPr="008179AB">
        <w:rPr>
          <w:b/>
          <w:szCs w:val="22"/>
        </w:rPr>
        <w:t>Discussion:</w:t>
      </w:r>
    </w:p>
    <w:p w:rsidR="006803D3" w:rsidRPr="008179AB" w:rsidRDefault="006803D3" w:rsidP="006803D3">
      <w:pPr>
        <w:rPr>
          <w:szCs w:val="22"/>
          <w:lang w:eastAsia="zh-CN"/>
        </w:rPr>
      </w:pPr>
      <w:r w:rsidRPr="008179AB">
        <w:rPr>
          <w:rFonts w:hint="eastAsia"/>
          <w:szCs w:val="22"/>
          <w:lang w:eastAsia="zh-CN"/>
        </w:rPr>
        <w:t>T</w:t>
      </w:r>
      <w:r w:rsidRPr="008179AB">
        <w:rPr>
          <w:szCs w:val="22"/>
          <w:lang w:eastAsia="zh-CN"/>
        </w:rPr>
        <w:t xml:space="preserve">his should not be a “shall” requirement. In 11ad, if a STA does not receive a SSW Feedback frame in A-BFT, the STA may contend for further slots during the A-BFT n the same or a following BI. We can apply the same rules here in asymmetric beamforming. </w:t>
      </w:r>
    </w:p>
    <w:p w:rsidR="006803D3" w:rsidRPr="008179AB" w:rsidRDefault="006803D3" w:rsidP="006803D3">
      <w:pPr>
        <w:rPr>
          <w:b/>
          <w:szCs w:val="22"/>
          <w:lang w:eastAsia="zh-CN"/>
        </w:rPr>
      </w:pPr>
    </w:p>
    <w:p w:rsidR="006803D3" w:rsidRPr="008179AB" w:rsidRDefault="006803D3" w:rsidP="006803D3">
      <w:pPr>
        <w:rPr>
          <w:szCs w:val="22"/>
        </w:rPr>
      </w:pPr>
      <w:r w:rsidRPr="008179AB">
        <w:rPr>
          <w:b/>
          <w:szCs w:val="22"/>
        </w:rPr>
        <w:t>Proposed resolution:</w:t>
      </w:r>
      <w:r w:rsidRPr="008179AB">
        <w:rPr>
          <w:szCs w:val="22"/>
        </w:rPr>
        <w:t xml:space="preserve"> </w:t>
      </w:r>
      <w:r>
        <w:rPr>
          <w:szCs w:val="22"/>
        </w:rPr>
        <w:t>Revised</w:t>
      </w:r>
    </w:p>
    <w:p w:rsidR="006803D3" w:rsidRPr="008179AB" w:rsidRDefault="006803D3" w:rsidP="006803D3">
      <w:pPr>
        <w:rPr>
          <w:i/>
          <w:szCs w:val="22"/>
          <w:lang w:eastAsia="zh-CN"/>
        </w:rPr>
      </w:pPr>
      <w:r w:rsidRPr="008179AB">
        <w:rPr>
          <w:rFonts w:hint="eastAsia"/>
          <w:i/>
          <w:szCs w:val="22"/>
          <w:lang w:eastAsia="zh-CN"/>
        </w:rPr>
        <w:t>A</w:t>
      </w:r>
      <w:r w:rsidRPr="008179AB">
        <w:rPr>
          <w:i/>
          <w:szCs w:val="22"/>
          <w:lang w:eastAsia="zh-CN"/>
        </w:rPr>
        <w:t>dd the following bullet at the end of the last bullet of the 1</w:t>
      </w:r>
      <w:r w:rsidRPr="008179AB">
        <w:rPr>
          <w:i/>
          <w:szCs w:val="22"/>
          <w:vertAlign w:val="superscript"/>
          <w:lang w:eastAsia="zh-CN"/>
        </w:rPr>
        <w:t>st</w:t>
      </w:r>
      <w:r w:rsidRPr="008179AB">
        <w:rPr>
          <w:i/>
          <w:szCs w:val="22"/>
          <w:lang w:eastAsia="zh-CN"/>
        </w:rPr>
        <w:t xml:space="preserve"> paragraph in 10.38.9.3.3 </w:t>
      </w:r>
    </w:p>
    <w:p w:rsidR="006803D3" w:rsidRPr="005A3C19" w:rsidRDefault="006803D3" w:rsidP="006803D3">
      <w:pPr>
        <w:rPr>
          <w:i/>
          <w:color w:val="00B0F0"/>
          <w:szCs w:val="22"/>
          <w:u w:val="single"/>
          <w:lang w:eastAsia="zh-CN"/>
        </w:rPr>
      </w:pPr>
      <w:r w:rsidRPr="005A3C19">
        <w:rPr>
          <w:i/>
          <w:color w:val="00B0F0"/>
          <w:szCs w:val="22"/>
          <w:u w:val="single"/>
          <w:lang w:eastAsia="zh-CN"/>
        </w:rPr>
        <w:lastRenderedPageBreak/>
        <w:t>---</w:t>
      </w:r>
      <w:r>
        <w:rPr>
          <w:color w:val="00B0F0"/>
          <w:szCs w:val="22"/>
          <w:u w:val="single"/>
        </w:rPr>
        <w:t>A STA that does</w:t>
      </w:r>
      <w:r w:rsidRPr="005A3C19">
        <w:rPr>
          <w:color w:val="00B0F0"/>
          <w:szCs w:val="22"/>
          <w:u w:val="single"/>
        </w:rPr>
        <w:t xml:space="preserve"> not receive a Sector ACK frame from the AP or PCP may continue asymmetric beamforming training during next scheduled beamforming training allocation.</w:t>
      </w:r>
    </w:p>
    <w:p w:rsidR="004B566B" w:rsidRPr="006803D3" w:rsidRDefault="004B566B" w:rsidP="004B566B"/>
    <w:p w:rsidR="004B566B" w:rsidRDefault="004B566B" w:rsidP="004B566B"/>
    <w:p w:rsidR="00090D80" w:rsidRPr="00A605A4" w:rsidRDefault="00090D80" w:rsidP="00090D80">
      <w:pPr>
        <w:pStyle w:val="IEEEStdsParagraph"/>
        <w:tabs>
          <w:tab w:val="left" w:pos="1260"/>
        </w:tabs>
        <w:jc w:val="left"/>
        <w:rPr>
          <w:b/>
        </w:rPr>
      </w:pPr>
      <w:r w:rsidRPr="00A605A4">
        <w:rPr>
          <w:b/>
        </w:rPr>
        <w:t>Straw Poll:</w:t>
      </w:r>
    </w:p>
    <w:p w:rsidR="00090D80" w:rsidRDefault="00090D80" w:rsidP="00090D80">
      <w:pPr>
        <w:pStyle w:val="ListParagraph"/>
        <w:numPr>
          <w:ilvl w:val="0"/>
          <w:numId w:val="4"/>
        </w:numPr>
        <w:ind w:firstLineChars="0"/>
        <w:contextualSpacing/>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sidR="00B80F99">
        <w:rPr>
          <w:b/>
          <w:bCs/>
          <w:szCs w:val="22"/>
          <w:lang w:val="en-US" w:eastAsia="ja-JP"/>
        </w:rPr>
        <w:t>11-17/1</w:t>
      </w:r>
      <w:r w:rsidR="00AB2953">
        <w:rPr>
          <w:b/>
          <w:bCs/>
          <w:szCs w:val="22"/>
          <w:lang w:val="en-US" w:eastAsia="ja-JP"/>
        </w:rPr>
        <w:t>532r0</w:t>
      </w:r>
      <w:r>
        <w:rPr>
          <w:b/>
          <w:bCs/>
          <w:szCs w:val="22"/>
          <w:lang w:val="en-US" w:eastAsia="ja-JP"/>
        </w:rPr>
        <w:t>?</w:t>
      </w:r>
    </w:p>
    <w:p w:rsidR="00CA09B2" w:rsidRPr="004B566B" w:rsidRDefault="00CA09B2" w:rsidP="004B566B">
      <w:bookmarkStart w:id="0" w:name="_GoBack"/>
      <w:bookmarkEnd w:id="0"/>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78" w:rsidRDefault="00790978">
      <w:r>
        <w:separator/>
      </w:r>
    </w:p>
  </w:endnote>
  <w:endnote w:type="continuationSeparator" w:id="0">
    <w:p w:rsidR="00790978" w:rsidRDefault="0079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771C7">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AB2953">
      <w:rPr>
        <w:noProof/>
      </w:rPr>
      <w:t>4</w:t>
    </w:r>
    <w:r w:rsidR="0029020B">
      <w:fldChar w:fldCharType="end"/>
    </w:r>
    <w:r w:rsidR="0029020B">
      <w:tab/>
    </w:r>
    <w:fldSimple w:instr=" COMMENTS  \* MERGEFORMAT ">
      <w:r w:rsidR="007E1075">
        <w:t>Cheng Chen,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78" w:rsidRDefault="00790978">
      <w:r>
        <w:separator/>
      </w:r>
    </w:p>
  </w:footnote>
  <w:footnote w:type="continuationSeparator" w:id="0">
    <w:p w:rsidR="00790978" w:rsidRDefault="00790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771C7">
    <w:pPr>
      <w:pStyle w:val="Header"/>
      <w:tabs>
        <w:tab w:val="clear" w:pos="6480"/>
        <w:tab w:val="center" w:pos="4680"/>
        <w:tab w:val="right" w:pos="9360"/>
      </w:tabs>
    </w:pPr>
    <w:fldSimple w:instr=" KEYWORDS  \* MERGEFORMAT ">
      <w:r w:rsidR="007E1075">
        <w:t>September 2017</w:t>
      </w:r>
    </w:fldSimple>
    <w:r w:rsidR="0029020B">
      <w:tab/>
    </w:r>
    <w:r w:rsidR="0029020B">
      <w:tab/>
    </w:r>
    <w:fldSimple w:instr=" TITLE  \* MERGEFORMAT ">
      <w:r w:rsidR="00AB2953">
        <w:t>doc.: IEEE 802.11-17/1532r0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771C7"/>
    <w:rsid w:val="00090D80"/>
    <w:rsid w:val="001D723B"/>
    <w:rsid w:val="0029020B"/>
    <w:rsid w:val="00290927"/>
    <w:rsid w:val="002D44BE"/>
    <w:rsid w:val="003C5D0D"/>
    <w:rsid w:val="00442037"/>
    <w:rsid w:val="00452B17"/>
    <w:rsid w:val="004B064B"/>
    <w:rsid w:val="004B566B"/>
    <w:rsid w:val="004C36F4"/>
    <w:rsid w:val="0062440B"/>
    <w:rsid w:val="006803D3"/>
    <w:rsid w:val="006A5A9A"/>
    <w:rsid w:val="006C0727"/>
    <w:rsid w:val="006E145F"/>
    <w:rsid w:val="00770572"/>
    <w:rsid w:val="00790978"/>
    <w:rsid w:val="007E1075"/>
    <w:rsid w:val="00880ED4"/>
    <w:rsid w:val="009F2FBC"/>
    <w:rsid w:val="00AA427C"/>
    <w:rsid w:val="00AB2953"/>
    <w:rsid w:val="00B80F99"/>
    <w:rsid w:val="00BE68C2"/>
    <w:rsid w:val="00CA09B2"/>
    <w:rsid w:val="00DC5A7B"/>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11</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802.11-17/1314r2</vt:lpstr>
    </vt:vector>
  </TitlesOfParts>
  <Company>Some Company</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802.11-17/1532r0</dc:title>
  <dc:subject>Submission</dc:subject>
  <dc:creator>cheng.chen@intel.com</dc:creator>
  <cp:keywords>September 2017</cp:keywords>
  <dc:description>Cheng Chen, Intel</dc:description>
  <cp:lastModifiedBy>Chen, Cheng</cp:lastModifiedBy>
  <cp:revision>8</cp:revision>
  <cp:lastPrinted>2017-02-23T01:37:00Z</cp:lastPrinted>
  <dcterms:created xsi:type="dcterms:W3CDTF">2017-02-23T01:37:00Z</dcterms:created>
  <dcterms:modified xsi:type="dcterms:W3CDTF">2017-09-25T22:12:00Z</dcterms:modified>
</cp:coreProperties>
</file>