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48140300" w:rsidR="00CA09B2" w:rsidRDefault="004D26F4">
            <w:pPr>
              <w:pStyle w:val="T2"/>
            </w:pPr>
            <w:r>
              <w:t>Distributed Scheduling</w:t>
            </w:r>
          </w:p>
        </w:tc>
      </w:tr>
      <w:tr w:rsidR="00CA09B2" w14:paraId="39D15B8F" w14:textId="77777777" w:rsidTr="00606E3D">
        <w:trPr>
          <w:trHeight w:val="359"/>
          <w:jc w:val="center"/>
        </w:trPr>
        <w:tc>
          <w:tcPr>
            <w:tcW w:w="9576" w:type="dxa"/>
            <w:gridSpan w:val="5"/>
            <w:vAlign w:val="center"/>
          </w:tcPr>
          <w:p w14:paraId="17D0A186" w14:textId="3D90F4A7" w:rsidR="00CA09B2" w:rsidRDefault="00CA09B2" w:rsidP="00CF5109">
            <w:pPr>
              <w:pStyle w:val="T2"/>
              <w:ind w:left="0"/>
              <w:rPr>
                <w:sz w:val="20"/>
              </w:rPr>
            </w:pPr>
            <w:r>
              <w:rPr>
                <w:sz w:val="20"/>
              </w:rPr>
              <w:t>Date:</w:t>
            </w:r>
            <w:r>
              <w:rPr>
                <w:b w:val="0"/>
                <w:sz w:val="20"/>
              </w:rPr>
              <w:t xml:space="preserve">  </w:t>
            </w:r>
            <w:r w:rsidR="000823C0">
              <w:rPr>
                <w:b w:val="0"/>
                <w:sz w:val="20"/>
              </w:rPr>
              <w:t>2017-0</w:t>
            </w:r>
            <w:r w:rsidR="00CF5109">
              <w:rPr>
                <w:b w:val="0"/>
                <w:sz w:val="20"/>
              </w:rPr>
              <w:t>9</w:t>
            </w:r>
            <w:r w:rsidR="000823C0">
              <w:rPr>
                <w:b w:val="0"/>
                <w:sz w:val="20"/>
              </w:rPr>
              <w:t>-1</w:t>
            </w:r>
            <w:r w:rsidR="00CF5109">
              <w:rPr>
                <w:b w:val="0"/>
                <w:sz w:val="20"/>
              </w:rPr>
              <w:t>1</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1C106D7D" w:rsidR="00CA09B2" w:rsidRDefault="00A46493">
            <w:pPr>
              <w:pStyle w:val="T2"/>
              <w:spacing w:after="0"/>
              <w:ind w:left="0" w:right="0"/>
              <w:rPr>
                <w:b w:val="0"/>
                <w:sz w:val="20"/>
              </w:rPr>
            </w:pPr>
            <w:r>
              <w:rPr>
                <w:b w:val="0"/>
                <w:sz w:val="20"/>
              </w:rPr>
              <w:t>Kerstin Johnsson</w:t>
            </w:r>
          </w:p>
        </w:tc>
        <w:tc>
          <w:tcPr>
            <w:tcW w:w="1425" w:type="dxa"/>
            <w:vAlign w:val="center"/>
          </w:tcPr>
          <w:p w14:paraId="28D69515" w14:textId="0536C834" w:rsidR="00CA09B2" w:rsidRDefault="00A46493">
            <w:pPr>
              <w:pStyle w:val="T2"/>
              <w:spacing w:after="0"/>
              <w:ind w:left="0" w:right="0"/>
              <w:rPr>
                <w:b w:val="0"/>
                <w:sz w:val="20"/>
              </w:rPr>
            </w:pPr>
            <w:r>
              <w:rPr>
                <w:b w:val="0"/>
                <w:sz w:val="20"/>
              </w:rPr>
              <w:t>Intel</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2AD26589" w:rsidR="00CA09B2" w:rsidRDefault="00A46493" w:rsidP="00A46493">
            <w:pPr>
              <w:pStyle w:val="T2"/>
              <w:spacing w:after="0"/>
              <w:ind w:left="0" w:right="0"/>
              <w:jc w:val="left"/>
              <w:rPr>
                <w:b w:val="0"/>
                <w:sz w:val="16"/>
              </w:rPr>
            </w:pPr>
            <w:r>
              <w:rPr>
                <w:b w:val="0"/>
                <w:sz w:val="16"/>
              </w:rPr>
              <w:t>kerstin.johnsson@intel.com</w:t>
            </w:r>
          </w:p>
        </w:tc>
      </w:tr>
      <w:tr w:rsidR="00383E8F" w14:paraId="35957E8D" w14:textId="77777777" w:rsidTr="008A6DF8">
        <w:trPr>
          <w:jc w:val="center"/>
        </w:trPr>
        <w:tc>
          <w:tcPr>
            <w:tcW w:w="1975" w:type="dxa"/>
            <w:vAlign w:val="center"/>
          </w:tcPr>
          <w:p w14:paraId="66844851" w14:textId="7ED9443D" w:rsidR="00383E8F" w:rsidRDefault="00383E8F" w:rsidP="00383E8F">
            <w:pPr>
              <w:pStyle w:val="T2"/>
              <w:spacing w:after="0"/>
              <w:ind w:left="0" w:right="0"/>
              <w:rPr>
                <w:b w:val="0"/>
                <w:sz w:val="20"/>
              </w:rPr>
            </w:pPr>
          </w:p>
        </w:tc>
        <w:tc>
          <w:tcPr>
            <w:tcW w:w="1425" w:type="dxa"/>
            <w:vAlign w:val="center"/>
          </w:tcPr>
          <w:p w14:paraId="7BD73D8A" w14:textId="39FB758C" w:rsidR="00383E8F" w:rsidRDefault="00383E8F" w:rsidP="00383E8F">
            <w:pPr>
              <w:pStyle w:val="T2"/>
              <w:spacing w:after="0"/>
              <w:ind w:left="0" w:right="0"/>
              <w:rPr>
                <w:b w:val="0"/>
                <w:sz w:val="20"/>
              </w:rPr>
            </w:pP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178A9178"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2176A0CD"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4349CF7"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701BC3D4"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40FD8433"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6AC747C"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5F038FB1"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B96DB3" w:rsidRDefault="00B96DB3">
                            <w:pPr>
                              <w:pStyle w:val="T1"/>
                              <w:spacing w:after="120"/>
                            </w:pPr>
                            <w:r>
                              <w:t>Abstract</w:t>
                            </w:r>
                          </w:p>
                          <w:p w14:paraId="17841602" w14:textId="59096697" w:rsidR="00B96DB3" w:rsidRDefault="00B96DB3" w:rsidP="007E1671">
                            <w:pPr>
                              <w:jc w:val="both"/>
                            </w:pPr>
                            <w:r>
                              <w:t>This document s</w:t>
                            </w:r>
                            <w:r w:rsidR="00A46493">
                              <w:t xml:space="preserve">uggests text changes that enable Distributed Scheduling.  </w:t>
                            </w:r>
                            <w:r>
                              <w:t xml:space="preserve">Changes are </w:t>
                            </w:r>
                            <w:r w:rsidR="00A46493">
                              <w:t>relative to Draft 0.5</w:t>
                            </w: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B96DB3" w:rsidRDefault="00B96DB3">
                      <w:pPr>
                        <w:pStyle w:val="T1"/>
                        <w:spacing w:after="120"/>
                      </w:pPr>
                      <w:r>
                        <w:t>Abstract</w:t>
                      </w:r>
                    </w:p>
                    <w:p w14:paraId="17841602" w14:textId="59096697" w:rsidR="00B96DB3" w:rsidRDefault="00B96DB3" w:rsidP="007E1671">
                      <w:pPr>
                        <w:jc w:val="both"/>
                      </w:pPr>
                      <w:r>
                        <w:t>This document s</w:t>
                      </w:r>
                      <w:r w:rsidR="00A46493">
                        <w:t xml:space="preserve">uggests text changes that enable Distributed Scheduling.  </w:t>
                      </w:r>
                      <w:r>
                        <w:t xml:space="preserve">Changes are </w:t>
                      </w:r>
                      <w:r w:rsidR="00A46493">
                        <w:t>relative to Draft 0.5</w:t>
                      </w:r>
                      <w:r>
                        <w:t>0</w:t>
                      </w:r>
                    </w:p>
                  </w:txbxContent>
                </v:textbox>
              </v:shape>
            </w:pict>
          </mc:Fallback>
        </mc:AlternateContent>
      </w:r>
    </w:p>
    <w:p w14:paraId="55D9A353" w14:textId="77777777" w:rsidR="00A46493" w:rsidRDefault="00CA09B2" w:rsidP="009D6203">
      <w:r>
        <w:br w:type="page"/>
      </w:r>
    </w:p>
    <w:p w14:paraId="68D78644" w14:textId="77777777" w:rsidR="00A46493" w:rsidRDefault="00A46493" w:rsidP="009D6203"/>
    <w:p w14:paraId="2F46DEE8" w14:textId="77777777" w:rsidR="00A46493" w:rsidRDefault="00A46493" w:rsidP="009D6203"/>
    <w:p w14:paraId="71F5CCAA" w14:textId="195B9107" w:rsidR="009D6203" w:rsidRDefault="009D6203" w:rsidP="009D6203">
      <w:r w:rsidRPr="00AF05F5">
        <w:rPr>
          <w:b/>
          <w:bCs/>
          <w:sz w:val="28"/>
          <w:szCs w:val="24"/>
          <w:u w:val="single"/>
        </w:rPr>
        <w:t>Discussion</w:t>
      </w:r>
      <w:r>
        <w:t>:</w:t>
      </w:r>
    </w:p>
    <w:p w14:paraId="0D7837E2" w14:textId="2875E866" w:rsidR="00CE30DD" w:rsidRDefault="00A46493" w:rsidP="00CE30DD">
      <w:pPr>
        <w:rPr>
          <w:bCs/>
          <w:sz w:val="24"/>
        </w:rPr>
      </w:pPr>
      <w:r>
        <w:rPr>
          <w:bCs/>
          <w:sz w:val="24"/>
        </w:rPr>
        <w:t>There are several 11ay use cases that will introduce high densities of PCP/APs with high QoS traffic (i.e. requiring SP allocations).  The current specification provides two variants of clustering, but both fail when large numbers of PCP/APs and mobility are introduced.  The Distributed Scheduling protocol provides a means for dense deployments of PCP/APs to share channel resources in a fair manner and improve the fidelity of SP transmissions.</w:t>
      </w:r>
    </w:p>
    <w:p w14:paraId="6B91753E" w14:textId="46AACBE7" w:rsidR="00166CB4" w:rsidRDefault="00166CB4" w:rsidP="00CE30DD">
      <w:pPr>
        <w:rPr>
          <w:bCs/>
          <w:sz w:val="24"/>
        </w:rPr>
      </w:pPr>
    </w:p>
    <w:p w14:paraId="4E6156AA" w14:textId="77777777" w:rsidR="00A46493" w:rsidRDefault="00A46493" w:rsidP="00CE30DD">
      <w:pPr>
        <w:rPr>
          <w:bCs/>
          <w:sz w:val="24"/>
        </w:rPr>
      </w:pPr>
    </w:p>
    <w:p w14:paraId="39ECD622" w14:textId="0D634CE8" w:rsidR="00A46493" w:rsidRDefault="00A46493" w:rsidP="00A46493">
      <w:r>
        <w:rPr>
          <w:b/>
          <w:bCs/>
          <w:sz w:val="28"/>
          <w:szCs w:val="24"/>
          <w:u w:val="single"/>
        </w:rPr>
        <w:t>Text Changes</w:t>
      </w:r>
      <w:r>
        <w:t>:</w:t>
      </w:r>
    </w:p>
    <w:p w14:paraId="664BE8BC" w14:textId="77777777" w:rsidR="00A46493" w:rsidRDefault="00A46493" w:rsidP="00A46493"/>
    <w:p w14:paraId="2F085F8D" w14:textId="4C4BEF41" w:rsidR="00A46493" w:rsidRPr="00CF5109" w:rsidRDefault="00A46493" w:rsidP="00A46493">
      <w:r w:rsidRPr="00CF5109">
        <w:rPr>
          <w:sz w:val="24"/>
        </w:rPr>
        <w:t>[</w:t>
      </w:r>
      <w:r w:rsidR="00CF5109">
        <w:rPr>
          <w:sz w:val="24"/>
        </w:rPr>
        <w:t xml:space="preserve">Note:  </w:t>
      </w:r>
      <w:r w:rsidRPr="00CF5109">
        <w:rPr>
          <w:sz w:val="24"/>
        </w:rPr>
        <w:t>We propose to insert the following section.]</w:t>
      </w:r>
    </w:p>
    <w:p w14:paraId="7AFAE48A" w14:textId="77777777" w:rsidR="00A46493" w:rsidRDefault="00A46493" w:rsidP="00A46493"/>
    <w:p w14:paraId="6233AA66" w14:textId="77777777" w:rsidR="00A46493" w:rsidRPr="00D43FA9" w:rsidRDefault="00A46493" w:rsidP="00A46493">
      <w:pPr>
        <w:rPr>
          <w:b/>
          <w:sz w:val="28"/>
        </w:rPr>
      </w:pPr>
      <w:r w:rsidRPr="00D43FA9">
        <w:rPr>
          <w:b/>
          <w:sz w:val="28"/>
        </w:rPr>
        <w:t>10.42 EDMG PCP/AP Distributed Scheduling</w:t>
      </w:r>
    </w:p>
    <w:p w14:paraId="731CF3E0" w14:textId="77777777" w:rsidR="00A46493" w:rsidRPr="00D43FA9" w:rsidRDefault="00A46493" w:rsidP="00A46493">
      <w:pPr>
        <w:rPr>
          <w:b/>
          <w:sz w:val="28"/>
        </w:rPr>
      </w:pPr>
      <w:r w:rsidRPr="00D43FA9">
        <w:rPr>
          <w:b/>
          <w:sz w:val="28"/>
        </w:rPr>
        <w:t>10.42.1  General</w:t>
      </w:r>
    </w:p>
    <w:p w14:paraId="38C4DD00" w14:textId="79FCCC9B" w:rsidR="00A46493" w:rsidRPr="00D43FA9" w:rsidRDefault="00A46493" w:rsidP="00A46493">
      <w:pPr>
        <w:rPr>
          <w:sz w:val="24"/>
        </w:rPr>
      </w:pPr>
      <w:r w:rsidRPr="00D43FA9">
        <w:rPr>
          <w:sz w:val="24"/>
        </w:rPr>
        <w:t xml:space="preserve">An EDMG PCP/AP may use the </w:t>
      </w:r>
      <w:r>
        <w:rPr>
          <w:sz w:val="24"/>
        </w:rPr>
        <w:t>D</w:t>
      </w:r>
      <w:r w:rsidRPr="00D43FA9">
        <w:rPr>
          <w:sz w:val="24"/>
        </w:rPr>
        <w:t xml:space="preserve">istributed </w:t>
      </w:r>
      <w:r>
        <w:rPr>
          <w:sz w:val="24"/>
        </w:rPr>
        <w:t>S</w:t>
      </w:r>
      <w:r w:rsidRPr="00D43FA9">
        <w:rPr>
          <w:sz w:val="24"/>
        </w:rPr>
        <w:t>cheduling protocol to improve spatial sharing and interference mitigation with other BSSs</w:t>
      </w:r>
      <w:r>
        <w:rPr>
          <w:sz w:val="24"/>
        </w:rPr>
        <w:t xml:space="preserve"> that use one or more of the same channels. </w:t>
      </w:r>
      <w:r w:rsidRPr="00D43FA9">
        <w:rPr>
          <w:sz w:val="24"/>
        </w:rPr>
        <w:t xml:space="preserve"> </w:t>
      </w:r>
      <w:r>
        <w:rPr>
          <w:sz w:val="24"/>
        </w:rPr>
        <w:t xml:space="preserve">An EDMG </w:t>
      </w:r>
      <w:r w:rsidRPr="00D43FA9">
        <w:rPr>
          <w:sz w:val="24"/>
        </w:rPr>
        <w:t>PCP/AP</w:t>
      </w:r>
      <w:r>
        <w:rPr>
          <w:sz w:val="24"/>
        </w:rPr>
        <w:t xml:space="preserve"> shall indicate that it is complying with the Distributed Scheduling protocol by setting the Distributed Scheduling enabled bit to 1 in Allocation Management field of the </w:t>
      </w:r>
      <w:r w:rsidRPr="00A46493">
        <w:rPr>
          <w:sz w:val="24"/>
        </w:rPr>
        <w:t>EDMG Extended Schedule</w:t>
      </w:r>
      <w:r>
        <w:rPr>
          <w:sz w:val="24"/>
        </w:rPr>
        <w:t xml:space="preserve"> element.</w:t>
      </w:r>
    </w:p>
    <w:p w14:paraId="735F0FF4" w14:textId="77777777" w:rsidR="00A46493" w:rsidRPr="00D43FA9" w:rsidRDefault="00A46493" w:rsidP="00A46493">
      <w:pPr>
        <w:spacing w:before="360"/>
        <w:rPr>
          <w:b/>
          <w:sz w:val="28"/>
        </w:rPr>
      </w:pPr>
      <w:r w:rsidRPr="00D43FA9">
        <w:rPr>
          <w:b/>
          <w:sz w:val="28"/>
        </w:rPr>
        <w:t>10.42.2  Distributed Scheduling Initialization</w:t>
      </w:r>
    </w:p>
    <w:p w14:paraId="20F4045F" w14:textId="77777777" w:rsidR="00A46493" w:rsidRPr="00D43FA9" w:rsidRDefault="00A46493" w:rsidP="00A46493">
      <w:pPr>
        <w:rPr>
          <w:sz w:val="24"/>
        </w:rPr>
      </w:pPr>
      <w:r w:rsidRPr="00D43FA9">
        <w:rPr>
          <w:sz w:val="24"/>
        </w:rPr>
        <w:t xml:space="preserve">When an EDMG PCP/AP first enables Distributed Scheduling [DS], it </w:t>
      </w:r>
      <w:r>
        <w:rPr>
          <w:sz w:val="24"/>
        </w:rPr>
        <w:t>shall listen</w:t>
      </w:r>
      <w:r w:rsidRPr="00D43FA9">
        <w:rPr>
          <w:sz w:val="24"/>
        </w:rPr>
        <w:t xml:space="preserve"> during </w:t>
      </w:r>
      <w:r>
        <w:rPr>
          <w:sz w:val="24"/>
        </w:rPr>
        <w:t xml:space="preserve">one or more </w:t>
      </w:r>
      <w:r w:rsidRPr="00D43FA9">
        <w:rPr>
          <w:sz w:val="24"/>
        </w:rPr>
        <w:t>DTI</w:t>
      </w:r>
      <w:r>
        <w:rPr>
          <w:sz w:val="24"/>
        </w:rPr>
        <w:t>s</w:t>
      </w:r>
      <w:r w:rsidRPr="00D43FA9">
        <w:rPr>
          <w:sz w:val="24"/>
        </w:rPr>
        <w:t xml:space="preserve"> for beacons from neighboring PCP/APs to determine the </w:t>
      </w:r>
      <w:r>
        <w:rPr>
          <w:sz w:val="24"/>
        </w:rPr>
        <w:t>location (in terms of time and channel)</w:t>
      </w:r>
      <w:r w:rsidRPr="00D43FA9">
        <w:rPr>
          <w:sz w:val="24"/>
        </w:rPr>
        <w:t xml:space="preserve"> and periodicity of their beacons as well as whether </w:t>
      </w:r>
      <w:r>
        <w:rPr>
          <w:sz w:val="24"/>
        </w:rPr>
        <w:t>they have indicated that they are complying with the DS protocol.</w:t>
      </w:r>
    </w:p>
    <w:p w14:paraId="4C586662" w14:textId="77777777" w:rsidR="00A46493" w:rsidRPr="00D43FA9" w:rsidRDefault="00A46493" w:rsidP="00A46493">
      <w:pPr>
        <w:spacing w:before="360"/>
        <w:rPr>
          <w:b/>
          <w:sz w:val="28"/>
        </w:rPr>
      </w:pPr>
      <w:r w:rsidRPr="00D43FA9">
        <w:rPr>
          <w:b/>
          <w:sz w:val="28"/>
        </w:rPr>
        <w:t>10.42.3  Distributed Scheduling Protocol</w:t>
      </w:r>
    </w:p>
    <w:p w14:paraId="765CAE71" w14:textId="77777777" w:rsidR="00A46493" w:rsidRPr="001315D5" w:rsidRDefault="00A46493" w:rsidP="00A46493">
      <w:pPr>
        <w:spacing w:after="120"/>
        <w:rPr>
          <w:sz w:val="24"/>
        </w:rPr>
      </w:pPr>
      <w:r>
        <w:rPr>
          <w:sz w:val="24"/>
        </w:rPr>
        <w:t>A DS-enabled EDMG PCP/AP</w:t>
      </w:r>
      <w:r w:rsidRPr="00D43FA9">
        <w:rPr>
          <w:sz w:val="24"/>
        </w:rPr>
        <w:t xml:space="preserve"> </w:t>
      </w:r>
      <w:r>
        <w:rPr>
          <w:sz w:val="24"/>
        </w:rPr>
        <w:t xml:space="preserve">[DS PCP/AP] shall </w:t>
      </w:r>
      <w:r w:rsidRPr="00D43FA9">
        <w:rPr>
          <w:sz w:val="24"/>
        </w:rPr>
        <w:t>listen during the DTI for beacons from neighboring PCP/APs to determine their upcoming packet schedules by parsing the Extended Schedule elements</w:t>
      </w:r>
      <w:r>
        <w:rPr>
          <w:sz w:val="24"/>
        </w:rPr>
        <w:t xml:space="preserve"> [ESE]</w:t>
      </w:r>
      <w:r w:rsidRPr="00D43FA9">
        <w:rPr>
          <w:sz w:val="24"/>
        </w:rPr>
        <w:t xml:space="preserve"> in th</w:t>
      </w:r>
      <w:r>
        <w:rPr>
          <w:sz w:val="24"/>
        </w:rPr>
        <w:t>ose</w:t>
      </w:r>
      <w:r w:rsidRPr="00D43FA9">
        <w:rPr>
          <w:sz w:val="24"/>
        </w:rPr>
        <w:t xml:space="preserve"> beacons.</w:t>
      </w:r>
      <w:r>
        <w:rPr>
          <w:sz w:val="24"/>
        </w:rPr>
        <w:t xml:space="preserve">  This may require listening on different channels since neighbor PCP/APs may choose different primary channels.  </w:t>
      </w:r>
      <w:r w:rsidRPr="001315D5">
        <w:rPr>
          <w:sz w:val="24"/>
        </w:rPr>
        <w:t xml:space="preserve">The DS PCP/AP only needs to listen to beacons that carry ESEs covering time periods the DS PCP/AP has not yet scheduled. </w:t>
      </w:r>
    </w:p>
    <w:p w14:paraId="5C9D1405" w14:textId="77777777" w:rsidR="00A46493" w:rsidRDefault="00A46493" w:rsidP="00A46493">
      <w:pPr>
        <w:spacing w:after="120"/>
      </w:pPr>
      <w:r>
        <w:rPr>
          <w:sz w:val="24"/>
        </w:rPr>
        <w:t>To ensure a fair distribution of channel resources among PCP/APs in the same coverage area, the DS PCP/AP shall determine how much of each BI it can occupy on any given channel by dividing its BI length by the number of PCP/APs in the neighborhood that are using that channel.  Thus, for each channel i that the DS PCP/AP is using, the DS PCP/AP shall not schedule more than 1/(N</w:t>
      </w:r>
      <w:r w:rsidRPr="001C3F60">
        <w:rPr>
          <w:sz w:val="24"/>
          <w:vertAlign w:val="subscript"/>
        </w:rPr>
        <w:t>i</w:t>
      </w:r>
      <w:r>
        <w:rPr>
          <w:sz w:val="24"/>
        </w:rPr>
        <w:t>+1) of the BI, where N</w:t>
      </w:r>
      <w:r w:rsidRPr="001C3F60">
        <w:rPr>
          <w:sz w:val="24"/>
          <w:vertAlign w:val="subscript"/>
        </w:rPr>
        <w:t>i</w:t>
      </w:r>
      <w:r>
        <w:rPr>
          <w:sz w:val="24"/>
        </w:rPr>
        <w:t xml:space="preserve"> = number of neighbors using channel i.  Both the BHI and SPs count toward the DS PCP/AP’s BI usage.  CBAPs do not count toward this total since they are not guaranteed transmissions.</w:t>
      </w:r>
    </w:p>
    <w:p w14:paraId="1115DE1C" w14:textId="77777777" w:rsidR="00A46493" w:rsidRDefault="00A46493" w:rsidP="00A46493">
      <w:pPr>
        <w:spacing w:after="120"/>
        <w:rPr>
          <w:sz w:val="24"/>
        </w:rPr>
      </w:pPr>
      <w:r>
        <w:rPr>
          <w:sz w:val="24"/>
        </w:rPr>
        <w:t xml:space="preserve">When creating the ESE, the DS PCP/AP shall do the following on each channel it is using.  The DS PCP/AP shall randomly schedule its SPs over unoccupied time periods first, taking care not to schedule more than its fair share of the channel.  If after scheduling its SPs over unoccupied time periods the DS PCP/AP has not yet used its fair share of the channel, it shall randomly schedule its remaining SPs over time periods with </w:t>
      </w:r>
      <w:r w:rsidRPr="00CF4CCD">
        <w:rPr>
          <w:sz w:val="24"/>
        </w:rPr>
        <w:t>no neighbor SPs</w:t>
      </w:r>
      <w:r>
        <w:rPr>
          <w:sz w:val="24"/>
        </w:rPr>
        <w:t xml:space="preserve"> (CBAPs are allowed).  Finally, if after scheduling its SPs over time periods with no neighbor SPs the DS PCP/AP has not yet used its fair share of the channel, it shall randomly schedule its remaining SPs over time periods with no SPs of DS compliant neighbors (i.e. the DS PCP/AP is allowed to schedule over SPs of neighbors not complying with the DS protocol).  </w:t>
      </w:r>
    </w:p>
    <w:p w14:paraId="5F43F95D" w14:textId="00B23C18" w:rsidR="00A46493" w:rsidRDefault="00A46493" w:rsidP="00A46493">
      <w:pPr>
        <w:spacing w:after="120"/>
        <w:rPr>
          <w:sz w:val="24"/>
        </w:rPr>
      </w:pPr>
      <w:r>
        <w:rPr>
          <w:sz w:val="24"/>
        </w:rPr>
        <w:lastRenderedPageBreak/>
        <w:t xml:space="preserve">The DS PCP/AP may schedule CBAPs anywhere in the DTI except during periods when the DS PCP/AP needs to listen for neighbor beacons.  In addition, CBAPs </w:t>
      </w:r>
      <w:r w:rsidR="001F0915">
        <w:rPr>
          <w:sz w:val="24"/>
        </w:rPr>
        <w:t>should not</w:t>
      </w:r>
      <w:r>
        <w:rPr>
          <w:sz w:val="24"/>
        </w:rPr>
        <w:t xml:space="preserve"> traverse the start of DS neighbor SPs.</w:t>
      </w:r>
    </w:p>
    <w:p w14:paraId="4DC24D4F" w14:textId="77777777" w:rsidR="00A46493" w:rsidRDefault="00A46493" w:rsidP="00A46493">
      <w:pPr>
        <w:spacing w:after="120"/>
        <w:rPr>
          <w:sz w:val="24"/>
        </w:rPr>
      </w:pPr>
    </w:p>
    <w:p w14:paraId="2F93D1E2" w14:textId="37988E59" w:rsidR="00A46493" w:rsidRPr="00CF5109" w:rsidRDefault="00A46493" w:rsidP="00A46493">
      <w:pPr>
        <w:spacing w:after="120"/>
        <w:rPr>
          <w:sz w:val="24"/>
        </w:rPr>
      </w:pPr>
      <w:r w:rsidRPr="00CF5109">
        <w:rPr>
          <w:sz w:val="24"/>
        </w:rPr>
        <w:t>[</w:t>
      </w:r>
      <w:r w:rsidR="00CF5109" w:rsidRPr="00CF5109">
        <w:rPr>
          <w:sz w:val="24"/>
        </w:rPr>
        <w:t xml:space="preserve">Note: </w:t>
      </w:r>
      <w:r w:rsidRPr="00CF5109">
        <w:rPr>
          <w:sz w:val="24"/>
        </w:rPr>
        <w:t xml:space="preserve">We propose to </w:t>
      </w:r>
      <w:r w:rsidR="00CF5109" w:rsidRPr="00CF5109">
        <w:rPr>
          <w:sz w:val="24"/>
        </w:rPr>
        <w:t xml:space="preserve">insert the underlined into section </w:t>
      </w:r>
      <w:r w:rsidRPr="00CF5109">
        <w:rPr>
          <w:sz w:val="24"/>
        </w:rPr>
        <w:t>9.4.2.252</w:t>
      </w:r>
      <w:bookmarkStart w:id="0" w:name="_GoBack"/>
      <w:bookmarkEnd w:id="0"/>
      <w:r w:rsidRPr="00CF5109">
        <w:rPr>
          <w:sz w:val="24"/>
        </w:rPr>
        <w:t>]</w:t>
      </w:r>
    </w:p>
    <w:p w14:paraId="46D629A5" w14:textId="77777777" w:rsidR="00A46493" w:rsidRPr="00A46493" w:rsidRDefault="00A46493" w:rsidP="00A46493">
      <w:pPr>
        <w:pStyle w:val="IEEEStdsLevel4Header"/>
        <w:numPr>
          <w:ilvl w:val="0"/>
          <w:numId w:val="0"/>
        </w:numPr>
        <w:tabs>
          <w:tab w:val="left" w:pos="720"/>
        </w:tabs>
        <w:rPr>
          <w:sz w:val="22"/>
        </w:rPr>
      </w:pPr>
      <w:r w:rsidRPr="00A46493">
        <w:rPr>
          <w:sz w:val="22"/>
        </w:rPr>
        <w:t>9.4.2.252  EDMG Extended Schedule element</w:t>
      </w:r>
    </w:p>
    <w:p w14:paraId="2108836C" w14:textId="77777777" w:rsidR="00A46493" w:rsidRPr="00A46493" w:rsidRDefault="00A46493" w:rsidP="00A46493">
      <w:pPr>
        <w:pStyle w:val="IEEEStdsParagraph"/>
        <w:rPr>
          <w:sz w:val="22"/>
        </w:rPr>
      </w:pPr>
      <w:r w:rsidRPr="00A46493">
        <w:rPr>
          <w:sz w:val="22"/>
        </w:rPr>
        <w:t xml:space="preserve">The EDMG Extended Schedule element defines the channel scheduling for an EDMG BSS, including an indication of which channels an allocation is scheduled on. </w:t>
      </w:r>
    </w:p>
    <w:p w14:paraId="5EA68FF6" w14:textId="592CA790" w:rsidR="00A46493" w:rsidRPr="00A46493" w:rsidRDefault="00A46493" w:rsidP="00A46493">
      <w:pPr>
        <w:pStyle w:val="IEEEStdsParagraph"/>
        <w:rPr>
          <w:sz w:val="22"/>
        </w:rPr>
      </w:pPr>
      <w:r w:rsidRPr="00A46493">
        <w:rPr>
          <w:sz w:val="22"/>
        </w:rPr>
        <w:t xml:space="preserve">The format of the EDMG Extended Schedule element is shown in </w:t>
      </w:r>
      <w:r w:rsidRPr="00A46493">
        <w:rPr>
          <w:sz w:val="22"/>
        </w:rPr>
        <w:fldChar w:fldCharType="begin"/>
      </w:r>
      <w:r w:rsidRPr="00A46493">
        <w:rPr>
          <w:sz w:val="22"/>
        </w:rPr>
        <w:instrText xml:space="preserve"> REF _Ref461740759 \r \h </w:instrText>
      </w:r>
      <w:r>
        <w:rPr>
          <w:sz w:val="22"/>
        </w:rPr>
        <w:instrText xml:space="preserve"> \* MERGEFORMAT </w:instrText>
      </w:r>
      <w:r w:rsidRPr="00A46493">
        <w:rPr>
          <w:sz w:val="22"/>
        </w:rPr>
      </w:r>
      <w:r w:rsidRPr="00A46493">
        <w:rPr>
          <w:sz w:val="22"/>
        </w:rPr>
        <w:fldChar w:fldCharType="separate"/>
      </w:r>
      <w:r w:rsidRPr="00A46493">
        <w:rPr>
          <w:sz w:val="22"/>
        </w:rPr>
        <w:t>Figure 36</w:t>
      </w:r>
      <w:r w:rsidRPr="00A46493">
        <w:rPr>
          <w:sz w:val="22"/>
        </w:rPr>
        <w:fldChar w:fldCharType="end"/>
      </w:r>
      <w:r w:rsidRPr="00A46493">
        <w:rPr>
          <w:sz w:val="22"/>
        </w:rPr>
        <w:t>.</w:t>
      </w:r>
    </w:p>
    <w:tbl>
      <w:tblPr>
        <w:tblW w:w="10080" w:type="dxa"/>
        <w:jc w:val="center"/>
        <w:tblLayout w:type="fixed"/>
        <w:tblLook w:val="04A0" w:firstRow="1" w:lastRow="0" w:firstColumn="1" w:lastColumn="0" w:noHBand="0" w:noVBand="1"/>
      </w:tblPr>
      <w:tblGrid>
        <w:gridCol w:w="744"/>
        <w:gridCol w:w="1063"/>
        <w:gridCol w:w="803"/>
        <w:gridCol w:w="1004"/>
        <w:gridCol w:w="166"/>
        <w:gridCol w:w="1404"/>
        <w:gridCol w:w="1232"/>
        <w:gridCol w:w="33"/>
        <w:gridCol w:w="1240"/>
        <w:gridCol w:w="206"/>
        <w:gridCol w:w="136"/>
        <w:gridCol w:w="576"/>
        <w:gridCol w:w="1023"/>
        <w:gridCol w:w="450"/>
      </w:tblGrid>
      <w:tr w:rsidR="00A46493" w:rsidRPr="00A46493" w14:paraId="0D153B50" w14:textId="77777777" w:rsidTr="00A46493">
        <w:trPr>
          <w:trHeight w:val="658"/>
          <w:jc w:val="center"/>
        </w:trPr>
        <w:tc>
          <w:tcPr>
            <w:tcW w:w="744" w:type="dxa"/>
            <w:tcBorders>
              <w:top w:val="nil"/>
              <w:left w:val="nil"/>
              <w:bottom w:val="nil"/>
              <w:right w:val="single" w:sz="4" w:space="0" w:color="auto"/>
            </w:tcBorders>
          </w:tcPr>
          <w:p w14:paraId="36EDC661" w14:textId="77777777" w:rsidR="00A46493" w:rsidRPr="00A46493" w:rsidRDefault="00A46493" w:rsidP="00DE2F89">
            <w:pPr>
              <w:pStyle w:val="IEEEStdsTableData-Center"/>
              <w:rPr>
                <w:sz w:val="20"/>
              </w:rPr>
            </w:pPr>
          </w:p>
        </w:tc>
        <w:tc>
          <w:tcPr>
            <w:tcW w:w="1063" w:type="dxa"/>
            <w:tcBorders>
              <w:top w:val="single" w:sz="4" w:space="0" w:color="auto"/>
              <w:left w:val="single" w:sz="4" w:space="0" w:color="auto"/>
              <w:bottom w:val="single" w:sz="4" w:space="0" w:color="auto"/>
              <w:right w:val="single" w:sz="4" w:space="0" w:color="auto"/>
            </w:tcBorders>
            <w:hideMark/>
          </w:tcPr>
          <w:p w14:paraId="5AE0544C" w14:textId="77777777" w:rsidR="00A46493" w:rsidRPr="00A46493" w:rsidRDefault="00A46493" w:rsidP="00DE2F89">
            <w:pPr>
              <w:pStyle w:val="IEEEStdsTableData-Center"/>
              <w:rPr>
                <w:sz w:val="20"/>
              </w:rPr>
            </w:pPr>
            <w:r w:rsidRPr="00A46493">
              <w:rPr>
                <w:sz w:val="20"/>
              </w:rPr>
              <w:t>Element ID</w:t>
            </w:r>
          </w:p>
        </w:tc>
        <w:tc>
          <w:tcPr>
            <w:tcW w:w="803" w:type="dxa"/>
            <w:tcBorders>
              <w:top w:val="single" w:sz="4" w:space="0" w:color="auto"/>
              <w:left w:val="single" w:sz="4" w:space="0" w:color="auto"/>
              <w:bottom w:val="single" w:sz="4" w:space="0" w:color="auto"/>
              <w:right w:val="single" w:sz="4" w:space="0" w:color="auto"/>
            </w:tcBorders>
            <w:hideMark/>
          </w:tcPr>
          <w:p w14:paraId="6B0ED860" w14:textId="77777777" w:rsidR="00A46493" w:rsidRPr="00A46493" w:rsidRDefault="00A46493" w:rsidP="00DE2F89">
            <w:pPr>
              <w:pStyle w:val="IEEEStdsTableData-Center"/>
              <w:rPr>
                <w:sz w:val="20"/>
              </w:rPr>
            </w:pPr>
            <w:r w:rsidRPr="00A46493">
              <w:rPr>
                <w:sz w:val="20"/>
              </w:rPr>
              <w:t>Length</w:t>
            </w:r>
          </w:p>
        </w:tc>
        <w:tc>
          <w:tcPr>
            <w:tcW w:w="1170" w:type="dxa"/>
            <w:gridSpan w:val="2"/>
            <w:tcBorders>
              <w:top w:val="single" w:sz="4" w:space="0" w:color="auto"/>
              <w:left w:val="single" w:sz="4" w:space="0" w:color="auto"/>
              <w:bottom w:val="single" w:sz="4" w:space="0" w:color="auto"/>
              <w:right w:val="single" w:sz="4" w:space="0" w:color="auto"/>
            </w:tcBorders>
            <w:hideMark/>
          </w:tcPr>
          <w:p w14:paraId="338FC2E0" w14:textId="77777777" w:rsidR="00A46493" w:rsidRPr="00A46493" w:rsidRDefault="00A46493" w:rsidP="00DE2F89">
            <w:pPr>
              <w:pStyle w:val="IEEEStdsTableData-Center"/>
              <w:rPr>
                <w:sz w:val="20"/>
              </w:rPr>
            </w:pPr>
            <w:r w:rsidRPr="00A46493">
              <w:rPr>
                <w:sz w:val="20"/>
              </w:rPr>
              <w:t>Element ID Extension</w:t>
            </w:r>
          </w:p>
        </w:tc>
        <w:tc>
          <w:tcPr>
            <w:tcW w:w="1404" w:type="dxa"/>
            <w:tcBorders>
              <w:top w:val="single" w:sz="4" w:space="0" w:color="auto"/>
              <w:left w:val="single" w:sz="4" w:space="0" w:color="auto"/>
              <w:bottom w:val="single" w:sz="4" w:space="0" w:color="auto"/>
              <w:right w:val="single" w:sz="4" w:space="0" w:color="auto"/>
            </w:tcBorders>
            <w:hideMark/>
          </w:tcPr>
          <w:p w14:paraId="2D33E9B6" w14:textId="77777777" w:rsidR="00A46493" w:rsidRPr="00A46493" w:rsidRDefault="00A46493" w:rsidP="00DE2F89">
            <w:pPr>
              <w:pStyle w:val="IEEEStdsTableData-Center"/>
              <w:rPr>
                <w:sz w:val="20"/>
              </w:rPr>
            </w:pPr>
            <w:r w:rsidRPr="00A46493">
              <w:rPr>
                <w:sz w:val="20"/>
              </w:rPr>
              <w:t>Number of Allocations</w:t>
            </w:r>
          </w:p>
        </w:tc>
        <w:tc>
          <w:tcPr>
            <w:tcW w:w="1265" w:type="dxa"/>
            <w:gridSpan w:val="2"/>
            <w:tcBorders>
              <w:top w:val="single" w:sz="4" w:space="0" w:color="auto"/>
              <w:left w:val="single" w:sz="4" w:space="0" w:color="auto"/>
              <w:bottom w:val="single" w:sz="4" w:space="0" w:color="auto"/>
              <w:right w:val="single" w:sz="4" w:space="0" w:color="auto"/>
            </w:tcBorders>
          </w:tcPr>
          <w:p w14:paraId="3B99B8E5" w14:textId="77777777" w:rsidR="00A46493" w:rsidRPr="00A46493" w:rsidRDefault="00A46493" w:rsidP="00DE2F89">
            <w:pPr>
              <w:pStyle w:val="IEEEStdsTableData-Center"/>
              <w:rPr>
                <w:sz w:val="20"/>
                <w:u w:val="single"/>
              </w:rPr>
            </w:pPr>
            <w:r w:rsidRPr="00A46493">
              <w:rPr>
                <w:sz w:val="20"/>
                <w:u w:val="single"/>
              </w:rPr>
              <w:t>Allocation Management</w:t>
            </w:r>
          </w:p>
        </w:tc>
        <w:tc>
          <w:tcPr>
            <w:tcW w:w="1446" w:type="dxa"/>
            <w:gridSpan w:val="2"/>
            <w:tcBorders>
              <w:top w:val="single" w:sz="4" w:space="0" w:color="auto"/>
              <w:left w:val="single" w:sz="4" w:space="0" w:color="auto"/>
              <w:bottom w:val="single" w:sz="4" w:space="0" w:color="auto"/>
              <w:right w:val="single" w:sz="4" w:space="0" w:color="auto"/>
            </w:tcBorders>
            <w:hideMark/>
          </w:tcPr>
          <w:p w14:paraId="1356F180" w14:textId="77777777" w:rsidR="00A46493" w:rsidRPr="00A46493" w:rsidRDefault="00A46493" w:rsidP="00DE2F89">
            <w:pPr>
              <w:pStyle w:val="IEEEStdsTableData-Center"/>
              <w:rPr>
                <w:sz w:val="20"/>
              </w:rPr>
            </w:pPr>
            <w:r w:rsidRPr="00A46493">
              <w:rPr>
                <w:sz w:val="20"/>
              </w:rPr>
              <w:t>Channel Allocation 1</w:t>
            </w:r>
          </w:p>
        </w:tc>
        <w:tc>
          <w:tcPr>
            <w:tcW w:w="712" w:type="dxa"/>
            <w:gridSpan w:val="2"/>
            <w:tcBorders>
              <w:top w:val="single" w:sz="4" w:space="0" w:color="auto"/>
              <w:left w:val="single" w:sz="4" w:space="0" w:color="auto"/>
              <w:bottom w:val="single" w:sz="4" w:space="0" w:color="auto"/>
              <w:right w:val="single" w:sz="4" w:space="0" w:color="auto"/>
            </w:tcBorders>
            <w:hideMark/>
          </w:tcPr>
          <w:p w14:paraId="097B79D8" w14:textId="77777777" w:rsidR="00A46493" w:rsidRPr="00A46493" w:rsidRDefault="00A46493" w:rsidP="00DE2F89">
            <w:pPr>
              <w:pStyle w:val="IEEEStdsTableData-Center"/>
              <w:rPr>
                <w:sz w:val="20"/>
              </w:rPr>
            </w:pPr>
            <w:r w:rsidRPr="00A46493">
              <w:rPr>
                <w:sz w:val="20"/>
              </w:rPr>
              <w:t>…</w:t>
            </w:r>
          </w:p>
        </w:tc>
        <w:tc>
          <w:tcPr>
            <w:tcW w:w="1473" w:type="dxa"/>
            <w:gridSpan w:val="2"/>
            <w:tcBorders>
              <w:top w:val="single" w:sz="4" w:space="0" w:color="auto"/>
              <w:left w:val="single" w:sz="4" w:space="0" w:color="auto"/>
              <w:bottom w:val="single" w:sz="4" w:space="0" w:color="auto"/>
              <w:right w:val="single" w:sz="4" w:space="0" w:color="auto"/>
            </w:tcBorders>
            <w:hideMark/>
          </w:tcPr>
          <w:p w14:paraId="60FE0BBD" w14:textId="77777777" w:rsidR="00A46493" w:rsidRPr="00A46493" w:rsidRDefault="00A46493" w:rsidP="00DE2F89">
            <w:pPr>
              <w:pStyle w:val="IEEEStdsTableData-Center"/>
              <w:rPr>
                <w:sz w:val="20"/>
              </w:rPr>
            </w:pPr>
            <w:r w:rsidRPr="00A46493">
              <w:rPr>
                <w:sz w:val="20"/>
              </w:rPr>
              <w:t>Channel Allocation N</w:t>
            </w:r>
          </w:p>
        </w:tc>
      </w:tr>
      <w:tr w:rsidR="00A46493" w:rsidRPr="00A46493" w14:paraId="6C5E41D4" w14:textId="77777777" w:rsidTr="00A46493">
        <w:trPr>
          <w:gridAfter w:val="1"/>
          <w:wAfter w:w="450" w:type="dxa"/>
          <w:trHeight w:val="208"/>
          <w:jc w:val="center"/>
        </w:trPr>
        <w:tc>
          <w:tcPr>
            <w:tcW w:w="744" w:type="dxa"/>
            <w:hideMark/>
          </w:tcPr>
          <w:p w14:paraId="029123E3" w14:textId="77777777" w:rsidR="00A46493" w:rsidRPr="00A46493" w:rsidRDefault="00A46493" w:rsidP="00DE2F89">
            <w:pPr>
              <w:pStyle w:val="IEEEStdsTableData-Center"/>
              <w:rPr>
                <w:sz w:val="20"/>
              </w:rPr>
            </w:pPr>
            <w:r w:rsidRPr="00A46493">
              <w:rPr>
                <w:sz w:val="20"/>
              </w:rPr>
              <w:t>Octets:</w:t>
            </w:r>
          </w:p>
        </w:tc>
        <w:tc>
          <w:tcPr>
            <w:tcW w:w="1063" w:type="dxa"/>
            <w:tcBorders>
              <w:top w:val="single" w:sz="4" w:space="0" w:color="auto"/>
              <w:left w:val="nil"/>
              <w:bottom w:val="nil"/>
              <w:right w:val="nil"/>
            </w:tcBorders>
            <w:hideMark/>
          </w:tcPr>
          <w:p w14:paraId="151A7B4F" w14:textId="77777777" w:rsidR="00A46493" w:rsidRPr="00A46493" w:rsidRDefault="00A46493" w:rsidP="00DE2F89">
            <w:pPr>
              <w:pStyle w:val="IEEEStdsTableData-Center"/>
              <w:rPr>
                <w:sz w:val="20"/>
              </w:rPr>
            </w:pPr>
            <w:r w:rsidRPr="00A46493">
              <w:rPr>
                <w:sz w:val="20"/>
              </w:rPr>
              <w:t>1</w:t>
            </w:r>
          </w:p>
        </w:tc>
        <w:tc>
          <w:tcPr>
            <w:tcW w:w="803" w:type="dxa"/>
            <w:tcBorders>
              <w:top w:val="single" w:sz="4" w:space="0" w:color="auto"/>
              <w:left w:val="nil"/>
              <w:bottom w:val="nil"/>
              <w:right w:val="nil"/>
            </w:tcBorders>
            <w:hideMark/>
          </w:tcPr>
          <w:p w14:paraId="33F92FE3" w14:textId="77777777" w:rsidR="00A46493" w:rsidRPr="00A46493" w:rsidRDefault="00A46493" w:rsidP="00DE2F89">
            <w:pPr>
              <w:pStyle w:val="IEEEStdsTableData-Center"/>
              <w:rPr>
                <w:sz w:val="20"/>
              </w:rPr>
            </w:pPr>
            <w:r w:rsidRPr="00A46493">
              <w:rPr>
                <w:sz w:val="20"/>
              </w:rPr>
              <w:t>1</w:t>
            </w:r>
          </w:p>
        </w:tc>
        <w:tc>
          <w:tcPr>
            <w:tcW w:w="1004" w:type="dxa"/>
            <w:tcBorders>
              <w:top w:val="single" w:sz="4" w:space="0" w:color="auto"/>
              <w:left w:val="nil"/>
              <w:bottom w:val="nil"/>
              <w:right w:val="nil"/>
            </w:tcBorders>
            <w:hideMark/>
          </w:tcPr>
          <w:p w14:paraId="79AEEC0E" w14:textId="77777777" w:rsidR="00A46493" w:rsidRPr="00A46493" w:rsidRDefault="00A46493" w:rsidP="00DE2F89">
            <w:pPr>
              <w:pStyle w:val="IEEEStdsTableData-Center"/>
              <w:rPr>
                <w:sz w:val="20"/>
              </w:rPr>
            </w:pPr>
            <w:r w:rsidRPr="00A46493">
              <w:rPr>
                <w:sz w:val="20"/>
              </w:rPr>
              <w:t>1</w:t>
            </w:r>
          </w:p>
        </w:tc>
        <w:tc>
          <w:tcPr>
            <w:tcW w:w="1570" w:type="dxa"/>
            <w:gridSpan w:val="2"/>
            <w:tcBorders>
              <w:top w:val="single" w:sz="4" w:space="0" w:color="auto"/>
              <w:left w:val="nil"/>
              <w:bottom w:val="nil"/>
              <w:right w:val="nil"/>
            </w:tcBorders>
            <w:hideMark/>
          </w:tcPr>
          <w:p w14:paraId="46A2D80F" w14:textId="77777777" w:rsidR="00A46493" w:rsidRPr="00A46493" w:rsidRDefault="00A46493" w:rsidP="00DE2F89">
            <w:pPr>
              <w:pStyle w:val="IEEEStdsTableData-Center"/>
              <w:ind w:right="72"/>
              <w:jc w:val="left"/>
              <w:rPr>
                <w:sz w:val="20"/>
              </w:rPr>
            </w:pPr>
            <w:r w:rsidRPr="00A46493">
              <w:rPr>
                <w:sz w:val="20"/>
              </w:rPr>
              <w:t xml:space="preserve">              1</w:t>
            </w:r>
          </w:p>
        </w:tc>
        <w:tc>
          <w:tcPr>
            <w:tcW w:w="1232" w:type="dxa"/>
            <w:tcBorders>
              <w:top w:val="single" w:sz="4" w:space="0" w:color="auto"/>
              <w:left w:val="nil"/>
              <w:bottom w:val="nil"/>
              <w:right w:val="nil"/>
            </w:tcBorders>
          </w:tcPr>
          <w:p w14:paraId="7047A4C4" w14:textId="77777777" w:rsidR="00A46493" w:rsidRPr="00A46493" w:rsidRDefault="00A46493" w:rsidP="00DE2F89">
            <w:pPr>
              <w:pStyle w:val="IEEEStdsTableData-Center"/>
              <w:jc w:val="left"/>
              <w:rPr>
                <w:sz w:val="20"/>
              </w:rPr>
            </w:pPr>
            <w:r w:rsidRPr="00A46493">
              <w:rPr>
                <w:sz w:val="20"/>
              </w:rPr>
              <w:t xml:space="preserve">            1</w:t>
            </w:r>
          </w:p>
        </w:tc>
        <w:tc>
          <w:tcPr>
            <w:tcW w:w="1273" w:type="dxa"/>
            <w:gridSpan w:val="2"/>
            <w:tcBorders>
              <w:top w:val="single" w:sz="4" w:space="0" w:color="auto"/>
              <w:left w:val="nil"/>
              <w:bottom w:val="nil"/>
              <w:right w:val="nil"/>
            </w:tcBorders>
            <w:hideMark/>
          </w:tcPr>
          <w:p w14:paraId="0788F3EF" w14:textId="77777777" w:rsidR="00A46493" w:rsidRPr="00A46493" w:rsidRDefault="00A46493" w:rsidP="00DE2F89">
            <w:pPr>
              <w:pStyle w:val="IEEEStdsTableData-Center"/>
              <w:jc w:val="left"/>
              <w:rPr>
                <w:sz w:val="20"/>
              </w:rPr>
            </w:pPr>
            <w:r w:rsidRPr="00A46493">
              <w:rPr>
                <w:sz w:val="20"/>
              </w:rPr>
              <w:t xml:space="preserve">        6 or 18</w:t>
            </w:r>
          </w:p>
        </w:tc>
        <w:tc>
          <w:tcPr>
            <w:tcW w:w="342" w:type="dxa"/>
            <w:gridSpan w:val="2"/>
            <w:tcBorders>
              <w:top w:val="single" w:sz="4" w:space="0" w:color="auto"/>
              <w:left w:val="nil"/>
              <w:bottom w:val="nil"/>
              <w:right w:val="nil"/>
            </w:tcBorders>
          </w:tcPr>
          <w:p w14:paraId="2C02CDB3" w14:textId="77777777" w:rsidR="00A46493" w:rsidRPr="00A46493" w:rsidRDefault="00A46493" w:rsidP="00DE2F89">
            <w:pPr>
              <w:pStyle w:val="IEEEStdsTableData-Center"/>
              <w:rPr>
                <w:sz w:val="20"/>
              </w:rPr>
            </w:pPr>
          </w:p>
        </w:tc>
        <w:tc>
          <w:tcPr>
            <w:tcW w:w="1599" w:type="dxa"/>
            <w:gridSpan w:val="2"/>
            <w:tcBorders>
              <w:top w:val="single" w:sz="4" w:space="0" w:color="auto"/>
              <w:left w:val="nil"/>
              <w:bottom w:val="nil"/>
              <w:right w:val="nil"/>
            </w:tcBorders>
            <w:hideMark/>
          </w:tcPr>
          <w:p w14:paraId="029A1683" w14:textId="28BB4DE6" w:rsidR="00A46493" w:rsidRPr="00A46493" w:rsidRDefault="00A46493" w:rsidP="00DE2F89">
            <w:pPr>
              <w:pStyle w:val="IEEEStdsTableData-Center"/>
              <w:jc w:val="left"/>
              <w:rPr>
                <w:sz w:val="20"/>
              </w:rPr>
            </w:pPr>
            <w:r>
              <w:rPr>
                <w:sz w:val="20"/>
              </w:rPr>
              <w:t xml:space="preserve">                </w:t>
            </w:r>
            <w:r w:rsidRPr="00A46493">
              <w:rPr>
                <w:sz w:val="20"/>
              </w:rPr>
              <w:t>6 or 18</w:t>
            </w:r>
          </w:p>
        </w:tc>
      </w:tr>
    </w:tbl>
    <w:p w14:paraId="77106298" w14:textId="77777777" w:rsidR="00A46493" w:rsidRPr="00A46493" w:rsidRDefault="00A46493" w:rsidP="00A46493">
      <w:pPr>
        <w:pStyle w:val="IEEEStdsRegularFigureCaption"/>
        <w:numPr>
          <w:ilvl w:val="0"/>
          <w:numId w:val="0"/>
        </w:numPr>
        <w:ind w:left="288"/>
      </w:pPr>
      <w:bookmarkStart w:id="1" w:name="_Toc490310933"/>
      <w:bookmarkStart w:id="2" w:name="_Ref461740759"/>
      <w:r w:rsidRPr="00A46493">
        <w:rPr>
          <w:sz w:val="22"/>
        </w:rPr>
        <w:t>Figure 36 - EDMG Extended Schedule element format</w:t>
      </w:r>
      <w:bookmarkEnd w:id="1"/>
      <w:bookmarkEnd w:id="2"/>
    </w:p>
    <w:p w14:paraId="4AA34672" w14:textId="77777777" w:rsidR="00A46493" w:rsidRPr="00A46493" w:rsidRDefault="00A46493" w:rsidP="00A46493">
      <w:pPr>
        <w:rPr>
          <w:sz w:val="28"/>
        </w:rPr>
      </w:pPr>
    </w:p>
    <w:p w14:paraId="74D26C89" w14:textId="77777777" w:rsidR="00A46493" w:rsidRPr="00A46493" w:rsidRDefault="00A46493" w:rsidP="00A46493">
      <w:pPr>
        <w:rPr>
          <w:sz w:val="24"/>
          <w:lang w:eastAsia="ja-JP"/>
        </w:rPr>
      </w:pPr>
      <w:r w:rsidRPr="00A46493">
        <w:rPr>
          <w:sz w:val="24"/>
          <w:lang w:eastAsia="ja-JP"/>
        </w:rPr>
        <w:t>The Element ID, Length and Element ID Extension fields are defined in 9.4.2.1.</w:t>
      </w:r>
    </w:p>
    <w:p w14:paraId="479ABDE7" w14:textId="77777777" w:rsidR="00A46493" w:rsidRPr="00A46493" w:rsidRDefault="00A46493" w:rsidP="00A46493">
      <w:pPr>
        <w:rPr>
          <w:sz w:val="24"/>
          <w:lang w:eastAsia="ja-JP"/>
        </w:rPr>
      </w:pPr>
      <w:r w:rsidRPr="00A46493">
        <w:rPr>
          <w:sz w:val="24"/>
          <w:lang w:eastAsia="ja-JP"/>
        </w:rPr>
        <w:t>The Number of Allocations field indicates the number, N, of Channel Allocation fields following it.</w:t>
      </w:r>
    </w:p>
    <w:p w14:paraId="167423C2" w14:textId="77777777" w:rsidR="00A46493" w:rsidRPr="00A46493" w:rsidRDefault="00A46493" w:rsidP="00A46493">
      <w:pPr>
        <w:rPr>
          <w:sz w:val="24"/>
          <w:u w:val="single"/>
          <w:lang w:eastAsia="ja-JP"/>
        </w:rPr>
      </w:pPr>
      <w:r w:rsidRPr="00A46493">
        <w:rPr>
          <w:sz w:val="24"/>
          <w:u w:val="single"/>
          <w:lang w:eastAsia="ja-JP"/>
        </w:rPr>
        <w:t xml:space="preserve">The Allocation Management field is composed of the Distributed Scheduling Enabled subfield, which is 1 bit in length, and 7 reserve bits.  If Distributed Scheduling is enabled, the Distributed Scheduling Enabled subfield is set to 1, otherwise it is 0. </w:t>
      </w:r>
    </w:p>
    <w:p w14:paraId="008C7EFB" w14:textId="77777777" w:rsidR="00A46493" w:rsidRPr="00A46493" w:rsidRDefault="00A46493" w:rsidP="00A46493">
      <w:pPr>
        <w:rPr>
          <w:sz w:val="24"/>
          <w:u w:val="single"/>
          <w:lang w:eastAsia="ja-JP"/>
        </w:rPr>
      </w:pPr>
    </w:p>
    <w:p w14:paraId="074687C9" w14:textId="1E22D908" w:rsidR="00A46493" w:rsidRPr="00A46493" w:rsidRDefault="00A46493" w:rsidP="00A46493">
      <w:pPr>
        <w:rPr>
          <w:bCs/>
          <w:sz w:val="28"/>
        </w:rPr>
      </w:pPr>
    </w:p>
    <w:sectPr w:rsidR="00A46493" w:rsidRPr="00A46493"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58848" w14:textId="77777777" w:rsidR="00F33D29" w:rsidRDefault="00F33D29">
      <w:r>
        <w:separator/>
      </w:r>
    </w:p>
  </w:endnote>
  <w:endnote w:type="continuationSeparator" w:id="0">
    <w:p w14:paraId="3ED02990" w14:textId="77777777" w:rsidR="00F33D29" w:rsidRDefault="00F3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BBA9" w14:textId="5EF36392" w:rsidR="00B96DB3" w:rsidRDefault="00F33D29" w:rsidP="00383E8F">
    <w:pPr>
      <w:pStyle w:val="Footer"/>
      <w:tabs>
        <w:tab w:val="clear" w:pos="6480"/>
        <w:tab w:val="center" w:pos="4680"/>
        <w:tab w:val="right" w:pos="9360"/>
      </w:tabs>
    </w:pPr>
    <w:r>
      <w:fldChar w:fldCharType="begin"/>
    </w:r>
    <w:r>
      <w:instrText xml:space="preserve"> SUBJECT  \* MERGEFORMAT </w:instrText>
    </w:r>
    <w:r>
      <w:fldChar w:fldCharType="separate"/>
    </w:r>
    <w:r w:rsidR="00B96DB3">
      <w:t>Submission</w:t>
    </w:r>
    <w:r>
      <w:fldChar w:fldCharType="end"/>
    </w:r>
    <w:r w:rsidR="00B96DB3">
      <w:tab/>
      <w:t xml:space="preserve">page </w:t>
    </w:r>
    <w:r w:rsidR="00B96DB3">
      <w:fldChar w:fldCharType="begin"/>
    </w:r>
    <w:r w:rsidR="00B96DB3">
      <w:instrText xml:space="preserve">page </w:instrText>
    </w:r>
    <w:r w:rsidR="00B96DB3">
      <w:fldChar w:fldCharType="separate"/>
    </w:r>
    <w:r w:rsidR="003B508F">
      <w:rPr>
        <w:noProof/>
      </w:rPr>
      <w:t>2</w:t>
    </w:r>
    <w:r w:rsidR="00B96DB3">
      <w:fldChar w:fldCharType="end"/>
    </w:r>
    <w:r w:rsidR="00B96DB3">
      <w:tab/>
    </w:r>
    <w:r w:rsidR="001F0915">
      <w:t>Kerstin Johnsson, Intel</w:t>
    </w:r>
  </w:p>
  <w:p w14:paraId="10443DCE" w14:textId="77777777" w:rsidR="00B96DB3" w:rsidRDefault="00B96D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55AD5" w14:textId="77777777" w:rsidR="00F33D29" w:rsidRDefault="00F33D29">
      <w:r>
        <w:separator/>
      </w:r>
    </w:p>
  </w:footnote>
  <w:footnote w:type="continuationSeparator" w:id="0">
    <w:p w14:paraId="64B272F8" w14:textId="77777777" w:rsidR="00F33D29" w:rsidRDefault="00F33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9E81" w14:textId="176BEFBB" w:rsidR="00B96DB3" w:rsidRDefault="002D68CC" w:rsidP="0023342B">
    <w:pPr>
      <w:pStyle w:val="Header"/>
      <w:tabs>
        <w:tab w:val="clear" w:pos="6480"/>
        <w:tab w:val="center" w:pos="4680"/>
        <w:tab w:val="right" w:pos="9360"/>
      </w:tabs>
    </w:pPr>
    <w:r>
      <w:t>September</w:t>
    </w:r>
    <w:r w:rsidR="00B96DB3">
      <w:t xml:space="preserve"> 2017</w:t>
    </w:r>
    <w:r w:rsidR="00B96DB3">
      <w:tab/>
    </w:r>
    <w:r w:rsidR="00B96DB3">
      <w:tab/>
    </w:r>
    <w:r w:rsidR="00F33D29">
      <w:fldChar w:fldCharType="begin"/>
    </w:r>
    <w:r w:rsidR="00F33D29">
      <w:instrText xml:space="preserve"> TITLE  \* MERGEFORMAT </w:instrText>
    </w:r>
    <w:r w:rsidR="00F33D29">
      <w:fldChar w:fldCharType="separate"/>
    </w:r>
    <w:r w:rsidR="00B96DB3">
      <w:t>doc.: IEEE 802.11-17/</w:t>
    </w:r>
    <w:r>
      <w:t>1446r0</w:t>
    </w:r>
    <w:r w:rsidR="00F33D2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E39EF"/>
    <w:multiLevelType w:val="multilevel"/>
    <w:tmpl w:val="80E2DE04"/>
    <w:lvl w:ilvl="0">
      <w:start w:val="9"/>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4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6"/>
  </w:num>
  <w:num w:numId="7">
    <w:abstractNumId w:val="4"/>
  </w:num>
  <w:num w:numId="8">
    <w:abstractNumId w:val="7"/>
  </w:num>
  <w:num w:numId="9">
    <w:abstractNumId w:val="0"/>
  </w:num>
  <w:num w:numId="10">
    <w:abstractNumId w:val="9"/>
  </w:num>
  <w:num w:numId="11">
    <w:abstractNumId w:val="8"/>
    <w:lvlOverride w:ilvl="0">
      <w:startOverride w:val="9"/>
    </w:lvlOverride>
    <w:lvlOverride w:ilvl="1">
      <w:startOverride w:val="4"/>
    </w:lvlOverride>
    <w:lvlOverride w:ilvl="2">
      <w:startOverride w:val="1"/>
    </w:lvlOverride>
    <w:lvlOverride w:ilvl="3">
      <w:startOverride w:val="4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1379F"/>
    <w:rsid w:val="00023294"/>
    <w:rsid w:val="000240CC"/>
    <w:rsid w:val="000740A7"/>
    <w:rsid w:val="000823C0"/>
    <w:rsid w:val="00090AFC"/>
    <w:rsid w:val="000A0B81"/>
    <w:rsid w:val="000A0D93"/>
    <w:rsid w:val="000C1D25"/>
    <w:rsid w:val="00110706"/>
    <w:rsid w:val="00112941"/>
    <w:rsid w:val="00123DB1"/>
    <w:rsid w:val="001272A5"/>
    <w:rsid w:val="00137047"/>
    <w:rsid w:val="0014236A"/>
    <w:rsid w:val="001547FE"/>
    <w:rsid w:val="00166CB4"/>
    <w:rsid w:val="0016706C"/>
    <w:rsid w:val="00167532"/>
    <w:rsid w:val="00171892"/>
    <w:rsid w:val="001812E2"/>
    <w:rsid w:val="00182B9E"/>
    <w:rsid w:val="00194584"/>
    <w:rsid w:val="001B2E1F"/>
    <w:rsid w:val="001B544B"/>
    <w:rsid w:val="001C1387"/>
    <w:rsid w:val="001D06A1"/>
    <w:rsid w:val="001D723B"/>
    <w:rsid w:val="001F0915"/>
    <w:rsid w:val="001F7ABA"/>
    <w:rsid w:val="002178FE"/>
    <w:rsid w:val="002276CF"/>
    <w:rsid w:val="0023342B"/>
    <w:rsid w:val="00236BC7"/>
    <w:rsid w:val="00270110"/>
    <w:rsid w:val="00283AB6"/>
    <w:rsid w:val="0029020B"/>
    <w:rsid w:val="002A661B"/>
    <w:rsid w:val="002B7BC3"/>
    <w:rsid w:val="002B7ED5"/>
    <w:rsid w:val="002D0729"/>
    <w:rsid w:val="002D44BE"/>
    <w:rsid w:val="002D68CC"/>
    <w:rsid w:val="00344D28"/>
    <w:rsid w:val="0035370F"/>
    <w:rsid w:val="00383E8F"/>
    <w:rsid w:val="003A6392"/>
    <w:rsid w:val="003B00D8"/>
    <w:rsid w:val="003B2A61"/>
    <w:rsid w:val="003B508F"/>
    <w:rsid w:val="003C2195"/>
    <w:rsid w:val="003F4583"/>
    <w:rsid w:val="003F6608"/>
    <w:rsid w:val="00400B6A"/>
    <w:rsid w:val="00431F39"/>
    <w:rsid w:val="00442037"/>
    <w:rsid w:val="00461F87"/>
    <w:rsid w:val="00467361"/>
    <w:rsid w:val="00481270"/>
    <w:rsid w:val="00481577"/>
    <w:rsid w:val="004863DC"/>
    <w:rsid w:val="004B064B"/>
    <w:rsid w:val="004C0029"/>
    <w:rsid w:val="004C618B"/>
    <w:rsid w:val="004D26F4"/>
    <w:rsid w:val="004E7D6E"/>
    <w:rsid w:val="00545310"/>
    <w:rsid w:val="00557812"/>
    <w:rsid w:val="005876D4"/>
    <w:rsid w:val="00590FE7"/>
    <w:rsid w:val="005B4264"/>
    <w:rsid w:val="005D11A1"/>
    <w:rsid w:val="005D1482"/>
    <w:rsid w:val="005D4518"/>
    <w:rsid w:val="005E47D8"/>
    <w:rsid w:val="005E6BBD"/>
    <w:rsid w:val="005F542C"/>
    <w:rsid w:val="00606E3D"/>
    <w:rsid w:val="0062440B"/>
    <w:rsid w:val="00632ED6"/>
    <w:rsid w:val="00644B57"/>
    <w:rsid w:val="00645768"/>
    <w:rsid w:val="00665B5C"/>
    <w:rsid w:val="00666F26"/>
    <w:rsid w:val="00682D0E"/>
    <w:rsid w:val="00694EBF"/>
    <w:rsid w:val="006C0727"/>
    <w:rsid w:val="006C7818"/>
    <w:rsid w:val="006E145F"/>
    <w:rsid w:val="006E1B79"/>
    <w:rsid w:val="006E57BF"/>
    <w:rsid w:val="006E62D2"/>
    <w:rsid w:val="006F72E5"/>
    <w:rsid w:val="00714300"/>
    <w:rsid w:val="00736264"/>
    <w:rsid w:val="00744015"/>
    <w:rsid w:val="0076272B"/>
    <w:rsid w:val="00765378"/>
    <w:rsid w:val="00770572"/>
    <w:rsid w:val="00772633"/>
    <w:rsid w:val="00780C4E"/>
    <w:rsid w:val="007833E8"/>
    <w:rsid w:val="00785BE9"/>
    <w:rsid w:val="007925FD"/>
    <w:rsid w:val="007B0994"/>
    <w:rsid w:val="007B3AE0"/>
    <w:rsid w:val="007E1671"/>
    <w:rsid w:val="007E1CE9"/>
    <w:rsid w:val="00830450"/>
    <w:rsid w:val="00833A00"/>
    <w:rsid w:val="00873CD5"/>
    <w:rsid w:val="008A655D"/>
    <w:rsid w:val="008A6DF8"/>
    <w:rsid w:val="008B2719"/>
    <w:rsid w:val="008C0EB4"/>
    <w:rsid w:val="008C5274"/>
    <w:rsid w:val="008D602A"/>
    <w:rsid w:val="008E5955"/>
    <w:rsid w:val="008F398B"/>
    <w:rsid w:val="00905992"/>
    <w:rsid w:val="00907FF8"/>
    <w:rsid w:val="00915C32"/>
    <w:rsid w:val="00922066"/>
    <w:rsid w:val="00925874"/>
    <w:rsid w:val="009308B0"/>
    <w:rsid w:val="009312FD"/>
    <w:rsid w:val="00937855"/>
    <w:rsid w:val="009419B2"/>
    <w:rsid w:val="00954E84"/>
    <w:rsid w:val="00962E68"/>
    <w:rsid w:val="00986918"/>
    <w:rsid w:val="009B5570"/>
    <w:rsid w:val="009C582C"/>
    <w:rsid w:val="009D6203"/>
    <w:rsid w:val="009D6594"/>
    <w:rsid w:val="009E71DB"/>
    <w:rsid w:val="009F2FBC"/>
    <w:rsid w:val="00A03288"/>
    <w:rsid w:val="00A075A0"/>
    <w:rsid w:val="00A07FD9"/>
    <w:rsid w:val="00A46493"/>
    <w:rsid w:val="00A85803"/>
    <w:rsid w:val="00A94228"/>
    <w:rsid w:val="00AA40FE"/>
    <w:rsid w:val="00AA427C"/>
    <w:rsid w:val="00AB4EB6"/>
    <w:rsid w:val="00AB55B5"/>
    <w:rsid w:val="00AB7504"/>
    <w:rsid w:val="00AC64D9"/>
    <w:rsid w:val="00AD2DAC"/>
    <w:rsid w:val="00AE0442"/>
    <w:rsid w:val="00AF05F5"/>
    <w:rsid w:val="00AF3336"/>
    <w:rsid w:val="00B00CF3"/>
    <w:rsid w:val="00B0316B"/>
    <w:rsid w:val="00B05F60"/>
    <w:rsid w:val="00B22515"/>
    <w:rsid w:val="00B33043"/>
    <w:rsid w:val="00B330E6"/>
    <w:rsid w:val="00B350AD"/>
    <w:rsid w:val="00B41DB9"/>
    <w:rsid w:val="00B4204E"/>
    <w:rsid w:val="00B62722"/>
    <w:rsid w:val="00B74F3E"/>
    <w:rsid w:val="00B76007"/>
    <w:rsid w:val="00B80F40"/>
    <w:rsid w:val="00B90B9D"/>
    <w:rsid w:val="00B96DB3"/>
    <w:rsid w:val="00BA08A4"/>
    <w:rsid w:val="00BC12AF"/>
    <w:rsid w:val="00BE68C2"/>
    <w:rsid w:val="00BF0319"/>
    <w:rsid w:val="00C26CAF"/>
    <w:rsid w:val="00C3692A"/>
    <w:rsid w:val="00C54941"/>
    <w:rsid w:val="00C811E6"/>
    <w:rsid w:val="00C81F93"/>
    <w:rsid w:val="00C8670C"/>
    <w:rsid w:val="00C94441"/>
    <w:rsid w:val="00CA09B2"/>
    <w:rsid w:val="00CA2292"/>
    <w:rsid w:val="00CB41FC"/>
    <w:rsid w:val="00CE30DD"/>
    <w:rsid w:val="00CF5109"/>
    <w:rsid w:val="00D30DC2"/>
    <w:rsid w:val="00D34FAF"/>
    <w:rsid w:val="00D62CE7"/>
    <w:rsid w:val="00D906BE"/>
    <w:rsid w:val="00D90C83"/>
    <w:rsid w:val="00D95CAF"/>
    <w:rsid w:val="00DA32A2"/>
    <w:rsid w:val="00DA3753"/>
    <w:rsid w:val="00DA5467"/>
    <w:rsid w:val="00DC5A7B"/>
    <w:rsid w:val="00DD71AC"/>
    <w:rsid w:val="00E06336"/>
    <w:rsid w:val="00E068DD"/>
    <w:rsid w:val="00E2291A"/>
    <w:rsid w:val="00E41B4D"/>
    <w:rsid w:val="00E52177"/>
    <w:rsid w:val="00E52B37"/>
    <w:rsid w:val="00E6284C"/>
    <w:rsid w:val="00E76A54"/>
    <w:rsid w:val="00E9223A"/>
    <w:rsid w:val="00E929C1"/>
    <w:rsid w:val="00EA5521"/>
    <w:rsid w:val="00EB4B17"/>
    <w:rsid w:val="00EC72D9"/>
    <w:rsid w:val="00ED0A73"/>
    <w:rsid w:val="00EF1149"/>
    <w:rsid w:val="00F041E9"/>
    <w:rsid w:val="00F049A1"/>
    <w:rsid w:val="00F176C6"/>
    <w:rsid w:val="00F24BB5"/>
    <w:rsid w:val="00F25221"/>
    <w:rsid w:val="00F33D29"/>
    <w:rsid w:val="00F442F8"/>
    <w:rsid w:val="00F470F9"/>
    <w:rsid w:val="00F51D4C"/>
    <w:rsid w:val="00F55598"/>
    <w:rsid w:val="00F640B5"/>
    <w:rsid w:val="00F67244"/>
    <w:rsid w:val="00F743D9"/>
    <w:rsid w:val="00F75849"/>
    <w:rsid w:val="00F83B97"/>
    <w:rsid w:val="00F86CA0"/>
    <w:rsid w:val="00F8709E"/>
    <w:rsid w:val="00F96153"/>
    <w:rsid w:val="00FA49AB"/>
    <w:rsid w:val="00FB338B"/>
    <w:rsid w:val="00FB4196"/>
    <w:rsid w:val="00FE5B22"/>
    <w:rsid w:val="00FE71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B22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9E9C-300E-4BED-A759-44CCB282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Johnsson, Kerstin</cp:lastModifiedBy>
  <cp:revision>5</cp:revision>
  <dcterms:created xsi:type="dcterms:W3CDTF">2017-09-11T19:13:00Z</dcterms:created>
  <dcterms:modified xsi:type="dcterms:W3CDTF">2017-09-11T19:14:00Z</dcterms:modified>
</cp:coreProperties>
</file>