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982"/>
        <w:gridCol w:w="1559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38DE2AE1" w:rsidR="00CA09B2" w:rsidRPr="003F1D4B" w:rsidRDefault="00CA09B2" w:rsidP="001029BF">
            <w:pPr>
              <w:pStyle w:val="T2"/>
            </w:pPr>
            <w:r w:rsidRPr="003F1D4B">
              <w:t>[</w:t>
            </w:r>
            <w:r w:rsidR="001029BF">
              <w:t>Draft text for MU-MIMO channel access flow</w:t>
            </w:r>
            <w:r w:rsidRPr="003F1D4B">
              <w:t>]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7E1501F6" w:rsidR="00CA09B2" w:rsidRPr="003F1D4B" w:rsidRDefault="00CA09B2" w:rsidP="001C4631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F015F3">
              <w:rPr>
                <w:b w:val="0"/>
                <w:sz w:val="20"/>
              </w:rPr>
              <w:t>0</w:t>
            </w:r>
            <w:r w:rsidR="00D13308">
              <w:rPr>
                <w:b w:val="0"/>
                <w:sz w:val="20"/>
              </w:rPr>
              <w:t>9</w:t>
            </w:r>
            <w:r w:rsidRPr="003F1D4B">
              <w:rPr>
                <w:b w:val="0"/>
                <w:sz w:val="20"/>
              </w:rPr>
              <w:t>-</w:t>
            </w:r>
            <w:r w:rsidR="00D13308">
              <w:rPr>
                <w:b w:val="0"/>
                <w:sz w:val="20"/>
              </w:rPr>
              <w:t>08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604414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D13308" w:rsidRPr="003F1D4B" w14:paraId="184652C7" w14:textId="77777777" w:rsidTr="00CE3F58">
        <w:trPr>
          <w:jc w:val="center"/>
        </w:trPr>
        <w:tc>
          <w:tcPr>
            <w:tcW w:w="1696" w:type="dxa"/>
            <w:vAlign w:val="center"/>
          </w:tcPr>
          <w:p w14:paraId="151CBBA0" w14:textId="77777777" w:rsidR="00D13308" w:rsidRPr="00604414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Tony</w:t>
            </w:r>
            <w:r>
              <w:rPr>
                <w:b w:val="0"/>
                <w:sz w:val="20"/>
                <w:lang w:eastAsia="zh-CN"/>
              </w:rPr>
              <w:t xml:space="preserve"> Xiao Han</w:t>
            </w:r>
          </w:p>
        </w:tc>
        <w:tc>
          <w:tcPr>
            <w:tcW w:w="1704" w:type="dxa"/>
            <w:vAlign w:val="center"/>
          </w:tcPr>
          <w:p w14:paraId="0A56938A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982" w:type="dxa"/>
            <w:vAlign w:val="center"/>
          </w:tcPr>
          <w:p w14:paraId="3666C144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112705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7012B212" w14:textId="77777777" w:rsidR="00D13308" w:rsidRPr="00604414" w:rsidRDefault="00D13308" w:rsidP="00CE3F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215F">
              <w:rPr>
                <w:b w:val="0"/>
                <w:sz w:val="20"/>
              </w:rPr>
              <w:t>Tony.hanxiao@huawei.com</w:t>
            </w:r>
          </w:p>
        </w:tc>
      </w:tr>
      <w:tr w:rsidR="00D13308" w:rsidRPr="003F1D4B" w14:paraId="5A0D91F6" w14:textId="77777777" w:rsidTr="00CE3F58">
        <w:trPr>
          <w:jc w:val="center"/>
        </w:trPr>
        <w:tc>
          <w:tcPr>
            <w:tcW w:w="1696" w:type="dxa"/>
            <w:vAlign w:val="center"/>
          </w:tcPr>
          <w:p w14:paraId="5CE2680B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D215F"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704" w:type="dxa"/>
            <w:vAlign w:val="center"/>
          </w:tcPr>
          <w:p w14:paraId="74BE6055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982" w:type="dxa"/>
            <w:vAlign w:val="center"/>
          </w:tcPr>
          <w:p w14:paraId="4682A420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DF3439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39E324F5" w14:textId="77777777" w:rsidR="00D13308" w:rsidRPr="00604414" w:rsidRDefault="00D13308" w:rsidP="00CE3F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215F">
              <w:rPr>
                <w:b w:val="0"/>
                <w:sz w:val="20"/>
              </w:rPr>
              <w:t>yan.xin@huawei.com</w:t>
            </w:r>
          </w:p>
        </w:tc>
      </w:tr>
      <w:tr w:rsidR="00D13308" w:rsidRPr="003F1D4B" w14:paraId="28E288CE" w14:textId="77777777" w:rsidTr="00CE3F58">
        <w:trPr>
          <w:jc w:val="center"/>
        </w:trPr>
        <w:tc>
          <w:tcPr>
            <w:tcW w:w="1696" w:type="dxa"/>
            <w:vAlign w:val="center"/>
          </w:tcPr>
          <w:p w14:paraId="55A564BB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D215F">
              <w:rPr>
                <w:b w:val="0"/>
                <w:sz w:val="20"/>
                <w:lang w:eastAsia="zh-CN"/>
              </w:rPr>
              <w:t>George Calcev</w:t>
            </w:r>
          </w:p>
        </w:tc>
        <w:tc>
          <w:tcPr>
            <w:tcW w:w="1704" w:type="dxa"/>
            <w:vAlign w:val="center"/>
          </w:tcPr>
          <w:p w14:paraId="45163605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982" w:type="dxa"/>
            <w:vAlign w:val="center"/>
          </w:tcPr>
          <w:p w14:paraId="002340BA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76CA0E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5F32548D" w14:textId="77777777" w:rsidR="00D13308" w:rsidRPr="00604414" w:rsidRDefault="00D13308" w:rsidP="00CE3F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215F">
              <w:rPr>
                <w:b w:val="0"/>
                <w:sz w:val="20"/>
              </w:rPr>
              <w:t>George.Calcev@huawei.com</w:t>
            </w:r>
          </w:p>
        </w:tc>
      </w:tr>
      <w:tr w:rsidR="00D13308" w:rsidRPr="003F1D4B" w14:paraId="750804E2" w14:textId="77777777" w:rsidTr="00CE3F58">
        <w:trPr>
          <w:jc w:val="center"/>
        </w:trPr>
        <w:tc>
          <w:tcPr>
            <w:tcW w:w="1696" w:type="dxa"/>
            <w:vAlign w:val="center"/>
          </w:tcPr>
          <w:p w14:paraId="15A709AD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 Yan</w:t>
            </w:r>
          </w:p>
        </w:tc>
        <w:tc>
          <w:tcPr>
            <w:tcW w:w="1704" w:type="dxa"/>
            <w:vAlign w:val="center"/>
          </w:tcPr>
          <w:p w14:paraId="442AE639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982" w:type="dxa"/>
            <w:vAlign w:val="center"/>
          </w:tcPr>
          <w:p w14:paraId="3CCEF146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0AD8BA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3D2950A8" w14:textId="7DD32C12" w:rsidR="00D13308" w:rsidRPr="00604414" w:rsidRDefault="00D13308" w:rsidP="00CE3F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13308">
              <w:rPr>
                <w:b w:val="0"/>
                <w:sz w:val="20"/>
              </w:rPr>
              <w:t>yanmin.yan@huawei.com</w:t>
            </w:r>
          </w:p>
        </w:tc>
      </w:tr>
      <w:tr w:rsidR="00D13308" w:rsidRPr="003F1D4B" w14:paraId="6BDAFDB0" w14:textId="77777777" w:rsidTr="00CE3F58">
        <w:trPr>
          <w:jc w:val="center"/>
        </w:trPr>
        <w:tc>
          <w:tcPr>
            <w:tcW w:w="1696" w:type="dxa"/>
            <w:vAlign w:val="center"/>
          </w:tcPr>
          <w:p w14:paraId="4FB059B9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Qian Wang</w:t>
            </w:r>
          </w:p>
        </w:tc>
        <w:tc>
          <w:tcPr>
            <w:tcW w:w="1704" w:type="dxa"/>
            <w:vAlign w:val="center"/>
          </w:tcPr>
          <w:p w14:paraId="3B6EDF5B" w14:textId="77777777" w:rsidR="00D13308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982" w:type="dxa"/>
            <w:vAlign w:val="center"/>
          </w:tcPr>
          <w:p w14:paraId="277B7509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6459EFB" w14:textId="77777777" w:rsidR="00D13308" w:rsidRPr="003F1D4B" w:rsidRDefault="00D13308" w:rsidP="00CE3F5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77F0CC4F" w14:textId="2F5B82D6" w:rsidR="00D13308" w:rsidRPr="00604414" w:rsidRDefault="00D13308" w:rsidP="00CE3F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13308">
              <w:rPr>
                <w:b w:val="0"/>
                <w:sz w:val="20"/>
              </w:rPr>
              <w:t>emy.wangqian@huawei.com</w:t>
            </w:r>
          </w:p>
        </w:tc>
      </w:tr>
      <w:tr w:rsidR="003F1D4B" w:rsidRPr="003F1D4B" w14:paraId="632C0A45" w14:textId="77777777" w:rsidTr="00604414">
        <w:trPr>
          <w:jc w:val="center"/>
        </w:trPr>
        <w:tc>
          <w:tcPr>
            <w:tcW w:w="1696" w:type="dxa"/>
            <w:vAlign w:val="center"/>
          </w:tcPr>
          <w:p w14:paraId="534D5C41" w14:textId="71841B90" w:rsidR="00CA09B2" w:rsidRPr="003F1D4B" w:rsidRDefault="00B044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4410">
              <w:rPr>
                <w:rFonts w:hint="eastAsia"/>
                <w:b w:val="0"/>
                <w:sz w:val="20"/>
              </w:rPr>
              <w:t>Cheng</w:t>
            </w:r>
            <w:r w:rsidRPr="00B04410">
              <w:rPr>
                <w:b w:val="0"/>
                <w:sz w:val="20"/>
              </w:rPr>
              <w:t xml:space="preserve"> Chen</w:t>
            </w:r>
          </w:p>
        </w:tc>
        <w:tc>
          <w:tcPr>
            <w:tcW w:w="170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71F1C554" w14:textId="7FF31B96" w:rsidR="00CA09B2" w:rsidRPr="00604414" w:rsidRDefault="00B04410" w:rsidP="00B044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cheng.chen</w:t>
            </w:r>
            <w:r w:rsidR="008B4109" w:rsidRPr="00604414">
              <w:rPr>
                <w:b w:val="0"/>
                <w:sz w:val="20"/>
              </w:rPr>
              <w:t>@intel.com</w:t>
            </w:r>
          </w:p>
        </w:tc>
      </w:tr>
      <w:tr w:rsidR="003F1D4B" w:rsidRPr="003F1D4B" w14:paraId="1BF1F254" w14:textId="77777777" w:rsidTr="00604414">
        <w:trPr>
          <w:jc w:val="center"/>
        </w:trPr>
        <w:tc>
          <w:tcPr>
            <w:tcW w:w="1696" w:type="dxa"/>
            <w:vAlign w:val="center"/>
          </w:tcPr>
          <w:p w14:paraId="2B92E27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170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09C44E" w14:textId="77777777" w:rsidR="00CA09B2" w:rsidRPr="00604414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9BCD2DB" w14:textId="4F65AB7B" w:rsidR="00CA09B2" w:rsidRPr="00604414" w:rsidRDefault="00604414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</w:t>
            </w:r>
            <w:r w:rsidRPr="00604414">
              <w:rPr>
                <w:rFonts w:hint="eastAsia"/>
                <w:b w:val="0"/>
                <w:sz w:val="20"/>
              </w:rPr>
              <w:t>arlos.</w:t>
            </w:r>
            <w:r w:rsidRPr="00604414">
              <w:rPr>
                <w:b w:val="0"/>
                <w:sz w:val="20"/>
              </w:rPr>
              <w:t>cordeiro@intel.com</w:t>
            </w:r>
          </w:p>
        </w:tc>
      </w:tr>
      <w:tr w:rsidR="00604414" w:rsidRPr="003F1D4B" w14:paraId="5A1642CD" w14:textId="77777777" w:rsidTr="00604414">
        <w:trPr>
          <w:jc w:val="center"/>
        </w:trPr>
        <w:tc>
          <w:tcPr>
            <w:tcW w:w="1696" w:type="dxa"/>
            <w:vAlign w:val="center"/>
          </w:tcPr>
          <w:p w14:paraId="33CF3F77" w14:textId="480C27A6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04414">
              <w:rPr>
                <w:rFonts w:hint="eastAsia"/>
                <w:b w:val="0"/>
                <w:sz w:val="20"/>
              </w:rPr>
              <w:t>Oren</w:t>
            </w:r>
            <w:r w:rsidRPr="00604414">
              <w:rPr>
                <w:b w:val="0"/>
                <w:sz w:val="20"/>
              </w:rPr>
              <w:t xml:space="preserve"> Kedem</w:t>
            </w:r>
          </w:p>
        </w:tc>
        <w:tc>
          <w:tcPr>
            <w:tcW w:w="1704" w:type="dxa"/>
            <w:vAlign w:val="center"/>
          </w:tcPr>
          <w:p w14:paraId="30C289D4" w14:textId="487ED5DE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</w:p>
        </w:tc>
        <w:tc>
          <w:tcPr>
            <w:tcW w:w="1982" w:type="dxa"/>
            <w:vAlign w:val="center"/>
          </w:tcPr>
          <w:p w14:paraId="322E5C70" w14:textId="77777777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9D0709" w14:textId="77777777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1E23AFA6" w14:textId="00C02F71" w:rsidR="00604414" w:rsidRPr="00604414" w:rsidRDefault="00604414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o</w:t>
            </w:r>
            <w:r w:rsidRPr="00604414">
              <w:rPr>
                <w:rFonts w:hint="eastAsia"/>
                <w:b w:val="0"/>
                <w:sz w:val="20"/>
              </w:rPr>
              <w:t>ren.</w:t>
            </w:r>
            <w:r w:rsidRPr="00604414">
              <w:rPr>
                <w:b w:val="0"/>
                <w:sz w:val="20"/>
              </w:rPr>
              <w:t>kedem@intel.com</w:t>
            </w:r>
          </w:p>
        </w:tc>
      </w:tr>
      <w:tr w:rsidR="00604414" w:rsidRPr="003F1D4B" w14:paraId="2B2CDE1E" w14:textId="77777777" w:rsidTr="00604414">
        <w:trPr>
          <w:jc w:val="center"/>
        </w:trPr>
        <w:tc>
          <w:tcPr>
            <w:tcW w:w="1696" w:type="dxa"/>
            <w:vAlign w:val="center"/>
          </w:tcPr>
          <w:p w14:paraId="69962DBF" w14:textId="2FD963CD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  <w:lang w:eastAsia="zh-CN"/>
              </w:rPr>
              <w:t>Claudio da Silva</w:t>
            </w:r>
          </w:p>
        </w:tc>
        <w:tc>
          <w:tcPr>
            <w:tcW w:w="1704" w:type="dxa"/>
            <w:vAlign w:val="center"/>
          </w:tcPr>
          <w:p w14:paraId="4165EBDA" w14:textId="41D6869D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</w:p>
        </w:tc>
        <w:tc>
          <w:tcPr>
            <w:tcW w:w="1982" w:type="dxa"/>
            <w:vAlign w:val="center"/>
          </w:tcPr>
          <w:p w14:paraId="7E15E082" w14:textId="77777777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52E505" w14:textId="77777777" w:rsidR="00604414" w:rsidRPr="003F1D4B" w:rsidRDefault="00604414" w:rsidP="0060441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0F28CC28" w14:textId="30D922DD" w:rsidR="00604414" w:rsidRPr="00604414" w:rsidRDefault="00604414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604414">
              <w:rPr>
                <w:b w:val="0"/>
                <w:sz w:val="20"/>
              </w:rPr>
              <w:t>claudio.da.silva@intel.com</w:t>
            </w:r>
          </w:p>
        </w:tc>
      </w:tr>
      <w:tr w:rsidR="001E0DF3" w:rsidRPr="003F1D4B" w14:paraId="68942AFC" w14:textId="77777777" w:rsidTr="00735D3C">
        <w:trPr>
          <w:jc w:val="center"/>
        </w:trPr>
        <w:tc>
          <w:tcPr>
            <w:tcW w:w="1696" w:type="dxa"/>
          </w:tcPr>
          <w:p w14:paraId="38435263" w14:textId="08238875" w:rsidR="001E0DF3" w:rsidRPr="00604414" w:rsidRDefault="001E0DF3" w:rsidP="001E0DF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04414">
              <w:rPr>
                <w:rFonts w:hint="eastAsia"/>
                <w:b w:val="0"/>
                <w:sz w:val="20"/>
                <w:lang w:eastAsia="zh-CN"/>
              </w:rPr>
              <w:t>Solomon T</w:t>
            </w:r>
            <w:r w:rsidRPr="00604414">
              <w:rPr>
                <w:b w:val="0"/>
                <w:sz w:val="20"/>
                <w:lang w:eastAsia="zh-CN"/>
              </w:rPr>
              <w:t>rainin</w:t>
            </w:r>
          </w:p>
        </w:tc>
        <w:tc>
          <w:tcPr>
            <w:tcW w:w="1704" w:type="dxa"/>
            <w:vAlign w:val="center"/>
          </w:tcPr>
          <w:p w14:paraId="09BC65BA" w14:textId="56369CA3" w:rsidR="001E0DF3" w:rsidRDefault="001E0DF3" w:rsidP="001E0DF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1982" w:type="dxa"/>
            <w:vAlign w:val="center"/>
          </w:tcPr>
          <w:p w14:paraId="1B97482B" w14:textId="77777777" w:rsidR="001E0DF3" w:rsidRPr="003F1D4B" w:rsidRDefault="001E0DF3" w:rsidP="001E0D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5B86AEC" w14:textId="77777777" w:rsidR="001E0DF3" w:rsidRPr="003F1D4B" w:rsidRDefault="001E0DF3" w:rsidP="001E0DF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5EEA9648" w14:textId="0823F288" w:rsidR="001E0DF3" w:rsidRPr="00604414" w:rsidRDefault="001E0DF3" w:rsidP="001E0D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  <w:lang w:eastAsia="zh-CN"/>
              </w:rPr>
              <w:t>strainin@qti.qualcomm.com</w:t>
            </w:r>
          </w:p>
        </w:tc>
      </w:tr>
      <w:tr w:rsidR="00C62F02" w:rsidRPr="003F1D4B" w14:paraId="3D5C4B15" w14:textId="77777777" w:rsidTr="00604414">
        <w:trPr>
          <w:jc w:val="center"/>
        </w:trPr>
        <w:tc>
          <w:tcPr>
            <w:tcW w:w="1696" w:type="dxa"/>
            <w:vAlign w:val="center"/>
          </w:tcPr>
          <w:p w14:paraId="456B6A7D" w14:textId="13171AD3" w:rsidR="00C62F02" w:rsidRDefault="00C62F02" w:rsidP="001E0DF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insoo Choi</w:t>
            </w:r>
          </w:p>
        </w:tc>
        <w:tc>
          <w:tcPr>
            <w:tcW w:w="1704" w:type="dxa"/>
            <w:vAlign w:val="center"/>
          </w:tcPr>
          <w:p w14:paraId="44E11813" w14:textId="786CBB0F" w:rsidR="00C62F02" w:rsidRDefault="00C62F02" w:rsidP="001E0DF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LG</w:t>
            </w:r>
          </w:p>
        </w:tc>
        <w:tc>
          <w:tcPr>
            <w:tcW w:w="1982" w:type="dxa"/>
            <w:vAlign w:val="center"/>
          </w:tcPr>
          <w:p w14:paraId="0A656281" w14:textId="77777777" w:rsidR="00C62F02" w:rsidRPr="003F1D4B" w:rsidRDefault="00C62F02" w:rsidP="001E0D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809AEB" w14:textId="77777777" w:rsidR="00C62F02" w:rsidRPr="003F1D4B" w:rsidRDefault="00C62F02" w:rsidP="001E0DF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56C42214" w14:textId="449408E6" w:rsidR="00C62F02" w:rsidRPr="00604414" w:rsidRDefault="00D13308" w:rsidP="00D133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13308">
              <w:rPr>
                <w:b w:val="0"/>
                <w:sz w:val="20"/>
              </w:rPr>
              <w:t>js.choi@lge.com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29F3D8C5" w:rsidR="0096519C" w:rsidRDefault="0096519C">
                            <w:pPr>
                              <w:jc w:val="both"/>
                            </w:pPr>
                            <w:r>
                              <w:t xml:space="preserve">[This document proposes </w:t>
                            </w:r>
                            <w:r w:rsidR="00783EC7">
                              <w:t>draft changes to include</w:t>
                            </w:r>
                            <w:r w:rsidR="001029BF">
                              <w:t xml:space="preserve"> M</w:t>
                            </w:r>
                            <w:r w:rsidR="00B04410">
                              <w:t>U-MIMO channel access procedure</w:t>
                            </w:r>
                            <w:r w:rsidR="00783EC7">
                              <w:t xml:space="preserve"> for EDMG STAs.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29F3D8C5" w:rsidR="0096519C" w:rsidRDefault="0096519C">
                      <w:pPr>
                        <w:jc w:val="both"/>
                      </w:pPr>
                      <w:r>
                        <w:t xml:space="preserve">[This document proposes </w:t>
                      </w:r>
                      <w:r w:rsidR="00783EC7">
                        <w:t>draft changes to include</w:t>
                      </w:r>
                      <w:r w:rsidR="001029BF">
                        <w:t xml:space="preserve"> M</w:t>
                      </w:r>
                      <w:r w:rsidR="00B04410">
                        <w:t>U-MIMO channel access procedure</w:t>
                      </w:r>
                      <w:r w:rsidR="00783EC7">
                        <w:t xml:space="preserve"> for EDMG STAs.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1A4BCD29" w14:textId="6F5FD499" w:rsidR="00B04410" w:rsidRDefault="006144D8" w:rsidP="001029B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 w:rsidRPr="001029BF">
        <w:rPr>
          <w:rFonts w:ascii="Times New Roman" w:hAnsi="Times New Roman"/>
        </w:rPr>
        <w:lastRenderedPageBreak/>
        <w:t>10.36.11.4.</w:t>
      </w:r>
      <w:r w:rsidR="009D10D5" w:rsidRPr="001029BF">
        <w:rPr>
          <w:rFonts w:ascii="Times New Roman" w:hAnsi="Times New Roman"/>
        </w:rPr>
        <w:t xml:space="preserve">4 </w:t>
      </w:r>
      <w:r w:rsidR="00C666D4" w:rsidRPr="001029BF">
        <w:rPr>
          <w:rFonts w:ascii="Times New Roman" w:hAnsi="Times New Roman"/>
        </w:rPr>
        <w:t>MU-</w:t>
      </w:r>
      <w:r w:rsidR="009D10D5" w:rsidRPr="001029BF">
        <w:rPr>
          <w:rFonts w:ascii="Times New Roman" w:hAnsi="Times New Roman"/>
        </w:rPr>
        <w:t>MIMO Channel Access Procedure</w:t>
      </w:r>
    </w:p>
    <w:p w14:paraId="62653C31" w14:textId="30DC8AE0" w:rsidR="001029BF" w:rsidRPr="001029BF" w:rsidRDefault="001029BF" w:rsidP="001029BF">
      <w:pPr>
        <w:pStyle w:val="IEEEStdsParagraph"/>
        <w:rPr>
          <w:rFonts w:eastAsiaTheme="minorEastAsia"/>
          <w:i/>
          <w:lang w:eastAsia="zh-CN"/>
        </w:rPr>
      </w:pPr>
      <w:r w:rsidRPr="001029BF">
        <w:rPr>
          <w:rFonts w:eastAsiaTheme="minorEastAsia" w:hint="eastAsia"/>
          <w:i/>
          <w:lang w:eastAsia="zh-CN"/>
        </w:rPr>
        <w:t xml:space="preserve">Insert the following </w:t>
      </w:r>
      <w:r w:rsidRPr="001029BF">
        <w:rPr>
          <w:rFonts w:eastAsiaTheme="minorEastAsia"/>
          <w:i/>
          <w:lang w:eastAsia="zh-CN"/>
        </w:rPr>
        <w:t xml:space="preserve">to this </w:t>
      </w:r>
      <w:proofErr w:type="spellStart"/>
      <w:r w:rsidRPr="001029BF">
        <w:rPr>
          <w:rFonts w:eastAsiaTheme="minorEastAsia"/>
          <w:i/>
          <w:lang w:eastAsia="zh-CN"/>
        </w:rPr>
        <w:t>subclause</w:t>
      </w:r>
      <w:proofErr w:type="spellEnd"/>
      <w:r w:rsidRPr="001029BF">
        <w:rPr>
          <w:rFonts w:eastAsiaTheme="minorEastAsia"/>
          <w:i/>
          <w:lang w:eastAsia="zh-CN"/>
        </w:rPr>
        <w:t>:</w:t>
      </w:r>
    </w:p>
    <w:p w14:paraId="5378D0B3" w14:textId="04CDC1F4" w:rsidR="00D62AE5" w:rsidRDefault="001029BF" w:rsidP="001029BF">
      <w:pPr>
        <w:pStyle w:val="IEEEStdsParagraph"/>
      </w:pPr>
      <w:r>
        <w:t>An EDMG STA is MU-MIMO capable if the MU-MIMO Supported field in the STA’s EDMG Capabilities</w:t>
      </w:r>
      <w:r>
        <w:rPr>
          <w:sz w:val="23"/>
          <w:szCs w:val="23"/>
        </w:rPr>
        <w:t xml:space="preserve"> </w:t>
      </w:r>
      <w:r>
        <w:t xml:space="preserve">element is one. </w:t>
      </w:r>
      <w:r w:rsidR="004C6FB1">
        <w:t>An MU-MIMO TXOP is a TXOP where a</w:t>
      </w:r>
      <w:r w:rsidR="009579DA">
        <w:t>n</w:t>
      </w:r>
      <w:r w:rsidR="004C6FB1">
        <w:t xml:space="preserve"> MU-MIMO capable initiator and </w:t>
      </w:r>
      <w:r w:rsidR="00995A4D">
        <w:t>multiple</w:t>
      </w:r>
      <w:r w:rsidR="004C6FB1">
        <w:t xml:space="preserve"> MU-MIMO capable responder</w:t>
      </w:r>
      <w:r w:rsidR="00995A4D">
        <w:t>s</w:t>
      </w:r>
      <w:r w:rsidR="004C6FB1">
        <w:t xml:space="preserve"> in an MU group exchange one or more EDMG MU PPDUs. </w:t>
      </w:r>
      <w:r>
        <w:t>The MU-MIMO channel access procedure</w:t>
      </w:r>
      <w:r w:rsidR="00D62AE5">
        <w:t xml:space="preserve"> describ</w:t>
      </w:r>
      <w:r>
        <w:t xml:space="preserve">es </w:t>
      </w:r>
      <w:r w:rsidR="0014392C">
        <w:t>how</w:t>
      </w:r>
      <w:r w:rsidR="004C6FB1">
        <w:t xml:space="preserve"> an MU-MIMO capable initiator and </w:t>
      </w:r>
      <w:r w:rsidR="00995A4D">
        <w:t>multiple</w:t>
      </w:r>
      <w:r w:rsidR="004C6FB1">
        <w:t xml:space="preserve"> MU-MIMO capable responders </w:t>
      </w:r>
      <w:r w:rsidR="001841E1">
        <w:t>establish</w:t>
      </w:r>
      <w:r w:rsidR="004C6FB1">
        <w:t xml:space="preserve"> an MU-MIMO TXOP</w:t>
      </w:r>
      <w:r w:rsidR="0014392C">
        <w:t>. Prior to the transmission of an EDMG MU PPDU to a set of responder STAs within an MU group, the initiator shall:</w:t>
      </w:r>
    </w:p>
    <w:p w14:paraId="59E1DD7B" w14:textId="2B055FE9" w:rsidR="00156CBF" w:rsidRPr="00156CBF" w:rsidRDefault="00156CBF" w:rsidP="001029BF">
      <w:pPr>
        <w:pStyle w:val="IEEEStdsParagraph"/>
        <w:numPr>
          <w:ilvl w:val="0"/>
          <w:numId w:val="20"/>
        </w:numPr>
        <w:rPr>
          <w:rFonts w:eastAsia="MS Mincho"/>
        </w:rPr>
      </w:pPr>
      <w:r>
        <w:rPr>
          <w:rFonts w:eastAsiaTheme="minorEastAsia"/>
          <w:lang w:eastAsia="zh-CN"/>
        </w:rPr>
        <w:t>Include the MU group within the EDMG Group ID Set element and communicate the resulting element to the STAs in the BSS (see Section 10.38.9.2.4.1).</w:t>
      </w:r>
    </w:p>
    <w:p w14:paraId="22CD2197" w14:textId="272DBA4E" w:rsidR="0014392C" w:rsidRPr="0014392C" w:rsidRDefault="0014392C" w:rsidP="0014392C">
      <w:pPr>
        <w:pStyle w:val="IEEEStdsParagraph"/>
        <w:numPr>
          <w:ilvl w:val="0"/>
          <w:numId w:val="20"/>
        </w:numPr>
        <w:rPr>
          <w:rFonts w:eastAsia="MS Mincho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erform MU-MIMO</w:t>
      </w:r>
      <w:r w:rsidR="009579DA">
        <w:rPr>
          <w:rFonts w:eastAsiaTheme="minorEastAsia"/>
          <w:lang w:eastAsia="zh-CN"/>
        </w:rPr>
        <w:t xml:space="preserve"> </w:t>
      </w:r>
      <w:proofErr w:type="spellStart"/>
      <w:r w:rsidR="009579DA">
        <w:rPr>
          <w:rFonts w:eastAsiaTheme="minorEastAsia"/>
          <w:lang w:eastAsia="zh-CN"/>
        </w:rPr>
        <w:t>beamforming</w:t>
      </w:r>
      <w:proofErr w:type="spellEnd"/>
      <w:r w:rsidR="009579DA">
        <w:rPr>
          <w:rFonts w:eastAsiaTheme="minorEastAsia"/>
          <w:lang w:eastAsia="zh-CN"/>
        </w:rPr>
        <w:t xml:space="preserve"> with the responders </w:t>
      </w:r>
      <w:r>
        <w:rPr>
          <w:rFonts w:eastAsiaTheme="minorEastAsia"/>
          <w:lang w:eastAsia="zh-CN"/>
        </w:rPr>
        <w:t xml:space="preserve">of the MU group (see </w:t>
      </w:r>
      <w:r w:rsidR="001841E1">
        <w:rPr>
          <w:rFonts w:eastAsiaTheme="minorEastAsia"/>
          <w:lang w:eastAsia="zh-CN"/>
        </w:rPr>
        <w:t xml:space="preserve">Section </w:t>
      </w:r>
      <w:r>
        <w:rPr>
          <w:rFonts w:eastAsiaTheme="minorEastAsia"/>
          <w:lang w:eastAsia="zh-CN"/>
        </w:rPr>
        <w:t>10.38.9.2.4).</w:t>
      </w:r>
    </w:p>
    <w:p w14:paraId="623D972F" w14:textId="68EFF63B" w:rsidR="001F6E53" w:rsidRDefault="00D42B98" w:rsidP="001029BF">
      <w:pPr>
        <w:pStyle w:val="IEEEStdsParagrap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An EDMG </w:t>
      </w:r>
      <w:r w:rsidR="00414990">
        <w:rPr>
          <w:rFonts w:eastAsiaTheme="minorEastAsia"/>
          <w:lang w:eastAsia="zh-CN"/>
        </w:rPr>
        <w:t>STA</w:t>
      </w:r>
      <w:r w:rsidR="001D1545">
        <w:rPr>
          <w:rFonts w:eastAsiaTheme="minorEastAsia"/>
          <w:lang w:eastAsia="zh-CN"/>
        </w:rPr>
        <w:t xml:space="preserve"> </w:t>
      </w:r>
      <w:r w:rsidR="001841E1">
        <w:rPr>
          <w:rFonts w:eastAsiaTheme="minorEastAsia"/>
          <w:lang w:eastAsia="zh-CN"/>
        </w:rPr>
        <w:t>establish</w:t>
      </w:r>
      <w:r>
        <w:rPr>
          <w:rFonts w:eastAsiaTheme="minorEastAsia"/>
          <w:lang w:eastAsia="zh-CN"/>
        </w:rPr>
        <w:t>es</w:t>
      </w:r>
      <w:r w:rsidR="0014392C">
        <w:rPr>
          <w:rFonts w:eastAsiaTheme="minorEastAsia"/>
          <w:lang w:eastAsia="zh-CN"/>
        </w:rPr>
        <w:t xml:space="preserve"> a</w:t>
      </w:r>
      <w:r w:rsidR="009F364F">
        <w:rPr>
          <w:rFonts w:eastAsiaTheme="minorEastAsia"/>
          <w:lang w:eastAsia="zh-CN"/>
        </w:rPr>
        <w:t>n</w:t>
      </w:r>
      <w:r w:rsidR="00C638EF">
        <w:rPr>
          <w:rFonts w:eastAsiaTheme="minorEastAsia"/>
          <w:lang w:eastAsia="zh-CN"/>
        </w:rPr>
        <w:t xml:space="preserve"> MU-MIMO TXOP</w:t>
      </w:r>
      <w:r w:rsidR="004D4D62">
        <w:rPr>
          <w:rFonts w:eastAsiaTheme="minorEastAsia"/>
          <w:lang w:eastAsia="zh-CN"/>
        </w:rPr>
        <w:t xml:space="preserve"> by transmitting an RTS frame or </w:t>
      </w:r>
      <w:r w:rsidR="005A119C">
        <w:rPr>
          <w:rFonts w:eastAsiaTheme="minorEastAsia"/>
          <w:lang w:eastAsia="zh-CN"/>
        </w:rPr>
        <w:t xml:space="preserve">a </w:t>
      </w:r>
      <w:r w:rsidR="004D4D62">
        <w:rPr>
          <w:rFonts w:eastAsiaTheme="minorEastAsia"/>
          <w:lang w:eastAsia="zh-CN"/>
        </w:rPr>
        <w:t xml:space="preserve">DMG CTS-to-self frame to </w:t>
      </w:r>
      <w:r w:rsidR="005A119C">
        <w:rPr>
          <w:rFonts w:eastAsiaTheme="minorEastAsia"/>
          <w:lang w:eastAsia="zh-CN"/>
        </w:rPr>
        <w:t xml:space="preserve">the </w:t>
      </w:r>
      <w:r w:rsidR="004D4D62">
        <w:rPr>
          <w:rFonts w:eastAsiaTheme="minorEastAsia"/>
          <w:lang w:eastAsia="zh-CN"/>
        </w:rPr>
        <w:t xml:space="preserve">intended MU-MIMO </w:t>
      </w:r>
      <w:r w:rsidR="005A119C">
        <w:rPr>
          <w:rFonts w:eastAsiaTheme="minorEastAsia"/>
          <w:lang w:eastAsia="zh-CN"/>
        </w:rPr>
        <w:t xml:space="preserve">group of </w:t>
      </w:r>
      <w:r w:rsidR="004D4D62">
        <w:rPr>
          <w:rFonts w:eastAsiaTheme="minorEastAsia"/>
          <w:lang w:eastAsia="zh-CN"/>
        </w:rPr>
        <w:t xml:space="preserve">responders. </w:t>
      </w:r>
      <w:r w:rsidR="00A6518E">
        <w:rPr>
          <w:rFonts w:eastAsiaTheme="minorEastAsia"/>
          <w:lang w:eastAsia="zh-CN"/>
        </w:rPr>
        <w:t>T</w:t>
      </w:r>
      <w:r w:rsidR="004D4D62">
        <w:rPr>
          <w:rFonts w:eastAsiaTheme="minorEastAsia"/>
          <w:lang w:eastAsia="zh-CN"/>
        </w:rPr>
        <w:t xml:space="preserve">he </w:t>
      </w:r>
      <w:r w:rsidR="00D62AE5">
        <w:rPr>
          <w:rFonts w:eastAsiaTheme="minorEastAsia" w:hint="eastAsia"/>
          <w:lang w:eastAsia="zh-CN"/>
        </w:rPr>
        <w:t>EDMG STA sh</w:t>
      </w:r>
      <w:r w:rsidR="00771622">
        <w:rPr>
          <w:rFonts w:eastAsiaTheme="minorEastAsia" w:hint="eastAsia"/>
          <w:lang w:eastAsia="zh-CN"/>
        </w:rPr>
        <w:t xml:space="preserve">all transmit </w:t>
      </w:r>
      <w:r w:rsidR="00A6518E">
        <w:rPr>
          <w:rFonts w:eastAsiaTheme="minorEastAsia"/>
          <w:lang w:eastAsia="zh-CN"/>
        </w:rPr>
        <w:t>the</w:t>
      </w:r>
      <w:r w:rsidR="00A6518E">
        <w:rPr>
          <w:rFonts w:eastAsiaTheme="minorEastAsia" w:hint="eastAsia"/>
          <w:lang w:eastAsia="zh-CN"/>
        </w:rPr>
        <w:t xml:space="preserve"> </w:t>
      </w:r>
      <w:r w:rsidR="00AE224D">
        <w:rPr>
          <w:rFonts w:eastAsiaTheme="minorEastAsia"/>
          <w:lang w:eastAsia="zh-CN"/>
        </w:rPr>
        <w:t xml:space="preserve">RTS </w:t>
      </w:r>
      <w:r w:rsidR="00D62AE5">
        <w:rPr>
          <w:rFonts w:eastAsiaTheme="minorEastAsia" w:hint="eastAsia"/>
          <w:lang w:eastAsia="zh-CN"/>
        </w:rPr>
        <w:t xml:space="preserve">frame </w:t>
      </w:r>
      <w:r w:rsidR="00A6518E">
        <w:rPr>
          <w:rFonts w:eastAsiaTheme="minorEastAsia"/>
          <w:lang w:eastAsia="zh-CN"/>
        </w:rPr>
        <w:t xml:space="preserve">or DMG CTS-to-self frame </w:t>
      </w:r>
      <w:r w:rsidR="00D62AE5">
        <w:rPr>
          <w:rFonts w:eastAsiaTheme="minorEastAsia" w:hint="eastAsia"/>
          <w:lang w:eastAsia="zh-CN"/>
        </w:rPr>
        <w:t xml:space="preserve">with a control trailer to the group of responders </w:t>
      </w:r>
      <w:r w:rsidR="00D62AE5">
        <w:rPr>
          <w:rFonts w:eastAsiaTheme="minorEastAsia"/>
          <w:lang w:eastAsia="zh-CN"/>
        </w:rPr>
        <w:t xml:space="preserve">to indicate the intent to transmit an EDMG MU PPDU. </w:t>
      </w:r>
      <w:r w:rsidR="00771622">
        <w:rPr>
          <w:rFonts w:eastAsiaTheme="minorEastAsia"/>
          <w:lang w:eastAsia="zh-CN"/>
        </w:rPr>
        <w:t xml:space="preserve">The </w:t>
      </w:r>
      <w:r w:rsidR="00AE224D">
        <w:rPr>
          <w:rFonts w:eastAsiaTheme="minorEastAsia"/>
          <w:lang w:eastAsia="zh-CN"/>
        </w:rPr>
        <w:t xml:space="preserve">RTS </w:t>
      </w:r>
      <w:r w:rsidR="00A6518E">
        <w:rPr>
          <w:rFonts w:eastAsiaTheme="minorEastAsia"/>
          <w:lang w:eastAsia="zh-CN"/>
        </w:rPr>
        <w:t xml:space="preserve">and DMG CTS-to-self </w:t>
      </w:r>
      <w:r w:rsidR="00771622">
        <w:rPr>
          <w:rFonts w:eastAsiaTheme="minorEastAsia"/>
          <w:lang w:eastAsia="zh-CN"/>
        </w:rPr>
        <w:t>frame sh</w:t>
      </w:r>
      <w:r w:rsidR="00BF369A">
        <w:rPr>
          <w:rFonts w:eastAsiaTheme="minorEastAsia"/>
          <w:lang w:eastAsia="zh-CN"/>
        </w:rPr>
        <w:t>all</w:t>
      </w:r>
      <w:r w:rsidR="00771622">
        <w:rPr>
          <w:rFonts w:eastAsiaTheme="minorEastAsia"/>
          <w:lang w:eastAsia="zh-CN"/>
        </w:rPr>
        <w:t xml:space="preserve"> be transmitted using the MU-MIMO antenna setting</w:t>
      </w:r>
      <w:r w:rsidR="0014392C">
        <w:rPr>
          <w:rFonts w:eastAsiaTheme="minorEastAsia"/>
          <w:lang w:eastAsia="zh-CN"/>
        </w:rPr>
        <w:t xml:space="preserve"> obtained through </w:t>
      </w:r>
      <w:r w:rsidR="00A6518E">
        <w:rPr>
          <w:rFonts w:eastAsiaTheme="minorEastAsia"/>
          <w:lang w:eastAsia="zh-CN"/>
        </w:rPr>
        <w:t xml:space="preserve">the last successful </w:t>
      </w:r>
      <w:r w:rsidR="0014392C">
        <w:rPr>
          <w:rFonts w:eastAsiaTheme="minorEastAsia"/>
          <w:lang w:eastAsia="zh-CN"/>
        </w:rPr>
        <w:t xml:space="preserve">MU-MIMO </w:t>
      </w:r>
      <w:proofErr w:type="spellStart"/>
      <w:r w:rsidR="0014392C">
        <w:rPr>
          <w:rFonts w:eastAsiaTheme="minorEastAsia"/>
          <w:lang w:eastAsia="zh-CN"/>
        </w:rPr>
        <w:t>beamforming</w:t>
      </w:r>
      <w:proofErr w:type="spellEnd"/>
      <w:r w:rsidR="0014392C">
        <w:rPr>
          <w:rFonts w:eastAsiaTheme="minorEastAsia"/>
          <w:lang w:eastAsia="zh-CN"/>
        </w:rPr>
        <w:t xml:space="preserve"> training</w:t>
      </w:r>
      <w:r w:rsidR="004D4D62">
        <w:rPr>
          <w:rFonts w:eastAsiaTheme="minorEastAsia"/>
          <w:lang w:eastAsia="zh-CN"/>
        </w:rPr>
        <w:t xml:space="preserve"> with the group of responders</w:t>
      </w:r>
      <w:r w:rsidR="00771622">
        <w:rPr>
          <w:rFonts w:eastAsiaTheme="minorEastAsia"/>
          <w:lang w:eastAsia="zh-CN"/>
        </w:rPr>
        <w:t xml:space="preserve">. </w:t>
      </w:r>
      <w:r w:rsidR="001F6E53">
        <w:rPr>
          <w:rFonts w:eastAsiaTheme="minorEastAsia"/>
          <w:lang w:eastAsia="zh-CN"/>
        </w:rPr>
        <w:t xml:space="preserve">For </w:t>
      </w:r>
      <w:r w:rsidR="00A6518E">
        <w:rPr>
          <w:rFonts w:eastAsiaTheme="minorEastAsia"/>
          <w:lang w:eastAsia="zh-CN"/>
        </w:rPr>
        <w:t xml:space="preserve">the </w:t>
      </w:r>
      <w:r w:rsidR="001F6E53">
        <w:rPr>
          <w:rFonts w:eastAsiaTheme="minorEastAsia"/>
          <w:lang w:eastAsia="zh-CN"/>
        </w:rPr>
        <w:t xml:space="preserve">transmitted </w:t>
      </w:r>
      <w:r w:rsidR="00650FDB">
        <w:rPr>
          <w:rFonts w:eastAsiaTheme="minorEastAsia"/>
          <w:lang w:eastAsia="zh-CN"/>
        </w:rPr>
        <w:t xml:space="preserve">RTS </w:t>
      </w:r>
      <w:r w:rsidR="00A6518E">
        <w:rPr>
          <w:rFonts w:eastAsiaTheme="minorEastAsia"/>
          <w:lang w:eastAsia="zh-CN"/>
        </w:rPr>
        <w:t xml:space="preserve">and DMG CTS-to-self </w:t>
      </w:r>
      <w:r w:rsidR="001F6E53">
        <w:rPr>
          <w:rFonts w:eastAsiaTheme="minorEastAsia"/>
          <w:lang w:eastAsia="zh-CN"/>
        </w:rPr>
        <w:t xml:space="preserve">frame, </w:t>
      </w:r>
      <w:r w:rsidR="00771622">
        <w:rPr>
          <w:rFonts w:eastAsiaTheme="minorEastAsia"/>
          <w:lang w:eastAsia="zh-CN"/>
        </w:rPr>
        <w:t>the TXVECTOR parameter</w:t>
      </w:r>
      <w:r w:rsidR="001F6E53">
        <w:rPr>
          <w:rFonts w:eastAsiaTheme="minorEastAsia"/>
          <w:lang w:eastAsia="zh-CN"/>
        </w:rPr>
        <w:t xml:space="preserve"> CONTROL_TRAILER shall be set to Present and the parameter</w:t>
      </w:r>
      <w:r w:rsidR="00771622">
        <w:rPr>
          <w:rFonts w:eastAsiaTheme="minorEastAsia"/>
          <w:lang w:eastAsia="zh-CN"/>
        </w:rPr>
        <w:t xml:space="preserve"> CT_TYPE shall be set to GRANT_RTS_CTS2self</w:t>
      </w:r>
      <w:r w:rsidR="001F6E53">
        <w:rPr>
          <w:rFonts w:eastAsiaTheme="minorEastAsia"/>
          <w:lang w:eastAsia="zh-CN"/>
        </w:rPr>
        <w:t xml:space="preserve">. </w:t>
      </w:r>
      <w:r w:rsidR="00BF369A">
        <w:rPr>
          <w:rFonts w:eastAsiaTheme="minorEastAsia"/>
          <w:lang w:eastAsia="zh-CN"/>
        </w:rPr>
        <w:t>In the control trailer, t</w:t>
      </w:r>
      <w:r w:rsidR="001F6E53">
        <w:rPr>
          <w:rFonts w:eastAsiaTheme="minorEastAsia"/>
          <w:lang w:eastAsia="zh-CN"/>
        </w:rPr>
        <w:t>he SISO/MIMO field shall be set to 1</w:t>
      </w:r>
      <w:r w:rsidR="00F34DEF">
        <w:rPr>
          <w:rFonts w:eastAsiaTheme="minorEastAsia" w:hint="eastAsia"/>
          <w:lang w:eastAsia="zh-CN"/>
        </w:rPr>
        <w:t>,</w:t>
      </w:r>
      <w:r w:rsidR="001F6E53">
        <w:rPr>
          <w:rFonts w:eastAsiaTheme="minorEastAsia"/>
          <w:lang w:eastAsia="zh-CN"/>
        </w:rPr>
        <w:t xml:space="preserve"> and the SU/MU MIMO field shall be set to 1 to indicate</w:t>
      </w:r>
      <w:r w:rsidR="001841E1">
        <w:rPr>
          <w:rFonts w:eastAsiaTheme="minorEastAsia"/>
          <w:lang w:eastAsia="zh-CN"/>
        </w:rPr>
        <w:t xml:space="preserve"> </w:t>
      </w:r>
      <w:r w:rsidR="0014392C">
        <w:rPr>
          <w:rFonts w:eastAsiaTheme="minorEastAsia"/>
          <w:lang w:eastAsia="zh-CN"/>
        </w:rPr>
        <w:t>that the following PPDU transmitted by the initiator is an EDMG MU PPDU</w:t>
      </w:r>
      <w:r w:rsidR="001F6E53">
        <w:rPr>
          <w:rFonts w:eastAsiaTheme="minorEastAsia"/>
          <w:lang w:eastAsia="zh-CN"/>
        </w:rPr>
        <w:t xml:space="preserve">. The EDMG Group ID field shall be set to the </w:t>
      </w:r>
      <w:r w:rsidR="005A119C">
        <w:rPr>
          <w:rFonts w:eastAsiaTheme="minorEastAsia"/>
          <w:lang w:eastAsia="zh-CN"/>
        </w:rPr>
        <w:t xml:space="preserve">value </w:t>
      </w:r>
      <w:r w:rsidR="001F6E53">
        <w:rPr>
          <w:rFonts w:eastAsiaTheme="minorEastAsia"/>
          <w:lang w:eastAsia="zh-CN"/>
        </w:rPr>
        <w:t xml:space="preserve">that </w:t>
      </w:r>
      <w:r w:rsidR="001841E1">
        <w:rPr>
          <w:rFonts w:eastAsiaTheme="minorEastAsia"/>
          <w:lang w:eastAsia="zh-CN"/>
        </w:rPr>
        <w:t>identifies</w:t>
      </w:r>
      <w:r w:rsidR="001F6E53">
        <w:rPr>
          <w:rFonts w:eastAsiaTheme="minorEastAsia"/>
          <w:lang w:eastAsia="zh-CN"/>
        </w:rPr>
        <w:t xml:space="preserve"> the c</w:t>
      </w:r>
      <w:r w:rsidR="00995A4D">
        <w:rPr>
          <w:rFonts w:eastAsiaTheme="minorEastAsia"/>
          <w:lang w:eastAsia="zh-CN"/>
        </w:rPr>
        <w:t>orresponding group of responder</w:t>
      </w:r>
      <w:r w:rsidR="001F6E53">
        <w:rPr>
          <w:rFonts w:eastAsiaTheme="minorEastAsia"/>
          <w:lang w:eastAsia="zh-CN"/>
        </w:rPr>
        <w:t xml:space="preserve">s </w:t>
      </w:r>
      <w:r w:rsidR="00C11554">
        <w:rPr>
          <w:rFonts w:eastAsiaTheme="minorEastAsia"/>
          <w:lang w:eastAsia="zh-CN"/>
        </w:rPr>
        <w:t>that</w:t>
      </w:r>
      <w:r w:rsidR="0014392C">
        <w:rPr>
          <w:rFonts w:eastAsiaTheme="minorEastAsia"/>
          <w:lang w:eastAsia="zh-CN"/>
        </w:rPr>
        <w:t xml:space="preserve"> are the intended destinations of the EDMG MU PPD</w:t>
      </w:r>
      <w:r w:rsidR="001841E1">
        <w:rPr>
          <w:rFonts w:eastAsiaTheme="minorEastAsia"/>
          <w:lang w:eastAsia="zh-CN"/>
        </w:rPr>
        <w:t>U</w:t>
      </w:r>
      <w:r w:rsidR="0014392C">
        <w:rPr>
          <w:rFonts w:eastAsiaTheme="minorEastAsia"/>
          <w:lang w:eastAsia="zh-CN"/>
        </w:rPr>
        <w:t xml:space="preserve"> to be transmitted</w:t>
      </w:r>
      <w:r w:rsidR="001F6E53">
        <w:rPr>
          <w:rFonts w:eastAsiaTheme="minorEastAsia"/>
          <w:lang w:eastAsia="zh-CN"/>
        </w:rPr>
        <w:t>.</w:t>
      </w:r>
      <w:r w:rsidR="00D621EA">
        <w:rPr>
          <w:rFonts w:eastAsiaTheme="minorEastAsia" w:hint="eastAsia"/>
          <w:lang w:eastAsia="zh-CN"/>
        </w:rPr>
        <w:t xml:space="preserve"> </w:t>
      </w:r>
      <w:r w:rsidR="00B71877">
        <w:rPr>
          <w:rFonts w:eastAsiaTheme="minorEastAsia"/>
          <w:lang w:eastAsia="zh-CN"/>
        </w:rPr>
        <w:t>The RA field of the RTS shall be set to the broadcast MAC address</w:t>
      </w:r>
      <w:r w:rsidR="00B71877">
        <w:rPr>
          <w:rFonts w:eastAsiaTheme="minorEastAsia" w:hint="eastAsia"/>
          <w:lang w:eastAsia="zh-CN"/>
        </w:rPr>
        <w:t>.</w:t>
      </w:r>
      <w:r w:rsidR="00E475F7" w:rsidRPr="00E475F7">
        <w:t xml:space="preserve"> </w:t>
      </w:r>
      <w:r w:rsidR="00E475F7">
        <w:t xml:space="preserve">After </w:t>
      </w:r>
      <w:r w:rsidR="00E475F7">
        <w:rPr>
          <w:rFonts w:eastAsiaTheme="minorEastAsia"/>
          <w:lang w:eastAsia="zh-CN"/>
        </w:rPr>
        <w:t>transmitting the RTS frame</w:t>
      </w:r>
      <w:r w:rsidR="00E475F7">
        <w:t xml:space="preserve">, </w:t>
      </w:r>
      <w:r w:rsidR="00E475F7">
        <w:rPr>
          <w:rFonts w:eastAsiaTheme="minorEastAsia"/>
          <w:lang w:eastAsia="zh-CN"/>
        </w:rPr>
        <w:t>the initiator</w:t>
      </w:r>
      <w:r w:rsidR="00E475F7" w:rsidRPr="00E475F7">
        <w:rPr>
          <w:rFonts w:eastAsiaTheme="minorEastAsia"/>
          <w:lang w:eastAsia="zh-CN"/>
        </w:rPr>
        <w:t xml:space="preserve"> shall configure its </w:t>
      </w:r>
      <w:r w:rsidR="00712A47">
        <w:rPr>
          <w:rFonts w:eastAsiaTheme="minorEastAsia"/>
          <w:lang w:eastAsia="zh-CN"/>
        </w:rPr>
        <w:t>receive</w:t>
      </w:r>
      <w:r w:rsidR="00712A47" w:rsidRPr="008739F1">
        <w:rPr>
          <w:rFonts w:eastAsiaTheme="minorEastAsia"/>
          <w:lang w:eastAsia="zh-CN"/>
        </w:rPr>
        <w:t xml:space="preserve"> </w:t>
      </w:r>
      <w:bookmarkStart w:id="0" w:name="_GoBack"/>
      <w:bookmarkEnd w:id="0"/>
      <w:r w:rsidR="00E475F7" w:rsidRPr="00E475F7">
        <w:rPr>
          <w:rFonts w:eastAsiaTheme="minorEastAsia"/>
          <w:lang w:eastAsia="zh-CN"/>
        </w:rPr>
        <w:t>antenna to quasi-</w:t>
      </w:r>
      <w:proofErr w:type="spellStart"/>
      <w:r w:rsidR="00E475F7" w:rsidRPr="00E475F7">
        <w:rPr>
          <w:rFonts w:eastAsiaTheme="minorEastAsia"/>
          <w:lang w:eastAsia="zh-CN"/>
        </w:rPr>
        <w:t>omni</w:t>
      </w:r>
      <w:proofErr w:type="spellEnd"/>
      <w:r w:rsidR="00E475F7" w:rsidRPr="00E475F7">
        <w:rPr>
          <w:rFonts w:eastAsiaTheme="minorEastAsia"/>
          <w:lang w:eastAsia="zh-CN"/>
        </w:rPr>
        <w:t xml:space="preserve"> receive pattern </w:t>
      </w:r>
      <w:r w:rsidR="00E475F7">
        <w:rPr>
          <w:rFonts w:eastAsiaTheme="minorEastAsia"/>
          <w:lang w:eastAsia="zh-CN"/>
        </w:rPr>
        <w:t>to receive the DMG CTS.</w:t>
      </w:r>
      <w:r w:rsidR="008739F1">
        <w:rPr>
          <w:rFonts w:eastAsiaTheme="minorEastAsia"/>
          <w:lang w:eastAsia="zh-CN"/>
        </w:rPr>
        <w:t xml:space="preserve"> The</w:t>
      </w:r>
      <w:r w:rsidR="008739F1" w:rsidRPr="008739F1">
        <w:rPr>
          <w:rFonts w:eastAsiaTheme="minorEastAsia"/>
          <w:lang w:eastAsia="zh-CN"/>
        </w:rPr>
        <w:t xml:space="preserve"> </w:t>
      </w:r>
      <w:r w:rsidR="008739F1">
        <w:rPr>
          <w:rFonts w:eastAsiaTheme="minorEastAsia"/>
          <w:lang w:eastAsia="zh-CN"/>
        </w:rPr>
        <w:t>responders</w:t>
      </w:r>
      <w:r w:rsidR="008739F1" w:rsidRPr="008739F1">
        <w:rPr>
          <w:rFonts w:eastAsiaTheme="minorEastAsia"/>
          <w:lang w:eastAsia="zh-CN"/>
        </w:rPr>
        <w:t xml:space="preserve"> should not configure </w:t>
      </w:r>
      <w:proofErr w:type="gramStart"/>
      <w:r w:rsidR="008739F1" w:rsidRPr="008739F1">
        <w:rPr>
          <w:rFonts w:eastAsiaTheme="minorEastAsia"/>
          <w:lang w:eastAsia="zh-CN"/>
        </w:rPr>
        <w:t>its</w:t>
      </w:r>
      <w:proofErr w:type="gramEnd"/>
      <w:r w:rsidR="008739F1" w:rsidRPr="008739F1">
        <w:rPr>
          <w:rFonts w:eastAsiaTheme="minorEastAsia"/>
          <w:lang w:eastAsia="zh-CN"/>
        </w:rPr>
        <w:t xml:space="preserve"> </w:t>
      </w:r>
      <w:r w:rsidR="008739F1">
        <w:rPr>
          <w:rFonts w:eastAsiaTheme="minorEastAsia"/>
          <w:lang w:eastAsia="zh-CN"/>
        </w:rPr>
        <w:t>receive</w:t>
      </w:r>
      <w:r w:rsidR="008739F1" w:rsidRPr="008739F1">
        <w:rPr>
          <w:rFonts w:eastAsiaTheme="minorEastAsia"/>
          <w:lang w:eastAsia="zh-CN"/>
        </w:rPr>
        <w:t xml:space="preserve"> antenna to SISO configuration when</w:t>
      </w:r>
      <w:r w:rsidR="008739F1">
        <w:rPr>
          <w:rFonts w:eastAsiaTheme="minorEastAsia"/>
          <w:lang w:eastAsia="zh-CN"/>
        </w:rPr>
        <w:t xml:space="preserve"> it is</w:t>
      </w:r>
      <w:r w:rsidR="008739F1" w:rsidRPr="008739F1">
        <w:rPr>
          <w:rFonts w:eastAsiaTheme="minorEastAsia"/>
          <w:lang w:eastAsia="zh-CN"/>
        </w:rPr>
        <w:t xml:space="preserve"> not in </w:t>
      </w:r>
      <w:r w:rsidR="008739F1">
        <w:rPr>
          <w:rFonts w:eastAsiaTheme="minorEastAsia"/>
          <w:lang w:eastAsia="zh-CN"/>
        </w:rPr>
        <w:t>the transmit or receive</w:t>
      </w:r>
      <w:r w:rsidR="008739F1" w:rsidRPr="008739F1">
        <w:rPr>
          <w:rFonts w:eastAsiaTheme="minorEastAsia"/>
          <w:lang w:eastAsia="zh-CN"/>
        </w:rPr>
        <w:t xml:space="preserve"> sequence</w:t>
      </w:r>
      <w:r w:rsidR="008739F1">
        <w:rPr>
          <w:rFonts w:eastAsiaTheme="minorEastAsia" w:hint="eastAsia"/>
          <w:lang w:eastAsia="zh-CN"/>
        </w:rPr>
        <w:t>.</w:t>
      </w:r>
    </w:p>
    <w:p w14:paraId="791DA257" w14:textId="4D581049" w:rsidR="00AD42E7" w:rsidRDefault="00A465F2" w:rsidP="001029BF">
      <w:pPr>
        <w:pStyle w:val="IEEEStdsParagrap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 STA</w:t>
      </w:r>
      <w:r w:rsidR="008A448D">
        <w:rPr>
          <w:rFonts w:eastAsiaTheme="minorEastAsia"/>
          <w:lang w:eastAsia="zh-CN"/>
        </w:rPr>
        <w:t xml:space="preserve"> that receive</w:t>
      </w:r>
      <w:r>
        <w:rPr>
          <w:rFonts w:eastAsiaTheme="minorEastAsia"/>
          <w:lang w:eastAsia="zh-CN"/>
        </w:rPr>
        <w:t>s</w:t>
      </w:r>
      <w:r w:rsidR="008A448D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</w:t>
      </w:r>
      <w:r w:rsidR="004D4D62">
        <w:rPr>
          <w:rFonts w:eastAsiaTheme="minorEastAsia"/>
          <w:lang w:eastAsia="zh-CN"/>
        </w:rPr>
        <w:t>n</w:t>
      </w:r>
      <w:r w:rsidR="008A448D">
        <w:rPr>
          <w:rFonts w:eastAsiaTheme="minorEastAsia"/>
          <w:lang w:eastAsia="zh-CN"/>
        </w:rPr>
        <w:t xml:space="preserve"> </w:t>
      </w:r>
      <w:r w:rsidR="00650FDB">
        <w:rPr>
          <w:rFonts w:eastAsiaTheme="minorEastAsia"/>
          <w:lang w:eastAsia="zh-CN"/>
        </w:rPr>
        <w:t xml:space="preserve">RTS </w:t>
      </w:r>
      <w:r w:rsidR="008A448D">
        <w:rPr>
          <w:rFonts w:eastAsiaTheme="minorEastAsia"/>
          <w:lang w:eastAsia="zh-CN"/>
        </w:rPr>
        <w:t xml:space="preserve">frame </w:t>
      </w:r>
      <w:r>
        <w:rPr>
          <w:rFonts w:eastAsiaTheme="minorEastAsia"/>
          <w:lang w:eastAsia="zh-CN"/>
        </w:rPr>
        <w:t>addressed to a</w:t>
      </w:r>
      <w:r w:rsidR="009F364F">
        <w:rPr>
          <w:rFonts w:eastAsiaTheme="minorEastAsia"/>
          <w:lang w:eastAsia="zh-CN"/>
        </w:rPr>
        <w:t>n</w:t>
      </w:r>
      <w:r>
        <w:rPr>
          <w:rFonts w:eastAsiaTheme="minorEastAsia"/>
          <w:lang w:eastAsia="zh-CN"/>
        </w:rPr>
        <w:t xml:space="preserve"> MU group that the STA belongs</w:t>
      </w:r>
      <w:r w:rsidR="005B09B2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 w:rsidR="0000465D">
        <w:rPr>
          <w:rFonts w:eastAsiaTheme="minorEastAsia"/>
          <w:lang w:eastAsia="zh-CN"/>
        </w:rPr>
        <w:t xml:space="preserve">shall transmit </w:t>
      </w:r>
      <w:r w:rsidR="005A119C">
        <w:rPr>
          <w:rFonts w:eastAsiaTheme="minorEastAsia"/>
          <w:lang w:eastAsia="zh-CN"/>
        </w:rPr>
        <w:t>a</w:t>
      </w:r>
      <w:r w:rsidR="004D4D62">
        <w:rPr>
          <w:rFonts w:eastAsiaTheme="minorEastAsia"/>
          <w:lang w:eastAsia="zh-CN"/>
        </w:rPr>
        <w:t xml:space="preserve"> </w:t>
      </w:r>
      <w:r w:rsidR="0000465D">
        <w:rPr>
          <w:rFonts w:eastAsiaTheme="minorEastAsia"/>
          <w:lang w:eastAsia="zh-CN"/>
        </w:rPr>
        <w:t xml:space="preserve">DMG CTS frame back to the </w:t>
      </w:r>
      <w:r w:rsidR="00995A4D">
        <w:rPr>
          <w:rFonts w:eastAsiaTheme="minorEastAsia"/>
          <w:lang w:eastAsia="zh-CN"/>
        </w:rPr>
        <w:t>initiator</w:t>
      </w:r>
      <w:r w:rsidR="004C6FB1">
        <w:rPr>
          <w:rFonts w:eastAsiaTheme="minorEastAsia"/>
          <w:lang w:eastAsia="zh-CN"/>
        </w:rPr>
        <w:t xml:space="preserve"> </w:t>
      </w:r>
      <w:r w:rsidR="00EB64EA">
        <w:rPr>
          <w:rFonts w:eastAsiaTheme="minorEastAsia"/>
          <w:lang w:eastAsia="zh-CN"/>
        </w:rPr>
        <w:t xml:space="preserve">employing </w:t>
      </w:r>
      <w:r w:rsidR="004C6FB1">
        <w:rPr>
          <w:rFonts w:eastAsiaTheme="minorEastAsia"/>
          <w:lang w:eastAsia="zh-CN"/>
        </w:rPr>
        <w:t xml:space="preserve">the most </w:t>
      </w:r>
      <w:r w:rsidR="00EB64EA">
        <w:rPr>
          <w:rFonts w:eastAsiaTheme="minorEastAsia"/>
          <w:lang w:eastAsia="zh-CN"/>
        </w:rPr>
        <w:t xml:space="preserve">recent </w:t>
      </w:r>
      <w:r w:rsidR="004C6FB1">
        <w:rPr>
          <w:rFonts w:eastAsiaTheme="minorEastAsia"/>
          <w:lang w:eastAsia="zh-CN"/>
        </w:rPr>
        <w:t xml:space="preserve">SISO antenna </w:t>
      </w:r>
      <w:r w:rsidR="001841E1">
        <w:rPr>
          <w:rFonts w:eastAsiaTheme="minorEastAsia"/>
          <w:lang w:eastAsia="zh-CN"/>
        </w:rPr>
        <w:t>configuration</w:t>
      </w:r>
      <w:r w:rsidR="004C6FB1">
        <w:rPr>
          <w:rFonts w:eastAsiaTheme="minorEastAsia"/>
          <w:lang w:eastAsia="zh-CN"/>
        </w:rPr>
        <w:t xml:space="preserve"> used between the responder and the initiator. </w:t>
      </w:r>
      <w:r w:rsidR="00A6518E">
        <w:rPr>
          <w:rFonts w:eastAsiaTheme="minorEastAsia"/>
          <w:lang w:eastAsia="zh-CN"/>
        </w:rPr>
        <w:t xml:space="preserve">The DMG CTS frame shall be transmitted </w:t>
      </w:r>
      <w:r w:rsidR="00756546">
        <w:rPr>
          <w:rFonts w:eastAsiaTheme="minorEastAsia"/>
          <w:lang w:eastAsia="zh-CN"/>
        </w:rPr>
        <w:t xml:space="preserve">a </w:t>
      </w:r>
      <w:r w:rsidR="00A6518E">
        <w:rPr>
          <w:rFonts w:eastAsiaTheme="minorEastAsia"/>
          <w:lang w:eastAsia="zh-CN"/>
        </w:rPr>
        <w:t>SIFS interval following the reception of the RTS frame</w:t>
      </w:r>
      <w:r w:rsidR="00843F7C">
        <w:rPr>
          <w:rFonts w:eastAsiaTheme="minorEastAsia"/>
          <w:lang w:eastAsia="zh-CN"/>
        </w:rPr>
        <w:t>. The</w:t>
      </w:r>
      <w:r w:rsidR="000F7CB2">
        <w:rPr>
          <w:rFonts w:eastAsiaTheme="minorEastAsia"/>
          <w:lang w:eastAsia="zh-CN"/>
        </w:rPr>
        <w:t xml:space="preserve"> TA</w:t>
      </w:r>
      <w:r w:rsidR="00843F7C">
        <w:rPr>
          <w:rFonts w:eastAsiaTheme="minorEastAsia"/>
          <w:lang w:eastAsia="zh-CN"/>
        </w:rPr>
        <w:t xml:space="preserve"> </w:t>
      </w:r>
      <w:r w:rsidR="000F7CB2">
        <w:rPr>
          <w:rFonts w:eastAsiaTheme="minorEastAsia"/>
          <w:lang w:eastAsia="zh-CN"/>
        </w:rPr>
        <w:t>field</w:t>
      </w:r>
      <w:r w:rsidR="00843F7C">
        <w:rPr>
          <w:rFonts w:eastAsiaTheme="minorEastAsia"/>
          <w:lang w:eastAsia="zh-CN"/>
        </w:rPr>
        <w:t xml:space="preserve"> of the DMG CTS shall be</w:t>
      </w:r>
      <w:r w:rsidR="000F7CB2">
        <w:rPr>
          <w:rFonts w:eastAsiaTheme="minorEastAsia"/>
          <w:lang w:eastAsia="zh-CN"/>
        </w:rPr>
        <w:t xml:space="preserve"> set to the broadcast MAC address and the S</w:t>
      </w:r>
      <w:r w:rsidR="000F7CB2" w:rsidRPr="004352DB">
        <w:rPr>
          <w:rFonts w:eastAsiaTheme="minorEastAsia"/>
          <w:lang w:eastAsia="zh-CN"/>
        </w:rPr>
        <w:t xml:space="preserve">crambler </w:t>
      </w:r>
      <w:r w:rsidR="000F7CB2">
        <w:rPr>
          <w:rFonts w:eastAsiaTheme="minorEastAsia"/>
          <w:lang w:eastAsia="zh-CN"/>
        </w:rPr>
        <w:t>I</w:t>
      </w:r>
      <w:r w:rsidR="000F7CB2" w:rsidRPr="004352DB">
        <w:rPr>
          <w:rFonts w:eastAsiaTheme="minorEastAsia"/>
          <w:lang w:eastAsia="zh-CN"/>
        </w:rPr>
        <w:t>nitialization</w:t>
      </w:r>
      <w:r w:rsidR="000F7CB2">
        <w:rPr>
          <w:rFonts w:eastAsiaTheme="minorEastAsia"/>
          <w:lang w:eastAsia="zh-CN"/>
        </w:rPr>
        <w:t xml:space="preserve"> field </w:t>
      </w:r>
      <w:r w:rsidR="000F7CB2" w:rsidRPr="00DF5890">
        <w:rPr>
          <w:rFonts w:eastAsiaTheme="minorEastAsia"/>
          <w:lang w:val="en-GB" w:eastAsia="zh-CN"/>
        </w:rPr>
        <w:t xml:space="preserve">in the PHY </w:t>
      </w:r>
      <w:r w:rsidR="003353C8">
        <w:rPr>
          <w:rFonts w:eastAsiaTheme="minorEastAsia"/>
          <w:lang w:val="en-GB" w:eastAsia="zh-CN"/>
        </w:rPr>
        <w:t>h</w:t>
      </w:r>
      <w:r w:rsidR="000F7CB2" w:rsidRPr="00DF5890">
        <w:rPr>
          <w:rFonts w:eastAsiaTheme="minorEastAsia"/>
          <w:lang w:val="en-GB" w:eastAsia="zh-CN"/>
        </w:rPr>
        <w:t>eader</w:t>
      </w:r>
      <w:r w:rsidR="00843F7C">
        <w:rPr>
          <w:rFonts w:eastAsiaTheme="minorEastAsia"/>
          <w:lang w:val="en-GB" w:eastAsia="zh-CN"/>
        </w:rPr>
        <w:t xml:space="preserve"> shall be</w:t>
      </w:r>
      <w:r w:rsidR="000F7CB2" w:rsidRPr="00DF5890">
        <w:rPr>
          <w:rFonts w:eastAsiaTheme="minorEastAsia"/>
          <w:lang w:val="en-GB" w:eastAsia="zh-CN"/>
        </w:rPr>
        <w:t xml:space="preserve"> </w:t>
      </w:r>
      <w:r w:rsidR="000F7CB2">
        <w:rPr>
          <w:rFonts w:eastAsiaTheme="minorEastAsia"/>
          <w:lang w:val="en-GB" w:eastAsia="zh-CN"/>
        </w:rPr>
        <w:t xml:space="preserve">set </w:t>
      </w:r>
      <w:r w:rsidR="000F7CB2">
        <w:rPr>
          <w:rFonts w:eastAsiaTheme="minorEastAsia"/>
          <w:lang w:eastAsia="zh-CN"/>
        </w:rPr>
        <w:t>to the same value as the S</w:t>
      </w:r>
      <w:r w:rsidR="000F7CB2" w:rsidRPr="004352DB">
        <w:rPr>
          <w:rFonts w:eastAsiaTheme="minorEastAsia"/>
          <w:lang w:eastAsia="zh-CN"/>
        </w:rPr>
        <w:t xml:space="preserve">crambler </w:t>
      </w:r>
      <w:r w:rsidR="000F7CB2">
        <w:rPr>
          <w:rFonts w:eastAsiaTheme="minorEastAsia"/>
          <w:lang w:eastAsia="zh-CN"/>
        </w:rPr>
        <w:t>I</w:t>
      </w:r>
      <w:r w:rsidR="000F7CB2" w:rsidRPr="004352DB">
        <w:rPr>
          <w:rFonts w:eastAsiaTheme="minorEastAsia"/>
          <w:lang w:eastAsia="zh-CN"/>
        </w:rPr>
        <w:t>nitialization</w:t>
      </w:r>
      <w:r w:rsidR="000F7CB2">
        <w:rPr>
          <w:rFonts w:eastAsiaTheme="minorEastAsia"/>
          <w:lang w:eastAsia="zh-CN"/>
        </w:rPr>
        <w:t xml:space="preserve"> field of the PPDU that contained</w:t>
      </w:r>
      <w:r w:rsidR="0032296E">
        <w:rPr>
          <w:rFonts w:eastAsiaTheme="minorEastAsia"/>
          <w:lang w:eastAsia="zh-CN"/>
        </w:rPr>
        <w:t xml:space="preserve"> in</w:t>
      </w:r>
      <w:r w:rsidR="000F7CB2">
        <w:rPr>
          <w:rFonts w:eastAsiaTheme="minorEastAsia"/>
          <w:lang w:eastAsia="zh-CN"/>
        </w:rPr>
        <w:t xml:space="preserve"> the received RTS frame</w:t>
      </w:r>
      <w:r w:rsidR="00A6518E">
        <w:rPr>
          <w:rFonts w:eastAsiaTheme="minorEastAsia"/>
          <w:lang w:eastAsia="zh-CN"/>
        </w:rPr>
        <w:t xml:space="preserve">. </w:t>
      </w:r>
      <w:r w:rsidR="003353C8">
        <w:rPr>
          <w:rFonts w:eastAsiaTheme="minorEastAsia"/>
          <w:lang w:eastAsia="zh-CN"/>
        </w:rPr>
        <w:t xml:space="preserve">For the STA addressed by the DMG CTS frame to successfully receive the frame, </w:t>
      </w:r>
      <w:r w:rsidR="003353C8" w:rsidRPr="00B51101">
        <w:rPr>
          <w:rFonts w:eastAsiaTheme="minorEastAsia"/>
          <w:lang w:eastAsia="zh-CN"/>
        </w:rPr>
        <w:t xml:space="preserve">the difference in time between </w:t>
      </w:r>
      <w:r w:rsidR="003353C8">
        <w:rPr>
          <w:rFonts w:eastAsiaTheme="minorEastAsia"/>
          <w:lang w:eastAsia="zh-CN"/>
        </w:rPr>
        <w:t xml:space="preserve">all </w:t>
      </w:r>
      <w:r w:rsidR="003353C8" w:rsidRPr="00B51101">
        <w:rPr>
          <w:rFonts w:eastAsiaTheme="minorEastAsia"/>
          <w:lang w:eastAsia="zh-CN"/>
        </w:rPr>
        <w:t xml:space="preserve">the DMG CTS </w:t>
      </w:r>
      <w:r w:rsidR="003353C8">
        <w:rPr>
          <w:rFonts w:eastAsiaTheme="minorEastAsia"/>
          <w:lang w:eastAsia="zh-CN"/>
        </w:rPr>
        <w:t xml:space="preserve">transmissions as measured at the receiving STA should be no more than </w:t>
      </w:r>
      <w:r w:rsidR="003353C8" w:rsidRPr="00D13308">
        <w:rPr>
          <w:rFonts w:eastAsiaTheme="minorEastAsia"/>
          <w:lang w:eastAsia="zh-CN"/>
        </w:rPr>
        <w:t>±30 ns</w:t>
      </w:r>
      <w:r w:rsidR="003353C8">
        <w:rPr>
          <w:rFonts w:eastAsiaTheme="minorEastAsia"/>
          <w:lang w:eastAsia="zh-CN"/>
        </w:rPr>
        <w:t>.</w:t>
      </w:r>
      <w:r w:rsidR="00F16502">
        <w:rPr>
          <w:rFonts w:eastAsiaTheme="minorEastAsia"/>
          <w:lang w:eastAsia="zh-CN"/>
        </w:rPr>
        <w:t xml:space="preserve"> </w:t>
      </w:r>
      <w:r w:rsidR="00CE4984" w:rsidRPr="008739F1">
        <w:rPr>
          <w:rFonts w:eastAsiaTheme="minorEastAsia"/>
          <w:lang w:eastAsia="zh-CN"/>
        </w:rPr>
        <w:t xml:space="preserve">A STA that transmits the DMG CTS should pre-compensate for carrier frequency offset (CFO) error. After compensation, </w:t>
      </w:r>
      <w:r w:rsidR="00F16502" w:rsidRPr="008739F1">
        <w:rPr>
          <w:rFonts w:eastAsiaTheme="minorEastAsia"/>
          <w:lang w:eastAsia="zh-CN"/>
        </w:rPr>
        <w:t>the</w:t>
      </w:r>
      <w:r w:rsidR="00325BE7" w:rsidRPr="00D13308">
        <w:rPr>
          <w:rFonts w:eastAsiaTheme="minorEastAsia"/>
          <w:lang w:eastAsia="zh-CN"/>
        </w:rPr>
        <w:t xml:space="preserve"> </w:t>
      </w:r>
      <w:r w:rsidR="00325BE7" w:rsidRPr="008739F1">
        <w:rPr>
          <w:rFonts w:eastAsiaTheme="minorEastAsia"/>
          <w:lang w:eastAsia="zh-CN"/>
        </w:rPr>
        <w:t xml:space="preserve">absolute value of </w:t>
      </w:r>
      <w:r w:rsidR="00F16502" w:rsidRPr="008739F1">
        <w:rPr>
          <w:rFonts w:eastAsiaTheme="minorEastAsia"/>
          <w:lang w:eastAsia="zh-CN"/>
        </w:rPr>
        <w:t xml:space="preserve">residual CFO error </w:t>
      </w:r>
      <w:r w:rsidR="00CE4984" w:rsidRPr="008739F1">
        <w:rPr>
          <w:rFonts w:eastAsiaTheme="minorEastAsia"/>
          <w:lang w:eastAsia="zh-CN"/>
        </w:rPr>
        <w:t xml:space="preserve">with respect to the RTS </w:t>
      </w:r>
      <w:r w:rsidR="00F16502" w:rsidRPr="008739F1">
        <w:rPr>
          <w:rFonts w:eastAsiaTheme="minorEastAsia"/>
          <w:lang w:eastAsia="zh-CN"/>
        </w:rPr>
        <w:t xml:space="preserve">should not exceed </w:t>
      </w:r>
      <w:r w:rsidR="00D13308" w:rsidRPr="008739F1">
        <w:rPr>
          <w:rFonts w:eastAsiaTheme="minorEastAsia"/>
          <w:lang w:eastAsia="zh-CN"/>
        </w:rPr>
        <w:t>12 KHz</w:t>
      </w:r>
      <w:r w:rsidR="00F16502" w:rsidRPr="008739F1">
        <w:rPr>
          <w:rFonts w:eastAsiaTheme="minorEastAsia"/>
          <w:lang w:eastAsia="zh-CN"/>
        </w:rPr>
        <w:t xml:space="preserve">. </w:t>
      </w:r>
      <w:r w:rsidR="004D4D62" w:rsidRPr="008739F1">
        <w:rPr>
          <w:rFonts w:eastAsiaTheme="minorEastAsia"/>
          <w:lang w:eastAsia="zh-CN"/>
        </w:rPr>
        <w:t>Following transmis</w:t>
      </w:r>
      <w:r w:rsidR="004D4D62">
        <w:rPr>
          <w:rFonts w:eastAsiaTheme="minorEastAsia"/>
          <w:lang w:eastAsia="zh-CN"/>
        </w:rPr>
        <w:t xml:space="preserve">sion of the DMG CTS, the responder </w:t>
      </w:r>
      <w:r w:rsidR="00D621EA">
        <w:rPr>
          <w:rFonts w:eastAsiaTheme="minorEastAsia"/>
          <w:lang w:eastAsia="zh-CN"/>
        </w:rPr>
        <w:t>shall</w:t>
      </w:r>
      <w:r w:rsidR="0000465D">
        <w:rPr>
          <w:rFonts w:eastAsiaTheme="minorEastAsia"/>
          <w:lang w:eastAsia="zh-CN"/>
        </w:rPr>
        <w:t xml:space="preserve"> then</w:t>
      </w:r>
      <w:r w:rsidR="00D621EA">
        <w:rPr>
          <w:rFonts w:eastAsiaTheme="minorEastAsia"/>
          <w:lang w:eastAsia="zh-CN"/>
        </w:rPr>
        <w:t xml:space="preserve"> configure </w:t>
      </w:r>
      <w:r>
        <w:rPr>
          <w:rFonts w:eastAsiaTheme="minorEastAsia"/>
          <w:lang w:eastAsia="zh-CN"/>
        </w:rPr>
        <w:t xml:space="preserve">its antennas based on the antenna setting obtained during the last MU-MIMO </w:t>
      </w:r>
      <w:proofErr w:type="spellStart"/>
      <w:r>
        <w:rPr>
          <w:rFonts w:eastAsiaTheme="minorEastAsia"/>
          <w:lang w:eastAsia="zh-CN"/>
        </w:rPr>
        <w:t>b</w:t>
      </w:r>
      <w:r w:rsidR="00D621EA">
        <w:rPr>
          <w:rFonts w:eastAsiaTheme="minorEastAsia"/>
          <w:lang w:eastAsia="zh-CN"/>
        </w:rPr>
        <w:t>eamforming</w:t>
      </w:r>
      <w:proofErr w:type="spellEnd"/>
      <w:r>
        <w:rPr>
          <w:rFonts w:eastAsiaTheme="minorEastAsia"/>
          <w:lang w:eastAsia="zh-CN"/>
        </w:rPr>
        <w:t xml:space="preserve"> training for the MU group</w:t>
      </w:r>
      <w:r w:rsidR="00D621EA">
        <w:rPr>
          <w:rFonts w:eastAsiaTheme="minorEastAsia"/>
          <w:lang w:eastAsia="zh-CN"/>
        </w:rPr>
        <w:t>.</w:t>
      </w:r>
      <w:r w:rsidR="00A6518E">
        <w:rPr>
          <w:rFonts w:eastAsiaTheme="minorEastAsia"/>
          <w:lang w:eastAsia="zh-CN"/>
        </w:rPr>
        <w:t xml:space="preserve"> The MU-MIMO transmission begins SIFS interval following the </w:t>
      </w:r>
      <w:r w:rsidR="00414990">
        <w:rPr>
          <w:rFonts w:eastAsiaTheme="minorEastAsia"/>
          <w:lang w:eastAsia="zh-CN"/>
        </w:rPr>
        <w:t>reception</w:t>
      </w:r>
      <w:r w:rsidR="005A52B0">
        <w:rPr>
          <w:rFonts w:eastAsiaTheme="minorEastAsia"/>
          <w:lang w:eastAsia="zh-CN"/>
        </w:rPr>
        <w:t xml:space="preserve"> or </w:t>
      </w:r>
      <w:r w:rsidR="00A6518E">
        <w:rPr>
          <w:rFonts w:eastAsiaTheme="minorEastAsia"/>
          <w:lang w:eastAsia="zh-CN"/>
        </w:rPr>
        <w:t xml:space="preserve">expected </w:t>
      </w:r>
      <w:r w:rsidR="005A52B0">
        <w:rPr>
          <w:rFonts w:eastAsiaTheme="minorEastAsia"/>
          <w:lang w:eastAsia="zh-CN"/>
        </w:rPr>
        <w:t xml:space="preserve">reception of </w:t>
      </w:r>
      <w:r w:rsidR="00A6518E">
        <w:rPr>
          <w:rFonts w:eastAsiaTheme="minorEastAsia"/>
          <w:lang w:eastAsia="zh-CN"/>
        </w:rPr>
        <w:t xml:space="preserve">the </w:t>
      </w:r>
      <w:r w:rsidR="005B09B2">
        <w:rPr>
          <w:rFonts w:eastAsiaTheme="minorEastAsia"/>
          <w:lang w:eastAsia="zh-CN"/>
        </w:rPr>
        <w:t xml:space="preserve">DMG </w:t>
      </w:r>
      <w:r w:rsidR="00A6518E">
        <w:rPr>
          <w:rFonts w:eastAsiaTheme="minorEastAsia"/>
          <w:lang w:eastAsia="zh-CN"/>
        </w:rPr>
        <w:t>CTS frame by the initiator.</w:t>
      </w:r>
      <w:r w:rsidR="00ED7843">
        <w:rPr>
          <w:rFonts w:eastAsiaTheme="minorEastAsia"/>
          <w:lang w:eastAsia="zh-CN"/>
        </w:rPr>
        <w:t xml:space="preserve"> This is shown in Figure 1.</w:t>
      </w:r>
    </w:p>
    <w:p w14:paraId="0DA1A3AE" w14:textId="2DA14B19" w:rsidR="00077C3D" w:rsidRDefault="004D4D62" w:rsidP="001029BF">
      <w:pPr>
        <w:pStyle w:val="IEEEStdsParagrap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 STA that receives a DMG CTS-to-self </w:t>
      </w:r>
      <w:r w:rsidR="00ED7843">
        <w:rPr>
          <w:rFonts w:eastAsiaTheme="minorEastAsia"/>
          <w:lang w:eastAsia="zh-CN"/>
        </w:rPr>
        <w:t xml:space="preserve">frame </w:t>
      </w:r>
      <w:r>
        <w:rPr>
          <w:rFonts w:eastAsiaTheme="minorEastAsia"/>
          <w:lang w:eastAsia="zh-CN"/>
        </w:rPr>
        <w:t xml:space="preserve">addressed to an MU group that the STA belongs </w:t>
      </w:r>
      <w:r w:rsidR="00414990">
        <w:rPr>
          <w:rFonts w:eastAsiaTheme="minorEastAsia"/>
          <w:lang w:eastAsia="zh-CN"/>
        </w:rPr>
        <w:t xml:space="preserve">to </w:t>
      </w:r>
      <w:r w:rsidR="0000465D">
        <w:rPr>
          <w:rFonts w:eastAsiaTheme="minorEastAsia"/>
          <w:lang w:eastAsia="zh-CN"/>
        </w:rPr>
        <w:t xml:space="preserve">shall configure its antennas based on the antenna setting obtained during the last </w:t>
      </w:r>
      <w:r w:rsidR="00DF1F57">
        <w:rPr>
          <w:rFonts w:eastAsiaTheme="minorEastAsia"/>
          <w:lang w:eastAsia="zh-CN"/>
        </w:rPr>
        <w:t xml:space="preserve">successful </w:t>
      </w:r>
      <w:r w:rsidR="0000465D">
        <w:rPr>
          <w:rFonts w:eastAsiaTheme="minorEastAsia"/>
          <w:lang w:eastAsia="zh-CN"/>
        </w:rPr>
        <w:t xml:space="preserve">MU-MIMO </w:t>
      </w:r>
      <w:proofErr w:type="spellStart"/>
      <w:r w:rsidR="0000465D">
        <w:rPr>
          <w:rFonts w:eastAsiaTheme="minorEastAsia"/>
          <w:lang w:eastAsia="zh-CN"/>
        </w:rPr>
        <w:t>beamforming</w:t>
      </w:r>
      <w:proofErr w:type="spellEnd"/>
      <w:r w:rsidR="0000465D">
        <w:rPr>
          <w:rFonts w:eastAsiaTheme="minorEastAsia"/>
          <w:lang w:eastAsia="zh-CN"/>
        </w:rPr>
        <w:t xml:space="preserve"> training for the MU group.</w:t>
      </w:r>
      <w:r w:rsidR="00ED7843">
        <w:rPr>
          <w:rFonts w:eastAsiaTheme="minorEastAsia"/>
          <w:lang w:eastAsia="zh-CN"/>
        </w:rPr>
        <w:t xml:space="preserve"> The MU-MIMO transmission begins SIFS interval following the end of the DMG CTS-to-self frame transmission by the initiator. This is shown in Figure 2.</w:t>
      </w:r>
    </w:p>
    <w:p w14:paraId="4309CFFE" w14:textId="2F258CAF" w:rsidR="009579DA" w:rsidRDefault="00E346EC" w:rsidP="001029BF">
      <w:pPr>
        <w:pStyle w:val="IEEEStdsParagrap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Section 10.3.2.10 </w:t>
      </w:r>
      <w:r w:rsidR="004D4D62">
        <w:rPr>
          <w:rFonts w:eastAsiaTheme="minorEastAsia"/>
          <w:lang w:eastAsia="zh-CN"/>
        </w:rPr>
        <w:t xml:space="preserve">describes the </w:t>
      </w:r>
      <w:r>
        <w:rPr>
          <w:rFonts w:eastAsiaTheme="minorEastAsia"/>
          <w:lang w:eastAsia="zh-CN"/>
        </w:rPr>
        <w:t>MU PPDU acknowledgement procedure.</w:t>
      </w:r>
    </w:p>
    <w:p w14:paraId="48B6C70F" w14:textId="42E0C8BF" w:rsidR="00B07C83" w:rsidRDefault="00F41C2F" w:rsidP="001029BF">
      <w:pPr>
        <w:pStyle w:val="IEEEStdsParagrap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initiator may send a CF-End</w:t>
      </w:r>
      <w:r w:rsidR="004C6FB1">
        <w:rPr>
          <w:rFonts w:eastAsiaTheme="minorEastAsia"/>
          <w:lang w:eastAsia="zh-CN"/>
        </w:rPr>
        <w:t xml:space="preserve"> frame to one or more responders in a</w:t>
      </w:r>
      <w:r w:rsidR="009F364F">
        <w:rPr>
          <w:rFonts w:eastAsiaTheme="minorEastAsia"/>
          <w:lang w:eastAsia="zh-CN"/>
        </w:rPr>
        <w:t>n</w:t>
      </w:r>
      <w:r w:rsidR="004C6FB1">
        <w:rPr>
          <w:rFonts w:eastAsiaTheme="minorEastAsia"/>
          <w:lang w:eastAsia="zh-CN"/>
        </w:rPr>
        <w:t xml:space="preserve"> MU-MIMO TXOP to truncate the TXOP.</w:t>
      </w:r>
    </w:p>
    <w:p w14:paraId="3B48E7C5" w14:textId="29F63840" w:rsidR="00E101E7" w:rsidRPr="00435190" w:rsidRDefault="00D42B98" w:rsidP="001029BF">
      <w:pPr>
        <w:pStyle w:val="IEEEStdsParagraph"/>
        <w:rPr>
          <w:rFonts w:eastAsiaTheme="minorEastAsia"/>
          <w:lang w:eastAsia="zh-CN"/>
        </w:rPr>
      </w:pPr>
      <w:r>
        <w:object w:dxaOrig="8353" w:dyaOrig="6877" w14:anchorId="6CCA5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85pt;height:343.7pt" o:ole="">
            <v:imagedata r:id="rId8" o:title=""/>
          </v:shape>
          <o:OLEObject Type="Embed" ProgID="Visio.Drawing.15" ShapeID="_x0000_i1025" DrawAspect="Content" ObjectID="_1566553358" r:id="rId9"/>
        </w:object>
      </w:r>
    </w:p>
    <w:p w14:paraId="39A0A93B" w14:textId="2F1C1932" w:rsidR="008A448D" w:rsidRPr="001B7F25" w:rsidRDefault="001B7F25" w:rsidP="001029BF">
      <w:pPr>
        <w:pStyle w:val="IEEEStdsParagrap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                Figure</w:t>
      </w:r>
      <w:r w:rsidR="00ED7843">
        <w:rPr>
          <w:rFonts w:eastAsiaTheme="minorEastAsia"/>
          <w:lang w:eastAsia="zh-CN"/>
        </w:rPr>
        <w:t xml:space="preserve"> 1</w:t>
      </w:r>
      <w:r>
        <w:rPr>
          <w:rFonts w:eastAsiaTheme="minorEastAsia" w:hint="eastAsia"/>
          <w:lang w:eastAsia="zh-CN"/>
        </w:rPr>
        <w:t xml:space="preserve">: MU-MIMO channel access flow when </w:t>
      </w:r>
      <w:r w:rsidR="00D42B98">
        <w:rPr>
          <w:rFonts w:eastAsiaTheme="minorEastAsia"/>
          <w:lang w:eastAsia="zh-CN"/>
        </w:rPr>
        <w:t>RTS/DMG CTS is used</w:t>
      </w:r>
    </w:p>
    <w:p w14:paraId="1BCFEA3D" w14:textId="29FFEBD1" w:rsidR="001B7F25" w:rsidRDefault="001B7F25" w:rsidP="001029BF">
      <w:pPr>
        <w:pStyle w:val="IEEEStdsParagraph"/>
      </w:pPr>
    </w:p>
    <w:p w14:paraId="5A067363" w14:textId="38D5C750" w:rsidR="00D42B98" w:rsidRDefault="00D42B98" w:rsidP="00D42B98">
      <w:pPr>
        <w:pStyle w:val="IEEEStdsParagraph"/>
        <w:jc w:val="center"/>
        <w:rPr>
          <w:rFonts w:eastAsiaTheme="minorEastAsia"/>
          <w:i/>
          <w:lang w:eastAsia="zh-CN"/>
        </w:rPr>
      </w:pPr>
      <w:r>
        <w:object w:dxaOrig="8232" w:dyaOrig="6889" w14:anchorId="7F3F420C">
          <v:shape id="_x0000_i1026" type="#_x0000_t75" style="width:411pt;height:343.7pt" o:ole="">
            <v:imagedata r:id="rId10" o:title=""/>
          </v:shape>
          <o:OLEObject Type="Embed" ProgID="Visio.Drawing.15" ShapeID="_x0000_i1026" DrawAspect="Content" ObjectID="_1566553359" r:id="rId11"/>
        </w:object>
      </w:r>
    </w:p>
    <w:p w14:paraId="2ABCF0E9" w14:textId="0121C5E9" w:rsidR="001B7F25" w:rsidRPr="001B7F25" w:rsidRDefault="001B7F25" w:rsidP="001B7F25">
      <w:pPr>
        <w:pStyle w:val="IEEEStdsParagraph"/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Figure</w:t>
      </w:r>
      <w:r w:rsidR="00ED7843">
        <w:rPr>
          <w:rFonts w:eastAsiaTheme="minorEastAsia"/>
          <w:lang w:eastAsia="zh-CN"/>
        </w:rPr>
        <w:t xml:space="preserve"> 2</w:t>
      </w:r>
      <w:r>
        <w:rPr>
          <w:rFonts w:eastAsiaTheme="minorEastAsia" w:hint="eastAsia"/>
          <w:lang w:eastAsia="zh-CN"/>
        </w:rPr>
        <w:t xml:space="preserve">: MU-MIMO channel access flow when </w:t>
      </w:r>
      <w:r w:rsidR="007A3423" w:rsidRPr="007A3423">
        <w:rPr>
          <w:rFonts w:eastAsiaTheme="minorEastAsia"/>
          <w:lang w:eastAsia="zh-CN"/>
        </w:rPr>
        <w:t xml:space="preserve">DMG CTS-to-self </w:t>
      </w:r>
      <w:r w:rsidR="00D42B98">
        <w:rPr>
          <w:rFonts w:eastAsiaTheme="minorEastAsia"/>
          <w:lang w:eastAsia="zh-CN"/>
        </w:rPr>
        <w:t>is used</w:t>
      </w:r>
    </w:p>
    <w:p w14:paraId="41D04A50" w14:textId="77777777" w:rsidR="001400D2" w:rsidRDefault="001400D2" w:rsidP="001029BF">
      <w:pPr>
        <w:pStyle w:val="IEEEStdsParagraph"/>
        <w:rPr>
          <w:rFonts w:eastAsiaTheme="minorEastAsia"/>
          <w:i/>
          <w:lang w:eastAsia="zh-CN"/>
        </w:rPr>
      </w:pPr>
    </w:p>
    <w:p w14:paraId="3C30223F" w14:textId="2B377095" w:rsidR="002810DB" w:rsidRPr="00C3410F" w:rsidRDefault="002810DB" w:rsidP="001029BF">
      <w:pPr>
        <w:pStyle w:val="IEEEStdsParagraph"/>
        <w:rPr>
          <w:rFonts w:eastAsiaTheme="minorEastAsia"/>
          <w:i/>
          <w:lang w:eastAsia="zh-CN"/>
        </w:rPr>
      </w:pPr>
      <w:r w:rsidRPr="002810DB">
        <w:rPr>
          <w:rFonts w:eastAsiaTheme="minorEastAsia" w:hint="eastAsia"/>
          <w:i/>
          <w:lang w:eastAsia="zh-CN"/>
        </w:rPr>
        <w:t xml:space="preserve">Change </w:t>
      </w:r>
      <w:r w:rsidR="004E46C3">
        <w:rPr>
          <w:rFonts w:eastAsiaTheme="minorEastAsia"/>
          <w:i/>
          <w:lang w:eastAsia="zh-CN"/>
        </w:rPr>
        <w:t>Table 31</w:t>
      </w:r>
      <w:r w:rsidR="00BA3832">
        <w:rPr>
          <w:rFonts w:eastAsiaTheme="minorEastAsia"/>
          <w:i/>
          <w:lang w:eastAsia="zh-CN"/>
        </w:rPr>
        <w:t xml:space="preserve"> (Control trailer definition when CT_TYPE is GRANT_RTS_CTS2self)</w:t>
      </w:r>
      <w:r w:rsidR="00C3410F">
        <w:rPr>
          <w:rFonts w:eastAsiaTheme="minorEastAsia"/>
          <w:i/>
          <w:lang w:eastAsia="zh-CN"/>
        </w:rPr>
        <w:t xml:space="preserve"> as follows</w:t>
      </w:r>
      <w:proofErr w:type="gramStart"/>
      <w:r w:rsidR="00C3410F">
        <w:rPr>
          <w:rFonts w:eastAsiaTheme="minorEastAsia"/>
          <w:i/>
          <w:lang w:eastAsia="zh-CN"/>
        </w:rPr>
        <w:t>:</w:t>
      </w:r>
      <w:r>
        <w:rPr>
          <w:rFonts w:eastAsiaTheme="minorEastAsia"/>
          <w:i/>
          <w:lang w:eastAsia="zh-C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064"/>
        <w:gridCol w:w="708"/>
        <w:gridCol w:w="5933"/>
      </w:tblGrid>
      <w:tr w:rsidR="002810DB" w:rsidRPr="002810DB" w14:paraId="407A28FE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870" w14:textId="77777777" w:rsidR="002810DB" w:rsidRPr="002810DB" w:rsidRDefault="002810DB" w:rsidP="002810DB">
            <w:pPr>
              <w:keepNext/>
              <w:keepLines/>
              <w:jc w:val="center"/>
              <w:rPr>
                <w:b/>
                <w:sz w:val="18"/>
                <w:lang w:val="en-US" w:eastAsia="ja-JP"/>
              </w:rPr>
            </w:pPr>
            <w:r w:rsidRPr="002810DB">
              <w:rPr>
                <w:b/>
                <w:sz w:val="18"/>
                <w:lang w:val="en-US" w:eastAsia="ja-JP"/>
              </w:rPr>
              <w:lastRenderedPageBreak/>
              <w:t>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3912" w14:textId="77777777" w:rsidR="002810DB" w:rsidRPr="002810DB" w:rsidRDefault="002810DB" w:rsidP="002810DB">
            <w:pPr>
              <w:keepNext/>
              <w:keepLines/>
              <w:jc w:val="center"/>
              <w:rPr>
                <w:b/>
                <w:sz w:val="18"/>
                <w:lang w:val="en-US" w:eastAsia="ja-JP"/>
              </w:rPr>
            </w:pPr>
            <w:r w:rsidRPr="002810DB">
              <w:rPr>
                <w:b/>
                <w:sz w:val="18"/>
                <w:lang w:val="en-US" w:eastAsia="ja-JP"/>
              </w:rPr>
              <w:t>Number of 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2CDA" w14:textId="77777777" w:rsidR="002810DB" w:rsidRPr="002810DB" w:rsidRDefault="002810DB" w:rsidP="002810DB">
            <w:pPr>
              <w:keepNext/>
              <w:keepLines/>
              <w:jc w:val="center"/>
              <w:rPr>
                <w:b/>
                <w:sz w:val="18"/>
                <w:lang w:val="en-US" w:eastAsia="ja-JP"/>
              </w:rPr>
            </w:pPr>
            <w:r w:rsidRPr="002810DB">
              <w:rPr>
                <w:b/>
                <w:sz w:val="18"/>
                <w:lang w:val="en-US" w:eastAsia="ja-JP"/>
              </w:rPr>
              <w:t>Start bit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5B58" w14:textId="77777777" w:rsidR="002810DB" w:rsidRPr="002810DB" w:rsidRDefault="002810DB" w:rsidP="002810DB">
            <w:pPr>
              <w:keepNext/>
              <w:keepLines/>
              <w:jc w:val="center"/>
              <w:rPr>
                <w:b/>
                <w:sz w:val="18"/>
                <w:lang w:val="en-US" w:eastAsia="ja-JP"/>
              </w:rPr>
            </w:pPr>
            <w:r w:rsidRPr="002810DB">
              <w:rPr>
                <w:b/>
                <w:sz w:val="18"/>
                <w:lang w:val="en-US" w:eastAsia="ja-JP"/>
              </w:rPr>
              <w:t>Description</w:t>
            </w:r>
          </w:p>
        </w:tc>
      </w:tr>
      <w:tr w:rsidR="002810DB" w:rsidRPr="002810DB" w14:paraId="3A976482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2F0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Channel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32C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1B70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06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 xml:space="preserve">See </w:t>
            </w:r>
            <w:r w:rsidRPr="002810DB">
              <w:rPr>
                <w:sz w:val="18"/>
                <w:lang w:val="en-US" w:eastAsia="ja-JP"/>
              </w:rPr>
              <w:fldChar w:fldCharType="begin"/>
            </w:r>
            <w:r w:rsidRPr="002810DB">
              <w:rPr>
                <w:sz w:val="18"/>
                <w:lang w:val="en-US" w:eastAsia="ja-JP"/>
              </w:rPr>
              <w:instrText xml:space="preserve"> REF _Ref452660393 \r \h </w:instrText>
            </w:r>
            <w:r w:rsidRPr="002810DB">
              <w:rPr>
                <w:sz w:val="18"/>
                <w:lang w:val="en-US" w:eastAsia="ja-JP"/>
              </w:rPr>
            </w:r>
            <w:r w:rsidRPr="002810DB">
              <w:rPr>
                <w:sz w:val="18"/>
                <w:lang w:val="en-US" w:eastAsia="ja-JP"/>
              </w:rPr>
              <w:fldChar w:fldCharType="separate"/>
            </w:r>
            <w:r w:rsidRPr="002810DB">
              <w:rPr>
                <w:sz w:val="18"/>
                <w:lang w:val="en-US" w:eastAsia="ja-JP"/>
              </w:rPr>
              <w:t>Table 16</w:t>
            </w:r>
            <w:r w:rsidRPr="002810DB">
              <w:rPr>
                <w:sz w:val="18"/>
                <w:lang w:val="en-US" w:eastAsia="ja-JP"/>
              </w:rPr>
              <w:fldChar w:fldCharType="end"/>
            </w:r>
          </w:p>
        </w:tc>
      </w:tr>
      <w:tr w:rsidR="002810DB" w:rsidRPr="002810DB" w14:paraId="43E550F9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A5B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BW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68AB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3B2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7C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 xml:space="preserve">See </w:t>
            </w:r>
            <w:r w:rsidRPr="002810DB">
              <w:rPr>
                <w:sz w:val="18"/>
                <w:lang w:val="en-US" w:eastAsia="ja-JP"/>
              </w:rPr>
              <w:fldChar w:fldCharType="begin"/>
            </w:r>
            <w:r w:rsidRPr="002810DB">
              <w:rPr>
                <w:sz w:val="18"/>
                <w:lang w:val="en-US" w:eastAsia="ja-JP"/>
              </w:rPr>
              <w:instrText xml:space="preserve"> REF _Ref452660393 \r \h </w:instrText>
            </w:r>
            <w:r w:rsidRPr="002810DB">
              <w:rPr>
                <w:sz w:val="18"/>
                <w:lang w:val="en-US" w:eastAsia="ja-JP"/>
              </w:rPr>
            </w:r>
            <w:r w:rsidRPr="002810DB">
              <w:rPr>
                <w:sz w:val="18"/>
                <w:lang w:val="en-US" w:eastAsia="ja-JP"/>
              </w:rPr>
              <w:fldChar w:fldCharType="separate"/>
            </w:r>
            <w:r w:rsidRPr="002810DB">
              <w:rPr>
                <w:sz w:val="18"/>
                <w:lang w:val="en-US" w:eastAsia="ja-JP"/>
              </w:rPr>
              <w:t>Table 16</w:t>
            </w:r>
            <w:r w:rsidRPr="002810DB">
              <w:rPr>
                <w:sz w:val="18"/>
                <w:lang w:val="en-US" w:eastAsia="ja-JP"/>
              </w:rPr>
              <w:fldChar w:fldCharType="end"/>
            </w:r>
          </w:p>
        </w:tc>
      </w:tr>
      <w:tr w:rsidR="002810DB" w:rsidRPr="002810DB" w14:paraId="2B4608BC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32F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Primary Channel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93F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E542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B36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 xml:space="preserve">See </w:t>
            </w:r>
            <w:r w:rsidRPr="002810DB">
              <w:rPr>
                <w:sz w:val="18"/>
                <w:lang w:val="en-US" w:eastAsia="ja-JP"/>
              </w:rPr>
              <w:fldChar w:fldCharType="begin"/>
            </w:r>
            <w:r w:rsidRPr="002810DB">
              <w:rPr>
                <w:sz w:val="18"/>
                <w:lang w:val="en-US" w:eastAsia="ja-JP"/>
              </w:rPr>
              <w:instrText xml:space="preserve"> REF _Ref452660393 \r \h </w:instrText>
            </w:r>
            <w:r w:rsidRPr="002810DB">
              <w:rPr>
                <w:sz w:val="18"/>
                <w:lang w:val="en-US" w:eastAsia="ja-JP"/>
              </w:rPr>
            </w:r>
            <w:r w:rsidRPr="002810DB">
              <w:rPr>
                <w:sz w:val="18"/>
                <w:lang w:val="en-US" w:eastAsia="ja-JP"/>
              </w:rPr>
              <w:fldChar w:fldCharType="separate"/>
            </w:r>
            <w:r w:rsidRPr="002810DB">
              <w:rPr>
                <w:sz w:val="18"/>
                <w:lang w:val="en-US" w:eastAsia="ja-JP"/>
              </w:rPr>
              <w:t>Table 16</w:t>
            </w:r>
            <w:r w:rsidRPr="002810DB">
              <w:rPr>
                <w:sz w:val="18"/>
                <w:lang w:val="en-US" w:eastAsia="ja-JP"/>
              </w:rPr>
              <w:fldChar w:fldCharType="end"/>
            </w:r>
          </w:p>
        </w:tc>
      </w:tr>
      <w:tr w:rsidR="002810DB" w:rsidRPr="002810DB" w14:paraId="0FA42B03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046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SISO/MIMO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BE50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79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44C6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Set to 0 to indicate that the following transmission from this STA is performed in SISO. Set to 1 to indicate that the following transmission from this STA is performed in MIMO.</w:t>
            </w:r>
          </w:p>
        </w:tc>
      </w:tr>
      <w:tr w:rsidR="002810DB" w:rsidRPr="002810DB" w14:paraId="05097FB0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C5B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SU/MU 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DD16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C8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FE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Set to 0 to indicate SU-MIMO, and set to 1 to indicate MU-MIMO. Reserved when SISO/MIMO is set to 0.</w:t>
            </w:r>
          </w:p>
        </w:tc>
      </w:tr>
      <w:tr w:rsidR="002810DB" w:rsidRPr="002810DB" w14:paraId="0DCDDD1C" w14:textId="77777777" w:rsidTr="00C3410F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F63" w14:textId="2DA84474" w:rsidR="002810DB" w:rsidRPr="00C3410F" w:rsidRDefault="002810DB" w:rsidP="002810DB">
            <w:pPr>
              <w:keepNext/>
              <w:keepLines/>
              <w:rPr>
                <w:sz w:val="18"/>
                <w:u w:val="single"/>
                <w:lang w:val="en-US" w:eastAsia="zh-CN"/>
              </w:rPr>
            </w:pPr>
            <w:r w:rsidRPr="00C3410F">
              <w:rPr>
                <w:rFonts w:hint="eastAsia"/>
                <w:sz w:val="18"/>
                <w:u w:val="single"/>
                <w:lang w:val="en-US" w:eastAsia="zh-CN"/>
              </w:rPr>
              <w:t>EDMG Group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FEC" w14:textId="2B56E258" w:rsidR="002810DB" w:rsidRPr="00C3410F" w:rsidRDefault="002810DB" w:rsidP="002810DB">
            <w:pPr>
              <w:keepNext/>
              <w:keepLines/>
              <w:rPr>
                <w:sz w:val="18"/>
                <w:u w:val="single"/>
                <w:lang w:val="en-US" w:eastAsia="zh-CN"/>
              </w:rPr>
            </w:pPr>
            <w:r w:rsidRPr="00C3410F">
              <w:rPr>
                <w:rFonts w:hint="eastAsia"/>
                <w:sz w:val="18"/>
                <w:u w:val="singl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3E0" w14:textId="3F361965" w:rsidR="002810DB" w:rsidRPr="00C3410F" w:rsidRDefault="002810DB" w:rsidP="002810DB">
            <w:pPr>
              <w:keepNext/>
              <w:keepLines/>
              <w:rPr>
                <w:sz w:val="18"/>
                <w:u w:val="single"/>
                <w:lang w:val="en-US" w:eastAsia="zh-CN"/>
              </w:rPr>
            </w:pPr>
            <w:r w:rsidRPr="00C3410F">
              <w:rPr>
                <w:rFonts w:hint="eastAsia"/>
                <w:sz w:val="18"/>
                <w:u w:val="singl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97B" w14:textId="26D42BB6" w:rsidR="002810DB" w:rsidRPr="00C3410F" w:rsidRDefault="002810DB" w:rsidP="002810DB">
            <w:pPr>
              <w:keepNext/>
              <w:keepLines/>
              <w:rPr>
                <w:rFonts w:eastAsia="MS Mincho"/>
                <w:sz w:val="18"/>
                <w:u w:val="single"/>
                <w:lang w:val="en-US" w:eastAsia="ja-JP"/>
              </w:rPr>
            </w:pPr>
            <w:r w:rsidRPr="00C3410F">
              <w:rPr>
                <w:sz w:val="18"/>
                <w:u w:val="single"/>
                <w:lang w:val="en-US" w:eastAsia="ja-JP"/>
              </w:rPr>
              <w:t>This field indicates the MU-MIMO group of STAs that will be involved in the following MU-MIMO transmission. Reserved when SU/MU MIMO is set to 0.</w:t>
            </w:r>
          </w:p>
        </w:tc>
      </w:tr>
      <w:tr w:rsidR="002810DB" w:rsidRPr="002810DB" w14:paraId="27A2CC31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81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Number of 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B3A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264B" w14:textId="43E5A7AC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0B9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The value of this field plus one indicates the number of SSs transmitted to the EDMG STA that is the recipient of the control trailer. Reserved if SISO/MIMO is set to 0.</w:t>
            </w:r>
          </w:p>
        </w:tc>
      </w:tr>
      <w:tr w:rsidR="002810DB" w:rsidRPr="002810DB" w14:paraId="28F1F6A8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4F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D40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B52" w14:textId="6D317A68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85C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transmitter of this control trailer uses for SS1. Reserved if SISO/MIMO is set to 0.</w:t>
            </w:r>
          </w:p>
        </w:tc>
      </w:tr>
      <w:tr w:rsidR="002810DB" w:rsidRPr="002810DB" w14:paraId="6A6896A1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E9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B8B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427" w14:textId="6246BC90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B00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SS1. Reserved if SISO/MIMO is set to 0.</w:t>
            </w:r>
          </w:p>
        </w:tc>
      </w:tr>
      <w:tr w:rsidR="002810DB" w:rsidRPr="002810DB" w14:paraId="5C4EA5C8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13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54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E87" w14:textId="3157315F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8E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SS1. Reserved if SISO/MIMO is set to 0.</w:t>
            </w:r>
          </w:p>
        </w:tc>
      </w:tr>
      <w:tr w:rsidR="002810DB" w:rsidRPr="002810DB" w14:paraId="1B62DAC5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FC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B9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4A9" w14:textId="0518D7F0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66A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transmitter of this control trailer uses for SS2. Reserved if SISO/MIMO is set to 0.</w:t>
            </w:r>
          </w:p>
        </w:tc>
      </w:tr>
      <w:tr w:rsidR="002810DB" w:rsidRPr="002810DB" w14:paraId="74001E0E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C2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02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EE1" w14:textId="60C0E0C5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557A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SS2. Reserved if SISO/MIMO is set to 0.</w:t>
            </w:r>
          </w:p>
        </w:tc>
      </w:tr>
      <w:tr w:rsidR="002810DB" w:rsidRPr="002810DB" w14:paraId="6A84D050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F4A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BA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FD9" w14:textId="2436659B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1E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SS2. Reserved if SISO/MIMO is set to 0.</w:t>
            </w:r>
          </w:p>
        </w:tc>
      </w:tr>
      <w:tr w:rsidR="002810DB" w:rsidRPr="002810DB" w14:paraId="7C12D19A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BE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962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4A2" w14:textId="7FD0D8F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EE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transmitter of this control trailer uses for SS3. Reserved if SISO/MIMO is set to 0.</w:t>
            </w:r>
          </w:p>
        </w:tc>
      </w:tr>
      <w:tr w:rsidR="002810DB" w:rsidRPr="002810DB" w14:paraId="70356AE1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AA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03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9A4" w14:textId="02A42F2C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EBE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SS3. Reserved if SISO/MIMO is set to 0.</w:t>
            </w:r>
          </w:p>
        </w:tc>
      </w:tr>
      <w:tr w:rsidR="002810DB" w:rsidRPr="002810DB" w14:paraId="72B084B2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D5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5B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5BC" w14:textId="165D2175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1BE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SS3. Reserved if SISO/MIMO is set to 0.</w:t>
            </w:r>
          </w:p>
        </w:tc>
      </w:tr>
      <w:tr w:rsidR="002810DB" w:rsidRPr="002810DB" w14:paraId="67BB39A2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63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8C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E4A7" w14:textId="781BC66F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CE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transmitter of this control trailer uses for SS4. Reserved if SISO/MIMO is set to 0.</w:t>
            </w:r>
          </w:p>
        </w:tc>
      </w:tr>
      <w:tr w:rsidR="002810DB" w:rsidRPr="002810DB" w14:paraId="70FAC74F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56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ADBC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5CF" w14:textId="064F11B8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F1A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SS4. Reserved if SISO/MIMO is set to 0.</w:t>
            </w:r>
          </w:p>
        </w:tc>
      </w:tr>
      <w:tr w:rsidR="002810DB" w:rsidRPr="002810DB" w14:paraId="413B586A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AB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4B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5C5" w14:textId="46107D10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26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SS4. Reserved if SISO/MIMO is set to 0.</w:t>
            </w:r>
          </w:p>
        </w:tc>
      </w:tr>
      <w:tr w:rsidR="002810DB" w:rsidRPr="002810DB" w14:paraId="695B879F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C4B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E4B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429" w14:textId="2D1F65E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D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transmitter of this control trailer uses for SS5. Reserved if SISO/MIMO is set to 0.</w:t>
            </w:r>
          </w:p>
        </w:tc>
      </w:tr>
      <w:tr w:rsidR="002810DB" w:rsidRPr="002810DB" w14:paraId="5485B61A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B3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917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A0A" w14:textId="691DD6E4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DA6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SS5. Reserved if SISO/MIMO is set to 0.</w:t>
            </w:r>
          </w:p>
        </w:tc>
      </w:tr>
      <w:tr w:rsidR="002810DB" w:rsidRPr="002810DB" w14:paraId="16194997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36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C4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69F" w14:textId="5DC00A83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B42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SS5. Reserved if SISO/MIMO is set to 0.</w:t>
            </w:r>
          </w:p>
        </w:tc>
      </w:tr>
      <w:tr w:rsidR="002810DB" w:rsidRPr="002810DB" w14:paraId="70064A90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DE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FFD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18C" w14:textId="397BC115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A0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recipient of this control trailer uses for SS6. Reserved if SISO/MIMO is set to 0.</w:t>
            </w:r>
          </w:p>
        </w:tc>
      </w:tr>
      <w:tr w:rsidR="002810DB" w:rsidRPr="002810DB" w14:paraId="25EAE220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3F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C1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E1B" w14:textId="2390782E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F2D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SS6. Reserved if SISO/MIMO is set to 0.</w:t>
            </w:r>
          </w:p>
        </w:tc>
      </w:tr>
      <w:tr w:rsidR="002810DB" w:rsidRPr="002810DB" w14:paraId="44FA0838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D3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501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447" w14:textId="7AFBEB0F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442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SS6. Reserved if SISO/MIMO is set to 0.</w:t>
            </w:r>
          </w:p>
        </w:tc>
      </w:tr>
      <w:tr w:rsidR="002810DB" w:rsidRPr="002810DB" w14:paraId="50162342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A1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40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D17" w14:textId="0373BFA4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D0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transmitter of this control trailer uses for SS7. Reserved if SISO/MIMO is set to 0.</w:t>
            </w:r>
          </w:p>
        </w:tc>
      </w:tr>
      <w:tr w:rsidR="002810DB" w:rsidRPr="002810DB" w14:paraId="56A7157F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9B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ABD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A4F" w14:textId="27DE34BC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D6B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SS7. Reserved if SISO/MIMO is set to 0.</w:t>
            </w:r>
          </w:p>
        </w:tc>
      </w:tr>
      <w:tr w:rsidR="002810DB" w:rsidRPr="002810DB" w14:paraId="76029A36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8BE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RX DMG antenna ID for SS7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88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EBE" w14:textId="2B99ACAB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A18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SS7. Reserved if SISO/MIMO is set to 0.</w:t>
            </w:r>
          </w:p>
        </w:tc>
      </w:tr>
      <w:tr w:rsidR="002810DB" w:rsidRPr="002810DB" w14:paraId="1DF9898F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E3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Sector ID for SS8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EA2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4DD" w14:textId="186D8C9B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BFA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sector that the recipient of this control trailer uses for SS8. Reserved if SISO/MIMO is set to 0.</w:t>
            </w:r>
          </w:p>
        </w:tc>
      </w:tr>
      <w:tr w:rsidR="002810DB" w:rsidRPr="002810DB" w14:paraId="6EBBDE10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E39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TX DMG antenna ID for SS8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7D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616" w14:textId="35E6B59E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8D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transmitter of this control trailer uses for SS8. Reserved if SISO/MIMO is set to 0.</w:t>
            </w:r>
          </w:p>
        </w:tc>
      </w:tr>
      <w:tr w:rsidR="002810DB" w:rsidRPr="002810DB" w14:paraId="5FAE2DD2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A7B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lastRenderedPageBreak/>
              <w:t>RX DMG antenna ID for SS8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575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578" w14:textId="21771179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21F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This field indicates the DMG antenna that the recipient of this control trailer uses for SS8. Reserved if SISO/MIMO is set to 0.</w:t>
            </w:r>
          </w:p>
        </w:tc>
      </w:tr>
      <w:tr w:rsidR="002810DB" w:rsidRPr="002810DB" w14:paraId="329D912F" w14:textId="77777777" w:rsidTr="00C3410F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3F8" w14:textId="77777777" w:rsidR="002810DB" w:rsidRPr="00C3410F" w:rsidRDefault="002810DB" w:rsidP="002810DB">
            <w:pPr>
              <w:keepNext/>
              <w:keepLines/>
              <w:rPr>
                <w:sz w:val="18"/>
                <w:u w:val="single"/>
                <w:lang w:val="en-US" w:eastAsia="ja-JP"/>
              </w:rPr>
            </w:pPr>
            <w:r w:rsidRPr="00C3410F">
              <w:rPr>
                <w:sz w:val="18"/>
                <w:u w:val="single"/>
                <w:lang w:val="en-US" w:eastAsia="ja-JP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366" w14:textId="11A555CB" w:rsidR="002810DB" w:rsidRPr="00C3410F" w:rsidRDefault="00C3410F" w:rsidP="002810DB">
            <w:pPr>
              <w:keepNext/>
              <w:keepLines/>
              <w:rPr>
                <w:sz w:val="18"/>
                <w:u w:val="single"/>
                <w:lang w:val="en-US" w:eastAsia="ja-JP"/>
              </w:rPr>
            </w:pPr>
            <w:r w:rsidRPr="00C3410F">
              <w:rPr>
                <w:sz w:val="18"/>
                <w:u w:val="single"/>
                <w:lang w:val="en-US" w:eastAsia="ja-JP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5E2" w14:textId="3B7A6589" w:rsidR="002810DB" w:rsidRPr="00C3410F" w:rsidRDefault="002810DB" w:rsidP="002810DB">
            <w:pPr>
              <w:keepNext/>
              <w:keepLines/>
              <w:rPr>
                <w:sz w:val="18"/>
                <w:u w:val="single"/>
                <w:lang w:val="en-US" w:eastAsia="ja-JP"/>
              </w:rPr>
            </w:pPr>
            <w:r w:rsidRPr="00C3410F">
              <w:rPr>
                <w:sz w:val="18"/>
                <w:u w:val="single"/>
                <w:lang w:val="en-US" w:eastAsia="ja-JP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32D" w14:textId="77777777" w:rsidR="002810DB" w:rsidRPr="00C3410F" w:rsidRDefault="002810DB" w:rsidP="002810DB">
            <w:pPr>
              <w:keepNext/>
              <w:keepLines/>
              <w:rPr>
                <w:sz w:val="18"/>
                <w:u w:val="single"/>
                <w:lang w:val="en-US" w:eastAsia="ja-JP"/>
              </w:rPr>
            </w:pPr>
            <w:r w:rsidRPr="00C3410F">
              <w:rPr>
                <w:sz w:val="18"/>
                <w:u w:val="single"/>
                <w:lang w:val="en-US" w:eastAsia="ja-JP"/>
              </w:rPr>
              <w:t>Set to 0 by the transmitter and ignored by the receiver.</w:t>
            </w:r>
          </w:p>
        </w:tc>
      </w:tr>
      <w:tr w:rsidR="002810DB" w:rsidRPr="002810DB" w14:paraId="0F28BBF7" w14:textId="77777777" w:rsidTr="00C0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584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CTCS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0B2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B09" w14:textId="39960547" w:rsidR="002810DB" w:rsidRPr="002810DB" w:rsidRDefault="002810DB" w:rsidP="00C3410F">
            <w:pPr>
              <w:keepNext/>
              <w:keepLines/>
              <w:rPr>
                <w:sz w:val="18"/>
                <w:lang w:val="en-US" w:eastAsia="ja-JP"/>
              </w:rPr>
            </w:pPr>
            <w:r>
              <w:rPr>
                <w:sz w:val="18"/>
                <w:lang w:val="en-US" w:eastAsia="ja-JP"/>
              </w:rPr>
              <w:t>1</w:t>
            </w:r>
            <w:r w:rsidR="00C3410F">
              <w:rPr>
                <w:sz w:val="18"/>
                <w:lang w:val="en-US" w:eastAsia="ja-JP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853" w14:textId="77777777" w:rsidR="002810DB" w:rsidRPr="002810DB" w:rsidRDefault="002810DB" w:rsidP="002810DB">
            <w:pPr>
              <w:keepNext/>
              <w:keepLines/>
              <w:rPr>
                <w:sz w:val="18"/>
                <w:lang w:val="en-US" w:eastAsia="ja-JP"/>
              </w:rPr>
            </w:pPr>
            <w:r w:rsidRPr="002810DB">
              <w:rPr>
                <w:sz w:val="18"/>
                <w:lang w:val="en-US" w:eastAsia="ja-JP"/>
              </w:rPr>
              <w:t>Contains the CRC-16 computed over the content of the control trailer. This field is computed as defined in section 20.3.7</w:t>
            </w:r>
          </w:p>
        </w:tc>
      </w:tr>
    </w:tbl>
    <w:p w14:paraId="317D981B" w14:textId="77777777" w:rsidR="002810DB" w:rsidRPr="002810DB" w:rsidRDefault="002810DB" w:rsidP="001029BF">
      <w:pPr>
        <w:pStyle w:val="IEEEStdsParagraph"/>
        <w:rPr>
          <w:rFonts w:eastAsiaTheme="minorEastAsia"/>
          <w:i/>
          <w:lang w:eastAsia="zh-CN"/>
        </w:rPr>
      </w:pPr>
    </w:p>
    <w:sectPr w:rsidR="002810DB" w:rsidRPr="002810D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CF82" w14:textId="77777777" w:rsidR="00E777C7" w:rsidRDefault="00E777C7">
      <w:r>
        <w:separator/>
      </w:r>
    </w:p>
  </w:endnote>
  <w:endnote w:type="continuationSeparator" w:id="0">
    <w:p w14:paraId="6559486F" w14:textId="77777777" w:rsidR="00E777C7" w:rsidRDefault="00E7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45A0CE1B" w:rsidR="0096519C" w:rsidRDefault="00E777C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519C">
      <w:t>Submission</w:t>
    </w:r>
    <w:r>
      <w:fldChar w:fldCharType="end"/>
    </w:r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712A47">
      <w:rPr>
        <w:noProof/>
      </w:rPr>
      <w:t>6</w:t>
    </w:r>
    <w:r w:rsidR="0096519C">
      <w:fldChar w:fldCharType="end"/>
    </w:r>
    <w:r w:rsidR="0096519C">
      <w:tab/>
    </w:r>
    <w:fldSimple w:instr=" COMMENTS  \* MERGEFORMAT ">
      <w:r w:rsidR="00D13308">
        <w:rPr>
          <w:lang w:eastAsia="zh-CN"/>
        </w:rPr>
        <w:t>Tony Xiao Han</w:t>
      </w:r>
      <w:r w:rsidR="00D13308">
        <w:t xml:space="preserve"> (Huawei)</w:t>
      </w:r>
    </w:fldSimple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FB849" w14:textId="77777777" w:rsidR="00E777C7" w:rsidRDefault="00E777C7">
      <w:r>
        <w:separator/>
      </w:r>
    </w:p>
  </w:footnote>
  <w:footnote w:type="continuationSeparator" w:id="0">
    <w:p w14:paraId="062D6FED" w14:textId="77777777" w:rsidR="00E777C7" w:rsidRDefault="00E7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624B3CFF" w:rsidR="0096519C" w:rsidRDefault="00E777C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13308">
      <w:t>September</w:t>
    </w:r>
    <w:r w:rsidR="0096519C">
      <w:t xml:space="preserve"> </w:t>
    </w:r>
    <w:r w:rsidR="00D13308">
      <w:t>2017</w:t>
    </w:r>
    <w:r>
      <w:fldChar w:fldCharType="end"/>
    </w:r>
    <w:r w:rsidR="0096519C">
      <w:tab/>
    </w:r>
    <w:r w:rsidR="0096519C">
      <w:tab/>
    </w:r>
    <w:r>
      <w:fldChar w:fldCharType="begin"/>
    </w:r>
    <w:r>
      <w:instrText xml:space="preserve"> TITLE  \* MERGEFORMAT </w:instrText>
    </w:r>
    <w:r>
      <w:fldChar w:fldCharType="separate"/>
    </w:r>
    <w:r w:rsidR="00D13308">
      <w:t>doc.: IEEE 802.11-17</w:t>
    </w:r>
    <w:r w:rsidR="0096519C">
      <w:t>/</w:t>
    </w:r>
    <w:r w:rsidR="00D13308">
      <w:t>1409</w:t>
    </w:r>
    <w:r w:rsidR="0096519C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13"/>
  </w:num>
  <w:num w:numId="7">
    <w:abstractNumId w:val="13"/>
  </w:num>
  <w:num w:numId="8">
    <w:abstractNumId w:val="11"/>
  </w:num>
  <w:num w:numId="9">
    <w:abstractNumId w:val="14"/>
  </w:num>
  <w:num w:numId="10">
    <w:abstractNumId w:val="5"/>
  </w:num>
  <w:num w:numId="11">
    <w:abstractNumId w:val="1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1514"/>
    <w:rsid w:val="0000465D"/>
    <w:rsid w:val="000131B6"/>
    <w:rsid w:val="0001761A"/>
    <w:rsid w:val="00024588"/>
    <w:rsid w:val="00030709"/>
    <w:rsid w:val="000377E9"/>
    <w:rsid w:val="000532F3"/>
    <w:rsid w:val="000541D4"/>
    <w:rsid w:val="000561F8"/>
    <w:rsid w:val="00066E32"/>
    <w:rsid w:val="00072080"/>
    <w:rsid w:val="000762BA"/>
    <w:rsid w:val="000767E6"/>
    <w:rsid w:val="000771C3"/>
    <w:rsid w:val="00077C3D"/>
    <w:rsid w:val="0009259F"/>
    <w:rsid w:val="000934C4"/>
    <w:rsid w:val="000D4550"/>
    <w:rsid w:val="000D6DF7"/>
    <w:rsid w:val="000F32D0"/>
    <w:rsid w:val="000F7CB2"/>
    <w:rsid w:val="001029BF"/>
    <w:rsid w:val="00124182"/>
    <w:rsid w:val="001248FF"/>
    <w:rsid w:val="001321FC"/>
    <w:rsid w:val="00136542"/>
    <w:rsid w:val="001400D2"/>
    <w:rsid w:val="00140B7B"/>
    <w:rsid w:val="0014392C"/>
    <w:rsid w:val="00156CBF"/>
    <w:rsid w:val="00157242"/>
    <w:rsid w:val="001761AA"/>
    <w:rsid w:val="001841E1"/>
    <w:rsid w:val="001A7361"/>
    <w:rsid w:val="001B7F25"/>
    <w:rsid w:val="001C2280"/>
    <w:rsid w:val="001C4631"/>
    <w:rsid w:val="001D1545"/>
    <w:rsid w:val="001D43E2"/>
    <w:rsid w:val="001D723B"/>
    <w:rsid w:val="001E0DF3"/>
    <w:rsid w:val="001E43EC"/>
    <w:rsid w:val="001F3DC5"/>
    <w:rsid w:val="001F6E53"/>
    <w:rsid w:val="00215EE0"/>
    <w:rsid w:val="00217583"/>
    <w:rsid w:val="00222F05"/>
    <w:rsid w:val="0023047A"/>
    <w:rsid w:val="00251ED5"/>
    <w:rsid w:val="00265CA7"/>
    <w:rsid w:val="002768A6"/>
    <w:rsid w:val="002810DB"/>
    <w:rsid w:val="00287269"/>
    <w:rsid w:val="0029020B"/>
    <w:rsid w:val="0029286F"/>
    <w:rsid w:val="002973BB"/>
    <w:rsid w:val="002A38E6"/>
    <w:rsid w:val="002B5C52"/>
    <w:rsid w:val="002C1896"/>
    <w:rsid w:val="002C4947"/>
    <w:rsid w:val="002D406C"/>
    <w:rsid w:val="002D44BE"/>
    <w:rsid w:val="002E23EB"/>
    <w:rsid w:val="002E6DC1"/>
    <w:rsid w:val="002F2172"/>
    <w:rsid w:val="002F47FC"/>
    <w:rsid w:val="003064BC"/>
    <w:rsid w:val="003157A3"/>
    <w:rsid w:val="00317578"/>
    <w:rsid w:val="0032296E"/>
    <w:rsid w:val="003249B5"/>
    <w:rsid w:val="00325BE7"/>
    <w:rsid w:val="003269C3"/>
    <w:rsid w:val="00333DA6"/>
    <w:rsid w:val="003353C8"/>
    <w:rsid w:val="003461C0"/>
    <w:rsid w:val="0038209A"/>
    <w:rsid w:val="003A70F8"/>
    <w:rsid w:val="003B5C0D"/>
    <w:rsid w:val="003C0060"/>
    <w:rsid w:val="003D215F"/>
    <w:rsid w:val="003E10B5"/>
    <w:rsid w:val="003E138C"/>
    <w:rsid w:val="003F1780"/>
    <w:rsid w:val="003F1D4B"/>
    <w:rsid w:val="003F2081"/>
    <w:rsid w:val="00414111"/>
    <w:rsid w:val="00414990"/>
    <w:rsid w:val="00414E68"/>
    <w:rsid w:val="00417D2C"/>
    <w:rsid w:val="00435190"/>
    <w:rsid w:val="004352DB"/>
    <w:rsid w:val="00442037"/>
    <w:rsid w:val="00443856"/>
    <w:rsid w:val="00447A91"/>
    <w:rsid w:val="00447E6A"/>
    <w:rsid w:val="004563CB"/>
    <w:rsid w:val="00461FA9"/>
    <w:rsid w:val="00462A47"/>
    <w:rsid w:val="00463238"/>
    <w:rsid w:val="00486E4A"/>
    <w:rsid w:val="004875EE"/>
    <w:rsid w:val="00490B79"/>
    <w:rsid w:val="004A7AA7"/>
    <w:rsid w:val="004B064B"/>
    <w:rsid w:val="004B4DFF"/>
    <w:rsid w:val="004B58BA"/>
    <w:rsid w:val="004C6FB1"/>
    <w:rsid w:val="004D01E3"/>
    <w:rsid w:val="004D127B"/>
    <w:rsid w:val="004D4D62"/>
    <w:rsid w:val="004E46C3"/>
    <w:rsid w:val="004E7890"/>
    <w:rsid w:val="004F12FF"/>
    <w:rsid w:val="0050271E"/>
    <w:rsid w:val="00516895"/>
    <w:rsid w:val="0052654A"/>
    <w:rsid w:val="00541C59"/>
    <w:rsid w:val="00585917"/>
    <w:rsid w:val="005A119C"/>
    <w:rsid w:val="005A52B0"/>
    <w:rsid w:val="005B09B2"/>
    <w:rsid w:val="005B338E"/>
    <w:rsid w:val="005C01F6"/>
    <w:rsid w:val="005C51B7"/>
    <w:rsid w:val="005D2EE4"/>
    <w:rsid w:val="005E4F57"/>
    <w:rsid w:val="00604414"/>
    <w:rsid w:val="00604CCA"/>
    <w:rsid w:val="00611ED5"/>
    <w:rsid w:val="006143D6"/>
    <w:rsid w:val="006144D8"/>
    <w:rsid w:val="0062440B"/>
    <w:rsid w:val="006420E8"/>
    <w:rsid w:val="00644F04"/>
    <w:rsid w:val="00650FDB"/>
    <w:rsid w:val="006A33D3"/>
    <w:rsid w:val="006A484D"/>
    <w:rsid w:val="006A72F8"/>
    <w:rsid w:val="006C0727"/>
    <w:rsid w:val="006D63FD"/>
    <w:rsid w:val="006E0B61"/>
    <w:rsid w:val="006E145F"/>
    <w:rsid w:val="006E6A84"/>
    <w:rsid w:val="00703483"/>
    <w:rsid w:val="00705EBC"/>
    <w:rsid w:val="00711A58"/>
    <w:rsid w:val="00712A47"/>
    <w:rsid w:val="00713C50"/>
    <w:rsid w:val="00715456"/>
    <w:rsid w:val="0071765F"/>
    <w:rsid w:val="007238AE"/>
    <w:rsid w:val="007413F7"/>
    <w:rsid w:val="00746907"/>
    <w:rsid w:val="0075553C"/>
    <w:rsid w:val="00756546"/>
    <w:rsid w:val="00763EA6"/>
    <w:rsid w:val="00770572"/>
    <w:rsid w:val="00771622"/>
    <w:rsid w:val="00774163"/>
    <w:rsid w:val="0078063B"/>
    <w:rsid w:val="00783EC7"/>
    <w:rsid w:val="007A3423"/>
    <w:rsid w:val="007C6EE4"/>
    <w:rsid w:val="007D1618"/>
    <w:rsid w:val="007D468C"/>
    <w:rsid w:val="007D6A9F"/>
    <w:rsid w:val="007D7500"/>
    <w:rsid w:val="007E0E78"/>
    <w:rsid w:val="007E2A58"/>
    <w:rsid w:val="007E4411"/>
    <w:rsid w:val="007F45AA"/>
    <w:rsid w:val="0081351A"/>
    <w:rsid w:val="0082108B"/>
    <w:rsid w:val="008250AF"/>
    <w:rsid w:val="00843F7C"/>
    <w:rsid w:val="008739F1"/>
    <w:rsid w:val="00876885"/>
    <w:rsid w:val="008908D1"/>
    <w:rsid w:val="008A448D"/>
    <w:rsid w:val="008A470F"/>
    <w:rsid w:val="008B4109"/>
    <w:rsid w:val="008B5CAA"/>
    <w:rsid w:val="008B608E"/>
    <w:rsid w:val="008E2AA5"/>
    <w:rsid w:val="008F433C"/>
    <w:rsid w:val="009317AF"/>
    <w:rsid w:val="00932656"/>
    <w:rsid w:val="00935043"/>
    <w:rsid w:val="00941969"/>
    <w:rsid w:val="00942D97"/>
    <w:rsid w:val="009510B0"/>
    <w:rsid w:val="00953EFC"/>
    <w:rsid w:val="009579DA"/>
    <w:rsid w:val="00963D26"/>
    <w:rsid w:val="0096519C"/>
    <w:rsid w:val="009753AD"/>
    <w:rsid w:val="00995A4D"/>
    <w:rsid w:val="009C1A8B"/>
    <w:rsid w:val="009C3028"/>
    <w:rsid w:val="009C3F78"/>
    <w:rsid w:val="009D10D5"/>
    <w:rsid w:val="009D6147"/>
    <w:rsid w:val="009E1F40"/>
    <w:rsid w:val="009E5E2A"/>
    <w:rsid w:val="009F2FBC"/>
    <w:rsid w:val="009F364F"/>
    <w:rsid w:val="00A050D8"/>
    <w:rsid w:val="00A11E71"/>
    <w:rsid w:val="00A26E4E"/>
    <w:rsid w:val="00A4209F"/>
    <w:rsid w:val="00A465F2"/>
    <w:rsid w:val="00A53C40"/>
    <w:rsid w:val="00A57095"/>
    <w:rsid w:val="00A6518E"/>
    <w:rsid w:val="00A732BB"/>
    <w:rsid w:val="00A7700B"/>
    <w:rsid w:val="00A81589"/>
    <w:rsid w:val="00A90973"/>
    <w:rsid w:val="00A92948"/>
    <w:rsid w:val="00A93C4F"/>
    <w:rsid w:val="00A96216"/>
    <w:rsid w:val="00AA427C"/>
    <w:rsid w:val="00AB09AF"/>
    <w:rsid w:val="00AB2910"/>
    <w:rsid w:val="00AB6A91"/>
    <w:rsid w:val="00AD42E7"/>
    <w:rsid w:val="00AD7170"/>
    <w:rsid w:val="00AE224D"/>
    <w:rsid w:val="00B04410"/>
    <w:rsid w:val="00B07C83"/>
    <w:rsid w:val="00B25BF9"/>
    <w:rsid w:val="00B36B1B"/>
    <w:rsid w:val="00B4547E"/>
    <w:rsid w:val="00B67FA8"/>
    <w:rsid w:val="00B71877"/>
    <w:rsid w:val="00B7218B"/>
    <w:rsid w:val="00B93DC6"/>
    <w:rsid w:val="00BA210E"/>
    <w:rsid w:val="00BA3832"/>
    <w:rsid w:val="00BA455A"/>
    <w:rsid w:val="00BA501C"/>
    <w:rsid w:val="00BB2276"/>
    <w:rsid w:val="00BC0108"/>
    <w:rsid w:val="00BC4C11"/>
    <w:rsid w:val="00BC5C48"/>
    <w:rsid w:val="00BD60C4"/>
    <w:rsid w:val="00BE68C2"/>
    <w:rsid w:val="00BF369A"/>
    <w:rsid w:val="00BF6DAC"/>
    <w:rsid w:val="00C02932"/>
    <w:rsid w:val="00C05AC8"/>
    <w:rsid w:val="00C05C0F"/>
    <w:rsid w:val="00C06AB4"/>
    <w:rsid w:val="00C11554"/>
    <w:rsid w:val="00C3410F"/>
    <w:rsid w:val="00C342F1"/>
    <w:rsid w:val="00C36BF9"/>
    <w:rsid w:val="00C61869"/>
    <w:rsid w:val="00C62F02"/>
    <w:rsid w:val="00C638EF"/>
    <w:rsid w:val="00C666D4"/>
    <w:rsid w:val="00C7555F"/>
    <w:rsid w:val="00C80FF5"/>
    <w:rsid w:val="00C82DEB"/>
    <w:rsid w:val="00C86542"/>
    <w:rsid w:val="00CA09B2"/>
    <w:rsid w:val="00CA58D4"/>
    <w:rsid w:val="00CC1E78"/>
    <w:rsid w:val="00CC36D5"/>
    <w:rsid w:val="00CE4984"/>
    <w:rsid w:val="00CF63BE"/>
    <w:rsid w:val="00D00F75"/>
    <w:rsid w:val="00D13308"/>
    <w:rsid w:val="00D341BE"/>
    <w:rsid w:val="00D42363"/>
    <w:rsid w:val="00D42B98"/>
    <w:rsid w:val="00D621EA"/>
    <w:rsid w:val="00D62AE5"/>
    <w:rsid w:val="00D7158E"/>
    <w:rsid w:val="00D7222F"/>
    <w:rsid w:val="00D97AAE"/>
    <w:rsid w:val="00DA3D85"/>
    <w:rsid w:val="00DA6CF6"/>
    <w:rsid w:val="00DC2D07"/>
    <w:rsid w:val="00DC4ADC"/>
    <w:rsid w:val="00DC5A7B"/>
    <w:rsid w:val="00DC6E9C"/>
    <w:rsid w:val="00DC7A03"/>
    <w:rsid w:val="00DD6C62"/>
    <w:rsid w:val="00DE2F9A"/>
    <w:rsid w:val="00DE42B9"/>
    <w:rsid w:val="00DE755F"/>
    <w:rsid w:val="00DF0DE7"/>
    <w:rsid w:val="00DF1F57"/>
    <w:rsid w:val="00DF5890"/>
    <w:rsid w:val="00E101E7"/>
    <w:rsid w:val="00E16FB9"/>
    <w:rsid w:val="00E2236C"/>
    <w:rsid w:val="00E27565"/>
    <w:rsid w:val="00E32A01"/>
    <w:rsid w:val="00E346EC"/>
    <w:rsid w:val="00E3745C"/>
    <w:rsid w:val="00E37849"/>
    <w:rsid w:val="00E475F7"/>
    <w:rsid w:val="00E47F81"/>
    <w:rsid w:val="00E66B70"/>
    <w:rsid w:val="00E72285"/>
    <w:rsid w:val="00E759E7"/>
    <w:rsid w:val="00E777C7"/>
    <w:rsid w:val="00E8141D"/>
    <w:rsid w:val="00E864D0"/>
    <w:rsid w:val="00E93750"/>
    <w:rsid w:val="00E96CE2"/>
    <w:rsid w:val="00EA1A6D"/>
    <w:rsid w:val="00EB02D3"/>
    <w:rsid w:val="00EB64EA"/>
    <w:rsid w:val="00EC77D6"/>
    <w:rsid w:val="00ED7843"/>
    <w:rsid w:val="00EE11FA"/>
    <w:rsid w:val="00EF48A3"/>
    <w:rsid w:val="00F015F3"/>
    <w:rsid w:val="00F06212"/>
    <w:rsid w:val="00F13394"/>
    <w:rsid w:val="00F16502"/>
    <w:rsid w:val="00F23E79"/>
    <w:rsid w:val="00F32A8C"/>
    <w:rsid w:val="00F34DEF"/>
    <w:rsid w:val="00F41C2F"/>
    <w:rsid w:val="00F42039"/>
    <w:rsid w:val="00F4512B"/>
    <w:rsid w:val="00F476B3"/>
    <w:rsid w:val="00F50E12"/>
    <w:rsid w:val="00F51F18"/>
    <w:rsid w:val="00F621FD"/>
    <w:rsid w:val="00F6518E"/>
    <w:rsid w:val="00F72529"/>
    <w:rsid w:val="00F72A02"/>
    <w:rsid w:val="00F8767D"/>
    <w:rsid w:val="00F914B9"/>
    <w:rsid w:val="00F93584"/>
    <w:rsid w:val="00FA69B7"/>
    <w:rsid w:val="00FA6BD0"/>
    <w:rsid w:val="00FA7898"/>
    <w:rsid w:val="00FB2040"/>
    <w:rsid w:val="00FB3475"/>
    <w:rsid w:val="00FB4057"/>
    <w:rsid w:val="00FC24B5"/>
    <w:rsid w:val="00FE1F2F"/>
    <w:rsid w:val="00FE2961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0561F8"/>
    <w:rPr>
      <w:sz w:val="16"/>
      <w:szCs w:val="16"/>
    </w:rPr>
  </w:style>
  <w:style w:type="paragraph" w:styleId="a9">
    <w:name w:val="annotation text"/>
    <w:basedOn w:val="a"/>
    <w:link w:val="Char"/>
    <w:rsid w:val="000561F8"/>
    <w:rPr>
      <w:sz w:val="20"/>
    </w:rPr>
  </w:style>
  <w:style w:type="character" w:customStyle="1" w:styleId="Char">
    <w:name w:val="批注文字 Char"/>
    <w:basedOn w:val="a0"/>
    <w:link w:val="a9"/>
    <w:rsid w:val="000561F8"/>
    <w:rPr>
      <w:lang w:val="en-GB" w:eastAsia="en-US"/>
    </w:rPr>
  </w:style>
  <w:style w:type="paragraph" w:styleId="aa">
    <w:name w:val="annotation subject"/>
    <w:basedOn w:val="a9"/>
    <w:next w:val="a9"/>
    <w:link w:val="Char0"/>
    <w:rsid w:val="000561F8"/>
    <w:rPr>
      <w:b/>
      <w:bCs/>
    </w:rPr>
  </w:style>
  <w:style w:type="character" w:customStyle="1" w:styleId="Char0">
    <w:name w:val="批注主题 Char"/>
    <w:basedOn w:val="Char"/>
    <w:link w:val="aa"/>
    <w:rsid w:val="000561F8"/>
    <w:rPr>
      <w:b/>
      <w:bCs/>
      <w:lang w:val="en-GB" w:eastAsia="en-US"/>
    </w:rPr>
  </w:style>
  <w:style w:type="paragraph" w:styleId="ab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ac">
    <w:name w:val="Balloon Text"/>
    <w:basedOn w:val="a"/>
    <w:link w:val="Char1"/>
    <w:rsid w:val="000561F8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c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a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a0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d">
    <w:name w:val="Placeholder Text"/>
    <w:basedOn w:val="a0"/>
    <w:uiPriority w:val="99"/>
    <w:semiHidden/>
    <w:rsid w:val="00077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2222222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185F-9D47-4545-9F05-44415F5A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2832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2016-12-12T20:01:00Z</cp:lastPrinted>
  <dcterms:created xsi:type="dcterms:W3CDTF">2017-05-31T01:08:00Z</dcterms:created>
  <dcterms:modified xsi:type="dcterms:W3CDTF">2017-09-10T04:56:00Z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  <property fmtid="{D5CDD505-2E9C-101B-9397-08002B2CF9AE}" pid="6" name="_2015_ms_pID_725343">
    <vt:lpwstr>(3)CsNu961kIsABn+EcMqdczVs3br7liTAfG04+YdEL4QiehVeyN1/L++c12E9tWNf9gw1bwYmx
pFXOoiSEKy67H3eO37dNX/KZkl/CgWQvWADlcR/dDVWSQl5uE6s2cyhODr2crfuvCgcHIcUN
Q9pRl65hsAr+wzwImMyW7NoHxI2tKaLsyOJ8JJs7WGQ3ZMLaLJoMxqjPju6ddTMuTm0PQGBg
0B/YhlR0Wjd8W3IixX</vt:lpwstr>
  </property>
  <property fmtid="{D5CDD505-2E9C-101B-9397-08002B2CF9AE}" pid="7" name="_2015_ms_pID_7253431">
    <vt:lpwstr>e45nKby2A6WQngF12U/n9VsoWwfB8Qd9WeOtasRAzp5+zfPRxIbS8Z
3+ml0Qa+imQDSwfycK6BZDFhptXv9ynSvdL/rJ5anjbsXNsgvz7vsCtMgugfh3luDnrp6GY4
YUfxzPGE9Lg4OMuoQlr/sQtVk5ukVKNMiqyYp2/zLpXPe88CyYrFZ9EuixG7M3AWyEiV6MST
HDesyy6X6ko+bB++WXYvk4QPZ4+3vZWMOepU</vt:lpwstr>
  </property>
  <property fmtid="{D5CDD505-2E9C-101B-9397-08002B2CF9AE}" pid="8" name="_2015_ms_pID_7253432">
    <vt:lpwstr>5A==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1504063976</vt:lpwstr>
  </property>
</Properties>
</file>