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193DAB" w:rsidP="00D61EDD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DCM in HE TB PPDUs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D61EDD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457DAB" w:rsidRPr="00D61EDD">
              <w:rPr>
                <w:b w:val="0"/>
                <w:sz w:val="24"/>
                <w:szCs w:val="24"/>
              </w:rPr>
              <w:t>7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D61EDD" w:rsidRPr="00D61EDD">
              <w:rPr>
                <w:b w:val="0"/>
                <w:sz w:val="24"/>
                <w:szCs w:val="24"/>
                <w:lang w:eastAsia="zh-CN"/>
              </w:rPr>
              <w:t>09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D61EDD" w:rsidRPr="00D61EDD">
              <w:rPr>
                <w:b w:val="0"/>
                <w:sz w:val="24"/>
                <w:szCs w:val="24"/>
                <w:lang w:eastAsia="zh-CN"/>
              </w:rPr>
              <w:t>11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DA37C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b w:val="0"/>
                <w:sz w:val="24"/>
                <w:szCs w:val="24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D61EDD" w:rsidRDefault="003E1B5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Pr="00D61EDD" w:rsidRDefault="003E1B5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 xml:space="preserve">5488 Marvell Ln, </w:t>
            </w:r>
          </w:p>
          <w:p w:rsidR="00CA09B2" w:rsidRPr="00D61EDD" w:rsidRDefault="003E1B5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D61EDD" w:rsidRDefault="003E1B51" w:rsidP="00CC28E4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>408-222-</w:t>
            </w:r>
            <w:r w:rsidR="00DA37CC"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D61EDD" w:rsidRDefault="0025651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8" w:history="1">
              <w:r w:rsidR="007B32E5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yzhang</w:t>
              </w:r>
              <w:r w:rsidR="007B32E5" w:rsidRPr="00D61EDD">
                <w:rPr>
                  <w:rStyle w:val="Hyperlink"/>
                  <w:b w:val="0"/>
                  <w:sz w:val="24"/>
                  <w:szCs w:val="24"/>
                </w:rPr>
                <w:t>@marvell.com</w:t>
              </w:r>
            </w:hyperlink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25651E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9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b w:val="0"/>
                <w:sz w:val="24"/>
                <w:szCs w:val="24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25651E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10" w:history="1"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ruicao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E647FA">
        <w:rPr>
          <w:sz w:val="24"/>
          <w:szCs w:val="24"/>
        </w:rPr>
        <w:t>the following CIDs</w:t>
      </w:r>
      <w:r w:rsidR="00193DAB">
        <w:rPr>
          <w:sz w:val="24"/>
          <w:szCs w:val="24"/>
        </w:rPr>
        <w:t xml:space="preserve"> DCM in HE TB PPDUs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Default="00E647FA" w:rsidP="00CF7849">
      <w:pPr>
        <w:rPr>
          <w:sz w:val="24"/>
          <w:szCs w:val="24"/>
        </w:rPr>
      </w:pP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</w:t>
      </w:r>
      <w:r w:rsidRPr="00E647FA">
        <w:rPr>
          <w:i/>
          <w:sz w:val="24"/>
          <w:szCs w:val="24"/>
        </w:rPr>
        <w:t xml:space="preserve">6309, 8761, 8762, 9138 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1084"/>
        <w:gridCol w:w="990"/>
        <w:gridCol w:w="2668"/>
        <w:gridCol w:w="2250"/>
        <w:gridCol w:w="2430"/>
      </w:tblGrid>
      <w:tr w:rsidR="0048758F" w:rsidRPr="00FA777D" w:rsidTr="0048758F">
        <w:tc>
          <w:tcPr>
            <w:tcW w:w="720" w:type="dxa"/>
          </w:tcPr>
          <w:p w:rsidR="0048758F" w:rsidRPr="00D13276" w:rsidRDefault="0048758F" w:rsidP="00E02D94">
            <w:pPr>
              <w:rPr>
                <w:rFonts w:ascii="Calibri" w:hAnsi="Calibri"/>
                <w:sz w:val="24"/>
                <w:szCs w:val="24"/>
              </w:rPr>
            </w:pPr>
            <w:r w:rsidRPr="00D13276">
              <w:rPr>
                <w:rFonts w:ascii="Calibri" w:hAnsi="Calibri"/>
                <w:sz w:val="24"/>
                <w:szCs w:val="24"/>
              </w:rPr>
              <w:lastRenderedPageBreak/>
              <w:t>6309</w:t>
            </w:r>
          </w:p>
        </w:tc>
        <w:tc>
          <w:tcPr>
            <w:tcW w:w="1084" w:type="dxa"/>
          </w:tcPr>
          <w:p w:rsidR="0048758F" w:rsidRPr="00D13276" w:rsidRDefault="0048758F" w:rsidP="00193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3276">
              <w:rPr>
                <w:rFonts w:ascii="Arial" w:hAnsi="Arial" w:cs="Arial"/>
                <w:sz w:val="24"/>
                <w:szCs w:val="24"/>
              </w:rPr>
              <w:t>9.3.1.23</w:t>
            </w:r>
          </w:p>
          <w:p w:rsidR="0048758F" w:rsidRPr="00D13276" w:rsidRDefault="0048758F" w:rsidP="00E02D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0" w:type="dxa"/>
          </w:tcPr>
          <w:p w:rsidR="0048758F" w:rsidRPr="00D13276" w:rsidRDefault="0048758F" w:rsidP="00E02D94">
            <w:pPr>
              <w:rPr>
                <w:rFonts w:ascii="Calibri" w:hAnsi="Calibri"/>
                <w:sz w:val="24"/>
                <w:szCs w:val="24"/>
              </w:rPr>
            </w:pPr>
            <w:r w:rsidRPr="00D13276">
              <w:rPr>
                <w:rFonts w:ascii="Calibri" w:hAnsi="Calibri"/>
                <w:sz w:val="24"/>
                <w:szCs w:val="24"/>
              </w:rPr>
              <w:t>47.03</w:t>
            </w:r>
          </w:p>
        </w:tc>
        <w:tc>
          <w:tcPr>
            <w:tcW w:w="2668" w:type="dxa"/>
          </w:tcPr>
          <w:p w:rsidR="0048758F" w:rsidRPr="00D13276" w:rsidRDefault="0048758F" w:rsidP="00193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3276">
              <w:rPr>
                <w:rFonts w:ascii="Arial" w:hAnsi="Arial" w:cs="Arial"/>
                <w:sz w:val="24"/>
                <w:szCs w:val="24"/>
              </w:rPr>
              <w:t xml:space="preserve">"A value of 1 indicates that the HE trigger-based PPDU shall use DCM as defined in 28.3.11.15". But DCM (as defined in 28.3.11.15) is an optional mode. Is the idea that the bit can only be set to 1 if the STA has indicated support for DCM? What is the expected </w:t>
            </w:r>
            <w:proofErr w:type="spellStart"/>
            <w:r w:rsidRPr="00D13276">
              <w:rPr>
                <w:rFonts w:ascii="Arial" w:hAnsi="Arial" w:cs="Arial"/>
                <w:sz w:val="24"/>
                <w:szCs w:val="24"/>
              </w:rPr>
              <w:t>behavior</w:t>
            </w:r>
            <w:proofErr w:type="spellEnd"/>
            <w:r w:rsidRPr="00D13276">
              <w:rPr>
                <w:rFonts w:ascii="Arial" w:hAnsi="Arial" w:cs="Arial"/>
                <w:sz w:val="24"/>
                <w:szCs w:val="24"/>
              </w:rPr>
              <w:t xml:space="preserve"> if the STA has not indicated support for DCM but this bit is set to 1 anyway?</w:t>
            </w:r>
          </w:p>
          <w:p w:rsidR="0048758F" w:rsidRPr="00D13276" w:rsidRDefault="0048758F" w:rsidP="00E02D94">
            <w:pPr>
              <w:rPr>
                <w:rFonts w:ascii="Calibri" w:hAnsi="Calibri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</w:tcPr>
          <w:p w:rsidR="0048758F" w:rsidRPr="00D13276" w:rsidRDefault="0048758F" w:rsidP="00193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3276">
              <w:rPr>
                <w:rFonts w:ascii="Arial" w:hAnsi="Arial" w:cs="Arial"/>
                <w:sz w:val="24"/>
                <w:szCs w:val="24"/>
              </w:rPr>
              <w:t>Add text restricting the cases in which the bit can be set to 1, and providing error recovery if the bit is set incorrectly.</w:t>
            </w:r>
          </w:p>
          <w:p w:rsidR="0048758F" w:rsidRPr="00D13276" w:rsidRDefault="0048758F" w:rsidP="00E02D9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</w:tcPr>
          <w:p w:rsidR="0048758F" w:rsidRPr="00D13276" w:rsidRDefault="0048758F" w:rsidP="00E02D94">
            <w:pPr>
              <w:rPr>
                <w:rFonts w:ascii="Calibri" w:hAnsi="Calibri" w:cs="Arial"/>
                <w:b/>
                <w:sz w:val="24"/>
                <w:szCs w:val="24"/>
                <w:lang w:eastAsia="zh-CN"/>
              </w:rPr>
            </w:pPr>
            <w:r w:rsidRPr="00D13276">
              <w:rPr>
                <w:rFonts w:ascii="Calibri" w:hAnsi="Calibri" w:cs="Arial"/>
                <w:b/>
                <w:sz w:val="24"/>
                <w:szCs w:val="24"/>
                <w:lang w:eastAsia="zh-CN"/>
              </w:rPr>
              <w:t>Revised.</w:t>
            </w:r>
          </w:p>
          <w:p w:rsidR="0048758F" w:rsidRPr="00D13276" w:rsidRDefault="0048758F" w:rsidP="003514B3">
            <w:pPr>
              <w:rPr>
                <w:rFonts w:ascii="Calibri" w:hAnsi="Calibri" w:cs="Arial"/>
                <w:sz w:val="24"/>
                <w:szCs w:val="24"/>
                <w:lang w:eastAsia="zh-CN"/>
              </w:rPr>
            </w:pP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>Change to as in doc IEEE802.11-17/1381r</w:t>
            </w:r>
            <w:r w:rsidR="003514B3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r w:rsidRPr="00D13276">
              <w:rPr>
                <w:rFonts w:ascii="Arial" w:hAnsi="Arial" w:cs="Arial"/>
                <w:sz w:val="24"/>
                <w:szCs w:val="24"/>
                <w:lang w:val="en-US" w:eastAsia="zh-CN"/>
              </w:rPr>
              <w:t>.</w:t>
            </w:r>
          </w:p>
        </w:tc>
      </w:tr>
      <w:tr w:rsidR="0048758F" w:rsidRPr="00FA777D" w:rsidTr="0048758F">
        <w:tc>
          <w:tcPr>
            <w:tcW w:w="72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8761</w:t>
            </w:r>
          </w:p>
        </w:tc>
        <w:tc>
          <w:tcPr>
            <w:tcW w:w="1084" w:type="dxa"/>
          </w:tcPr>
          <w:p w:rsidR="0048758F" w:rsidRPr="0048758F" w:rsidRDefault="0048758F" w:rsidP="0048758F">
            <w:pPr>
              <w:jc w:val="center"/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28.2.2</w:t>
            </w:r>
          </w:p>
        </w:tc>
        <w:tc>
          <w:tcPr>
            <w:tcW w:w="99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219.50</w:t>
            </w:r>
          </w:p>
        </w:tc>
        <w:tc>
          <w:tcPr>
            <w:tcW w:w="2668" w:type="dxa"/>
          </w:tcPr>
          <w:p w:rsidR="0048758F" w:rsidRPr="0048758F" w:rsidRDefault="0048758F" w:rsidP="0048758F">
            <w:pPr>
              <w:rPr>
                <w:rFonts w:eastAsia="Times New Roman"/>
                <w:bCs/>
                <w:color w:val="000000"/>
                <w:sz w:val="24"/>
                <w:lang w:val="en-US"/>
              </w:rPr>
            </w:pPr>
            <w:r w:rsidRPr="0048758F">
              <w:rPr>
                <w:rFonts w:eastAsia="Times New Roman"/>
                <w:bCs/>
                <w:color w:val="000000"/>
                <w:sz w:val="24"/>
                <w:lang w:val="en-US"/>
              </w:rPr>
              <w:t>"HE extend range SU" should be "HE extended range SU"</w:t>
            </w:r>
          </w:p>
        </w:tc>
        <w:tc>
          <w:tcPr>
            <w:tcW w:w="225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Correct</w:t>
            </w:r>
          </w:p>
        </w:tc>
        <w:tc>
          <w:tcPr>
            <w:tcW w:w="2430" w:type="dxa"/>
          </w:tcPr>
          <w:p w:rsidR="0048758F" w:rsidRPr="0048758F" w:rsidRDefault="0048758F" w:rsidP="0048758F">
            <w:pPr>
              <w:jc w:val="both"/>
              <w:rPr>
                <w:rFonts w:eastAsiaTheme="minorEastAsia"/>
                <w:b/>
                <w:sz w:val="24"/>
                <w:lang w:eastAsia="zh-CN"/>
              </w:rPr>
            </w:pPr>
            <w:r w:rsidRPr="0048758F">
              <w:rPr>
                <w:rFonts w:eastAsiaTheme="minorEastAsia" w:hint="eastAsia"/>
                <w:b/>
                <w:sz w:val="24"/>
                <w:lang w:eastAsia="zh-CN"/>
              </w:rPr>
              <w:t>Revised.</w:t>
            </w:r>
          </w:p>
          <w:p w:rsidR="0048758F" w:rsidRPr="0048758F" w:rsidRDefault="0048758F" w:rsidP="0048758F">
            <w:pPr>
              <w:jc w:val="both"/>
              <w:rPr>
                <w:rFonts w:eastAsiaTheme="minorEastAsia"/>
                <w:b/>
                <w:sz w:val="24"/>
                <w:lang w:eastAsia="zh-CN"/>
              </w:rPr>
            </w:pPr>
          </w:p>
          <w:p w:rsidR="0048758F" w:rsidRPr="0048758F" w:rsidRDefault="0048758F" w:rsidP="003514B3">
            <w:pPr>
              <w:rPr>
                <w:sz w:val="24"/>
              </w:rPr>
            </w:pP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 xml:space="preserve">Change to as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in </w:t>
            </w: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>doc IEEE802.11-17/1381r</w:t>
            </w:r>
            <w:r w:rsidR="003514B3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r w:rsidRPr="00D13276">
              <w:rPr>
                <w:rFonts w:ascii="Arial" w:hAnsi="Arial" w:cs="Arial"/>
                <w:sz w:val="24"/>
                <w:szCs w:val="24"/>
                <w:lang w:val="en-US" w:eastAsia="zh-CN"/>
              </w:rPr>
              <w:t>.</w:t>
            </w:r>
          </w:p>
        </w:tc>
      </w:tr>
      <w:tr w:rsidR="0048758F" w:rsidRPr="00FA777D" w:rsidTr="0048758F">
        <w:tc>
          <w:tcPr>
            <w:tcW w:w="72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8762</w:t>
            </w:r>
          </w:p>
        </w:tc>
        <w:tc>
          <w:tcPr>
            <w:tcW w:w="1084" w:type="dxa"/>
          </w:tcPr>
          <w:p w:rsidR="0048758F" w:rsidRPr="0048758F" w:rsidRDefault="0048758F" w:rsidP="0048758F">
            <w:pPr>
              <w:jc w:val="center"/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28.2.2</w:t>
            </w:r>
          </w:p>
        </w:tc>
        <w:tc>
          <w:tcPr>
            <w:tcW w:w="99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219.51</w:t>
            </w:r>
          </w:p>
        </w:tc>
        <w:tc>
          <w:tcPr>
            <w:tcW w:w="2668" w:type="dxa"/>
          </w:tcPr>
          <w:p w:rsidR="0048758F" w:rsidRPr="0048758F" w:rsidRDefault="0048758F" w:rsidP="0048758F">
            <w:pPr>
              <w:rPr>
                <w:rFonts w:eastAsia="Times New Roman"/>
                <w:bCs/>
                <w:color w:val="000000"/>
                <w:sz w:val="24"/>
                <w:lang w:val="en-US"/>
              </w:rPr>
            </w:pPr>
            <w:r w:rsidRPr="0048758F">
              <w:rPr>
                <w:rFonts w:eastAsia="Times New Roman"/>
                <w:bCs/>
                <w:color w:val="000000"/>
                <w:sz w:val="24"/>
                <w:lang w:val="en-US"/>
              </w:rPr>
              <w:t>The term SU RU is not clearly defined</w:t>
            </w:r>
          </w:p>
        </w:tc>
        <w:tc>
          <w:tcPr>
            <w:tcW w:w="2250" w:type="dxa"/>
          </w:tcPr>
          <w:p w:rsidR="0048758F" w:rsidRPr="0048758F" w:rsidRDefault="0048758F" w:rsidP="0048758F">
            <w:pPr>
              <w:rPr>
                <w:rFonts w:eastAsia="Times New Roman"/>
                <w:bCs/>
                <w:color w:val="000000"/>
                <w:sz w:val="24"/>
                <w:lang w:val="en-US"/>
              </w:rPr>
            </w:pPr>
            <w:r w:rsidRPr="0048758F">
              <w:rPr>
                <w:rFonts w:eastAsia="Times New Roman"/>
                <w:bCs/>
                <w:color w:val="000000"/>
                <w:sz w:val="24"/>
                <w:lang w:val="en-US"/>
              </w:rPr>
              <w:t>Rename or provide definition</w:t>
            </w:r>
          </w:p>
        </w:tc>
        <w:tc>
          <w:tcPr>
            <w:tcW w:w="2430" w:type="dxa"/>
          </w:tcPr>
          <w:p w:rsidR="0048758F" w:rsidRPr="0048758F" w:rsidRDefault="0048758F" w:rsidP="0048758F">
            <w:pPr>
              <w:jc w:val="both"/>
              <w:rPr>
                <w:rFonts w:eastAsiaTheme="minorEastAsia"/>
                <w:b/>
                <w:sz w:val="24"/>
                <w:lang w:eastAsia="zh-CN"/>
              </w:rPr>
            </w:pPr>
            <w:r w:rsidRPr="0048758F">
              <w:rPr>
                <w:rFonts w:eastAsiaTheme="minorEastAsia" w:hint="eastAsia"/>
                <w:b/>
                <w:sz w:val="24"/>
                <w:lang w:eastAsia="zh-CN"/>
              </w:rPr>
              <w:t>Revised.</w:t>
            </w:r>
          </w:p>
          <w:p w:rsidR="0048758F" w:rsidRPr="0048758F" w:rsidRDefault="0048758F" w:rsidP="0048758F">
            <w:pPr>
              <w:jc w:val="both"/>
              <w:rPr>
                <w:rFonts w:eastAsiaTheme="minorEastAsia"/>
                <w:sz w:val="24"/>
                <w:szCs w:val="18"/>
                <w:lang w:eastAsia="zh-CN"/>
              </w:rPr>
            </w:pPr>
          </w:p>
          <w:p w:rsidR="0048758F" w:rsidRPr="0048758F" w:rsidRDefault="0048758F" w:rsidP="003514B3">
            <w:pPr>
              <w:jc w:val="both"/>
              <w:rPr>
                <w:sz w:val="24"/>
              </w:rPr>
            </w:pP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>Change to as in doc IEEE802.11-17/1381r</w:t>
            </w:r>
            <w:r w:rsidR="003514B3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r w:rsidRPr="00D13276">
              <w:rPr>
                <w:rFonts w:ascii="Arial" w:hAnsi="Arial" w:cs="Arial"/>
                <w:sz w:val="24"/>
                <w:szCs w:val="24"/>
                <w:lang w:val="en-US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48758F" w:rsidRPr="0048758F" w:rsidTr="0048758F">
        <w:tc>
          <w:tcPr>
            <w:tcW w:w="72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9138</w:t>
            </w:r>
          </w:p>
        </w:tc>
        <w:tc>
          <w:tcPr>
            <w:tcW w:w="1084" w:type="dxa"/>
          </w:tcPr>
          <w:p w:rsidR="0048758F" w:rsidRPr="0048758F" w:rsidRDefault="0048758F" w:rsidP="0048758F">
            <w:pPr>
              <w:jc w:val="center"/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28.2.2</w:t>
            </w:r>
          </w:p>
        </w:tc>
        <w:tc>
          <w:tcPr>
            <w:tcW w:w="99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219.51</w:t>
            </w:r>
          </w:p>
        </w:tc>
        <w:tc>
          <w:tcPr>
            <w:tcW w:w="2668" w:type="dxa"/>
          </w:tcPr>
          <w:p w:rsidR="0048758F" w:rsidRPr="0048758F" w:rsidRDefault="0048758F" w:rsidP="0048758F">
            <w:pPr>
              <w:rPr>
                <w:rFonts w:eastAsia="Times New Roman"/>
                <w:bCs/>
                <w:color w:val="000000"/>
                <w:sz w:val="24"/>
                <w:lang w:val="en-US"/>
              </w:rPr>
            </w:pPr>
            <w:r w:rsidRPr="0048758F">
              <w:rPr>
                <w:rFonts w:eastAsia="Times New Roman"/>
                <w:bCs/>
                <w:color w:val="000000"/>
                <w:sz w:val="24"/>
                <w:lang w:val="en-US"/>
              </w:rPr>
              <w:t>SU RU in HE MU PPDU is not an accurate term to describe for DCM</w:t>
            </w:r>
          </w:p>
        </w:tc>
        <w:tc>
          <w:tcPr>
            <w:tcW w:w="2250" w:type="dxa"/>
          </w:tcPr>
          <w:p w:rsidR="0048758F" w:rsidRPr="0048758F" w:rsidRDefault="0048758F" w:rsidP="0048758F">
            <w:pPr>
              <w:rPr>
                <w:rFonts w:eastAsia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2430" w:type="dxa"/>
          </w:tcPr>
          <w:p w:rsidR="0048758F" w:rsidRPr="0048758F" w:rsidRDefault="0048758F" w:rsidP="0048758F">
            <w:pPr>
              <w:jc w:val="both"/>
              <w:rPr>
                <w:rFonts w:eastAsiaTheme="minorEastAsia"/>
                <w:b/>
                <w:sz w:val="24"/>
                <w:lang w:eastAsia="zh-CN"/>
              </w:rPr>
            </w:pPr>
            <w:r w:rsidRPr="0048758F">
              <w:rPr>
                <w:rFonts w:eastAsiaTheme="minorEastAsia" w:hint="eastAsia"/>
                <w:b/>
                <w:sz w:val="24"/>
                <w:lang w:eastAsia="zh-CN"/>
              </w:rPr>
              <w:t>Revised.</w:t>
            </w:r>
          </w:p>
          <w:p w:rsidR="0048758F" w:rsidRPr="0048758F" w:rsidRDefault="0048758F" w:rsidP="0048758F">
            <w:pPr>
              <w:jc w:val="both"/>
              <w:rPr>
                <w:rFonts w:eastAsiaTheme="minorEastAsia"/>
                <w:sz w:val="24"/>
                <w:szCs w:val="18"/>
                <w:lang w:eastAsia="zh-CN"/>
              </w:rPr>
            </w:pPr>
          </w:p>
          <w:p w:rsidR="0048758F" w:rsidRPr="0048758F" w:rsidRDefault="0048758F" w:rsidP="003514B3">
            <w:pPr>
              <w:jc w:val="both"/>
              <w:rPr>
                <w:sz w:val="24"/>
              </w:rPr>
            </w:pP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>Change to as in doc IEEE802.11-17/1381r</w:t>
            </w:r>
            <w:r w:rsidR="003514B3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bookmarkStart w:id="0" w:name="_GoBack"/>
            <w:bookmarkEnd w:id="0"/>
            <w:r w:rsidRPr="00D13276">
              <w:rPr>
                <w:rFonts w:ascii="Arial" w:hAnsi="Arial" w:cs="Arial"/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D61EDD" w:rsidRPr="00D61EDD" w:rsidRDefault="00193DAB" w:rsidP="00CF7849">
      <w:pPr>
        <w:rPr>
          <w:b/>
          <w:sz w:val="24"/>
        </w:rPr>
      </w:pPr>
      <w:r>
        <w:rPr>
          <w:b/>
          <w:sz w:val="28"/>
        </w:rPr>
        <w:t>Discussions</w:t>
      </w:r>
      <w:r w:rsidR="00D61EDD" w:rsidRPr="00D61EDD">
        <w:rPr>
          <w:b/>
          <w:sz w:val="28"/>
        </w:rPr>
        <w:t>:</w:t>
      </w:r>
      <w:r w:rsidR="00D61EDD" w:rsidRPr="00D61EDD">
        <w:rPr>
          <w:b/>
          <w:sz w:val="24"/>
        </w:rPr>
        <w:t xml:space="preserve"> </w:t>
      </w:r>
    </w:p>
    <w:p w:rsidR="00D61EDD" w:rsidRPr="00843B05" w:rsidRDefault="00D61EDD" w:rsidP="00CF7849">
      <w:pPr>
        <w:rPr>
          <w:lang w:eastAsia="zh-CN"/>
        </w:rPr>
      </w:pPr>
    </w:p>
    <w:p w:rsidR="00992C6D" w:rsidRDefault="00D61EDD" w:rsidP="00992C6D">
      <w:pPr>
        <w:autoSpaceDE w:val="0"/>
        <w:autoSpaceDN w:val="0"/>
        <w:adjustRightInd w:val="0"/>
        <w:rPr>
          <w:bCs/>
          <w:sz w:val="24"/>
        </w:rPr>
      </w:pPr>
      <w:r w:rsidRPr="00D61EDD">
        <w:rPr>
          <w:sz w:val="24"/>
          <w:szCs w:val="24"/>
          <w:lang w:eastAsia="zh-CN"/>
        </w:rPr>
        <w:t xml:space="preserve">In </w:t>
      </w:r>
      <w:r>
        <w:rPr>
          <w:sz w:val="24"/>
          <w:szCs w:val="24"/>
          <w:lang w:eastAsia="zh-CN"/>
        </w:rPr>
        <w:t>D1.4,</w:t>
      </w:r>
      <w:r w:rsidRPr="00193DAB">
        <w:rPr>
          <w:sz w:val="24"/>
          <w:szCs w:val="24"/>
          <w:lang w:eastAsia="zh-CN"/>
        </w:rPr>
        <w:t xml:space="preserve"> </w:t>
      </w:r>
      <w:r w:rsidR="00193DAB" w:rsidRPr="00193DAB">
        <w:rPr>
          <w:bCs/>
          <w:sz w:val="24"/>
        </w:rPr>
        <w:t xml:space="preserve">there is </w:t>
      </w:r>
      <w:r w:rsidR="00193DAB">
        <w:rPr>
          <w:bCs/>
          <w:sz w:val="24"/>
        </w:rPr>
        <w:t xml:space="preserve">some inconsistency regarding the usage of DCM in HE TB PPDUs: in </w:t>
      </w:r>
      <w:r w:rsidR="00193DAB" w:rsidRPr="00193DAB">
        <w:rPr>
          <w:b/>
          <w:bCs/>
          <w:sz w:val="24"/>
        </w:rPr>
        <w:t>Table 28-1—TXVECTOR and RXVECTOR parameters</w:t>
      </w:r>
      <w:r w:rsidR="00193DAB">
        <w:rPr>
          <w:b/>
          <w:bCs/>
          <w:sz w:val="20"/>
        </w:rPr>
        <w:t>,</w:t>
      </w:r>
      <w:r w:rsidR="00193DAB">
        <w:rPr>
          <w:bCs/>
          <w:sz w:val="24"/>
        </w:rPr>
        <w:t xml:space="preserve"> under the TX/RXVECTOR </w:t>
      </w:r>
      <w:r w:rsidR="00196541">
        <w:rPr>
          <w:bCs/>
          <w:sz w:val="24"/>
        </w:rPr>
        <w:t>primitive “</w:t>
      </w:r>
      <w:r w:rsidR="00193DAB">
        <w:rPr>
          <w:bCs/>
          <w:sz w:val="24"/>
        </w:rPr>
        <w:t>DCM</w:t>
      </w:r>
      <w:r w:rsidR="00196541">
        <w:rPr>
          <w:bCs/>
          <w:sz w:val="24"/>
        </w:rPr>
        <w:t>”</w:t>
      </w:r>
      <w:r w:rsidR="00193DAB">
        <w:rPr>
          <w:bCs/>
          <w:sz w:val="24"/>
        </w:rPr>
        <w:t>, there is a sentence “</w:t>
      </w:r>
      <w:r w:rsidR="00193DAB" w:rsidRPr="00193DAB">
        <w:rPr>
          <w:i/>
          <w:sz w:val="24"/>
          <w:szCs w:val="18"/>
        </w:rPr>
        <w:t>DCM is only applied to HE SU PPDU, HE extend range SU PPDU, and SU RUs in HE MU PPDU.</w:t>
      </w:r>
      <w:r w:rsidR="00193DAB">
        <w:rPr>
          <w:bCs/>
          <w:sz w:val="24"/>
        </w:rPr>
        <w:t xml:space="preserve">”, which follows the motion </w:t>
      </w:r>
      <w:r w:rsidR="00E02D94">
        <w:rPr>
          <w:bCs/>
          <w:sz w:val="24"/>
        </w:rPr>
        <w:t>from</w:t>
      </w:r>
      <w:r w:rsidR="00193DAB">
        <w:rPr>
          <w:bCs/>
          <w:sz w:val="24"/>
        </w:rPr>
        <w:t xml:space="preserve"> the doc 16/0655r0</w:t>
      </w:r>
      <w:r w:rsidR="00196541">
        <w:rPr>
          <w:bCs/>
          <w:sz w:val="24"/>
        </w:rPr>
        <w:t xml:space="preserve"> “</w:t>
      </w:r>
      <w:r w:rsidR="00196541" w:rsidRPr="00196541">
        <w:rPr>
          <w:bCs/>
          <w:sz w:val="24"/>
        </w:rPr>
        <w:t>On Modulation of MCS0 DCM and DCM Capability</w:t>
      </w:r>
      <w:r w:rsidR="00196541">
        <w:rPr>
          <w:bCs/>
          <w:sz w:val="24"/>
        </w:rPr>
        <w:t xml:space="preserve">”. This means DCM is disallowed in HE TB PPDUs; meanwhile in </w:t>
      </w:r>
      <w:r w:rsidR="00196541" w:rsidRPr="00196541">
        <w:rPr>
          <w:b/>
          <w:bCs/>
          <w:sz w:val="24"/>
        </w:rPr>
        <w:t>Figure 9-52f—User Info field</w:t>
      </w:r>
      <w:r w:rsidR="00196541">
        <w:rPr>
          <w:b/>
          <w:bCs/>
          <w:sz w:val="20"/>
        </w:rPr>
        <w:t xml:space="preserve"> </w:t>
      </w:r>
      <w:r w:rsidR="00196541">
        <w:rPr>
          <w:bCs/>
          <w:sz w:val="24"/>
        </w:rPr>
        <w:t xml:space="preserve">(of Trigger Frame), there is a DCM bit, meaning AP may ask the STA to transmit DCM in a HE TB PPDU. </w:t>
      </w:r>
    </w:p>
    <w:p w:rsidR="00196541" w:rsidRDefault="00196541" w:rsidP="00992C6D">
      <w:pPr>
        <w:autoSpaceDE w:val="0"/>
        <w:autoSpaceDN w:val="0"/>
        <w:adjustRightInd w:val="0"/>
        <w:rPr>
          <w:bCs/>
          <w:sz w:val="24"/>
        </w:rPr>
      </w:pPr>
    </w:p>
    <w:p w:rsidR="00196541" w:rsidRDefault="00196541" w:rsidP="00992C6D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Propose to allow DCM in HE TB PPDUs</w:t>
      </w:r>
      <w:r w:rsidR="00692BF8">
        <w:rPr>
          <w:bCs/>
          <w:sz w:val="24"/>
        </w:rPr>
        <w:t xml:space="preserve">, but AP needs to set DCM bit according to the STA’s DCM </w:t>
      </w:r>
      <w:proofErr w:type="spellStart"/>
      <w:proofErr w:type="gramStart"/>
      <w:r w:rsidR="00692BF8">
        <w:rPr>
          <w:bCs/>
          <w:sz w:val="24"/>
        </w:rPr>
        <w:t>Tx</w:t>
      </w:r>
      <w:proofErr w:type="spellEnd"/>
      <w:proofErr w:type="gramEnd"/>
      <w:r w:rsidR="00692BF8">
        <w:rPr>
          <w:bCs/>
          <w:sz w:val="24"/>
        </w:rPr>
        <w:t xml:space="preserve"> capability field</w:t>
      </w:r>
      <w:r w:rsidR="00E95CD7">
        <w:rPr>
          <w:bCs/>
          <w:sz w:val="24"/>
        </w:rPr>
        <w:t>s.</w:t>
      </w:r>
      <w:r w:rsidR="00692BF8">
        <w:rPr>
          <w:bCs/>
          <w:sz w:val="24"/>
        </w:rPr>
        <w:t xml:space="preserve"> </w:t>
      </w:r>
    </w:p>
    <w:p w:rsidR="00D61EDD" w:rsidRPr="00D61EDD" w:rsidRDefault="00D61EDD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proofErr w:type="spellStart"/>
      <w:r>
        <w:rPr>
          <w:sz w:val="24"/>
          <w:szCs w:val="24"/>
          <w:highlight w:val="yellow"/>
          <w:lang w:eastAsia="zh-CN"/>
        </w:rPr>
        <w:lastRenderedPageBreak/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 xml:space="preserve">e in </w:t>
      </w:r>
      <w:r w:rsidRPr="00F055C1">
        <w:rPr>
          <w:b/>
          <w:bCs/>
          <w:sz w:val="24"/>
          <w:highlight w:val="yellow"/>
        </w:rPr>
        <w:t>Table 9-262aa—Subfields of the HE PHY Capabilities Information field</w:t>
      </w:r>
      <w:r w:rsidRPr="00F055C1">
        <w:rPr>
          <w:bCs/>
          <w:sz w:val="24"/>
          <w:highlight w:val="yellow"/>
        </w:rPr>
        <w:t xml:space="preserve"> starting from P128L15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928"/>
        <w:gridCol w:w="3357"/>
      </w:tblGrid>
      <w:tr w:rsidR="00F055C1" w:rsidTr="00F055C1">
        <w:tc>
          <w:tcPr>
            <w:tcW w:w="2785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 xml:space="preserve">DCM Max Constellation </w:t>
            </w:r>
            <w:proofErr w:type="spellStart"/>
            <w:r w:rsidRPr="00F055C1">
              <w:rPr>
                <w:sz w:val="24"/>
                <w:szCs w:val="18"/>
              </w:rPr>
              <w:t>Tx</w:t>
            </w:r>
            <w:proofErr w:type="spellEnd"/>
            <w:r w:rsidRPr="00F055C1">
              <w:rPr>
                <w:sz w:val="24"/>
                <w:szCs w:val="18"/>
              </w:rPr>
              <w:t>(#Ed)</w:t>
            </w:r>
          </w:p>
        </w:tc>
        <w:tc>
          <w:tcPr>
            <w:tcW w:w="3928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 xml:space="preserve">Indicates the maximum supported constellation for DCM in </w:t>
            </w:r>
            <w:r w:rsidRPr="00DF65D7">
              <w:rPr>
                <w:strike/>
                <w:color w:val="FF0000"/>
                <w:sz w:val="24"/>
                <w:szCs w:val="18"/>
              </w:rPr>
              <w:t>both</w:t>
            </w:r>
            <w:r w:rsidRPr="00F055C1">
              <w:rPr>
                <w:sz w:val="24"/>
                <w:szCs w:val="18"/>
              </w:rPr>
              <w:t xml:space="preserve"> the Data field </w:t>
            </w:r>
            <w:r w:rsidRPr="00DF65D7">
              <w:rPr>
                <w:strike/>
                <w:color w:val="FF0000"/>
                <w:sz w:val="24"/>
                <w:szCs w:val="18"/>
              </w:rPr>
              <w:t>and HE-SIG-B field</w:t>
            </w:r>
            <w:r w:rsidRPr="00DF65D7">
              <w:rPr>
                <w:color w:val="FF0000"/>
                <w:sz w:val="24"/>
                <w:szCs w:val="18"/>
              </w:rPr>
              <w:t xml:space="preserve"> </w:t>
            </w:r>
            <w:r w:rsidRPr="00F055C1">
              <w:rPr>
                <w:sz w:val="24"/>
                <w:szCs w:val="18"/>
              </w:rPr>
              <w:t>that the STA is capable of transmitting</w:t>
            </w:r>
            <w:r>
              <w:rPr>
                <w:sz w:val="24"/>
                <w:szCs w:val="18"/>
              </w:rPr>
              <w:t xml:space="preserve"> </w:t>
            </w:r>
            <w:r w:rsidRPr="00F055C1">
              <w:rPr>
                <w:color w:val="FF0000"/>
                <w:sz w:val="24"/>
                <w:szCs w:val="18"/>
                <w:u w:val="single"/>
              </w:rPr>
              <w:t>in an HE TB PPDU</w:t>
            </w:r>
            <w:r w:rsidRPr="00F055C1">
              <w:rPr>
                <w:sz w:val="24"/>
                <w:szCs w:val="18"/>
              </w:rPr>
              <w:t>.(#5789, #9114, #Ed)</w:t>
            </w:r>
          </w:p>
        </w:tc>
        <w:tc>
          <w:tcPr>
            <w:tcW w:w="3357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>B0-B1 signals the maximum constellation: 00: Does not support DCM 01: BPSK 10: QPSK 11: 16-QAM</w:t>
            </w:r>
          </w:p>
        </w:tc>
      </w:tr>
      <w:tr w:rsidR="00F055C1" w:rsidTr="00F055C1">
        <w:tc>
          <w:tcPr>
            <w:tcW w:w="2785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 xml:space="preserve">DCM Max NSS </w:t>
            </w:r>
            <w:proofErr w:type="spellStart"/>
            <w:r w:rsidRPr="00F055C1">
              <w:rPr>
                <w:sz w:val="24"/>
                <w:szCs w:val="18"/>
              </w:rPr>
              <w:t>Tx</w:t>
            </w:r>
            <w:proofErr w:type="spellEnd"/>
            <w:r w:rsidRPr="00F055C1">
              <w:rPr>
                <w:sz w:val="24"/>
                <w:szCs w:val="18"/>
              </w:rPr>
              <w:t>(#Ed)</w:t>
            </w:r>
          </w:p>
        </w:tc>
        <w:tc>
          <w:tcPr>
            <w:tcW w:w="3928" w:type="dxa"/>
          </w:tcPr>
          <w:p w:rsidR="00F055C1" w:rsidRPr="00F055C1" w:rsidRDefault="00F055C1" w:rsidP="00A5529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>Indicates the maximum number of spatial streams supported for transmission when DCM is used in the Data field</w:t>
            </w:r>
            <w:r>
              <w:rPr>
                <w:sz w:val="24"/>
                <w:szCs w:val="18"/>
              </w:rPr>
              <w:t xml:space="preserve"> </w:t>
            </w:r>
            <w:r w:rsidR="00A5529D">
              <w:rPr>
                <w:color w:val="FF0000"/>
                <w:sz w:val="24"/>
                <w:szCs w:val="18"/>
                <w:u w:val="single"/>
              </w:rPr>
              <w:t>of</w:t>
            </w:r>
            <w:r w:rsidRPr="00F055C1">
              <w:rPr>
                <w:color w:val="FF0000"/>
                <w:sz w:val="24"/>
                <w:szCs w:val="18"/>
                <w:u w:val="single"/>
              </w:rPr>
              <w:t xml:space="preserve"> an HE TB PPDU</w:t>
            </w:r>
            <w:r w:rsidRPr="00F055C1">
              <w:rPr>
                <w:sz w:val="24"/>
                <w:szCs w:val="18"/>
              </w:rPr>
              <w:t>.(#5789, #9114, #Ed)</w:t>
            </w:r>
          </w:p>
        </w:tc>
        <w:tc>
          <w:tcPr>
            <w:tcW w:w="3357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>Set to 0 for 1 spatial stream. Set to 1 for 2 spatial streams</w:t>
            </w:r>
          </w:p>
        </w:tc>
      </w:tr>
    </w:tbl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</w:p>
    <w:p w:rsidR="00992C6D" w:rsidRDefault="00D61EDD" w:rsidP="00992C6D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="00992C6D"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="00992C6D" w:rsidRPr="00271A96">
        <w:rPr>
          <w:sz w:val="24"/>
          <w:szCs w:val="24"/>
          <w:highlight w:val="yellow"/>
          <w:lang w:eastAsia="zh-CN"/>
        </w:rPr>
        <w:t xml:space="preserve"> </w:t>
      </w:r>
      <w:r w:rsidR="00992C6D"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="00992C6D" w:rsidRPr="00271A96">
        <w:rPr>
          <w:sz w:val="24"/>
          <w:szCs w:val="24"/>
          <w:highlight w:val="yellow"/>
        </w:rPr>
        <w:t>chang</w:t>
      </w:r>
      <w:r w:rsidR="00992C6D">
        <w:rPr>
          <w:sz w:val="24"/>
          <w:szCs w:val="24"/>
          <w:highlight w:val="yellow"/>
        </w:rPr>
        <w:t>e</w:t>
      </w:r>
      <w:r>
        <w:rPr>
          <w:sz w:val="24"/>
          <w:szCs w:val="24"/>
          <w:highlight w:val="yellow"/>
        </w:rPr>
        <w:t xml:space="preserve"> i</w:t>
      </w:r>
      <w:r w:rsidR="00692BF8">
        <w:rPr>
          <w:sz w:val="24"/>
          <w:szCs w:val="24"/>
          <w:highlight w:val="yellow"/>
        </w:rPr>
        <w:t xml:space="preserve">n </w:t>
      </w:r>
      <w:r w:rsidR="00E95CD7">
        <w:rPr>
          <w:sz w:val="24"/>
          <w:szCs w:val="24"/>
          <w:highlight w:val="yellow"/>
        </w:rPr>
        <w:t xml:space="preserve">Clause </w:t>
      </w:r>
      <w:r w:rsidR="00E95CD7" w:rsidRPr="007829CF">
        <w:rPr>
          <w:b/>
          <w:sz w:val="24"/>
          <w:szCs w:val="24"/>
          <w:highlight w:val="yellow"/>
        </w:rPr>
        <w:t>21.15.3</w:t>
      </w:r>
      <w:r w:rsidR="00E95CD7">
        <w:rPr>
          <w:sz w:val="24"/>
          <w:szCs w:val="24"/>
          <w:highlight w:val="yellow"/>
        </w:rPr>
        <w:t xml:space="preserve"> starting from</w:t>
      </w:r>
      <w:r>
        <w:rPr>
          <w:sz w:val="24"/>
          <w:szCs w:val="24"/>
          <w:highlight w:val="yellow"/>
        </w:rPr>
        <w:t xml:space="preserve"> P</w:t>
      </w:r>
      <w:r w:rsidR="00E95CD7">
        <w:rPr>
          <w:sz w:val="24"/>
          <w:szCs w:val="24"/>
          <w:highlight w:val="yellow"/>
        </w:rPr>
        <w:t>284</w:t>
      </w:r>
      <w:r>
        <w:rPr>
          <w:sz w:val="24"/>
          <w:szCs w:val="24"/>
          <w:highlight w:val="yellow"/>
        </w:rPr>
        <w:t>L</w:t>
      </w:r>
      <w:r w:rsidR="00E95CD7">
        <w:rPr>
          <w:sz w:val="24"/>
          <w:szCs w:val="24"/>
          <w:highlight w:val="yellow"/>
        </w:rPr>
        <w:t>54</w:t>
      </w:r>
      <w:r>
        <w:rPr>
          <w:sz w:val="24"/>
          <w:szCs w:val="24"/>
          <w:highlight w:val="yellow"/>
        </w:rPr>
        <w:t xml:space="preserve"> of D1.4:</w:t>
      </w:r>
    </w:p>
    <w:p w:rsidR="00E95CD7" w:rsidRDefault="00E95CD7" w:rsidP="00992C6D">
      <w:pPr>
        <w:autoSpaceDE w:val="0"/>
        <w:autoSpaceDN w:val="0"/>
        <w:adjustRightInd w:val="0"/>
        <w:rPr>
          <w:sz w:val="20"/>
        </w:rPr>
      </w:pPr>
    </w:p>
    <w:p w:rsidR="00E95CD7" w:rsidRPr="00E95CD7" w:rsidRDefault="00E95CD7" w:rsidP="00992C6D">
      <w:pPr>
        <w:autoSpaceDE w:val="0"/>
        <w:autoSpaceDN w:val="0"/>
        <w:adjustRightInd w:val="0"/>
        <w:rPr>
          <w:sz w:val="24"/>
        </w:rPr>
      </w:pPr>
      <w:r w:rsidRPr="00E95CD7">
        <w:rPr>
          <w:sz w:val="24"/>
        </w:rPr>
        <w:t>….</w:t>
      </w:r>
    </w:p>
    <w:p w:rsidR="00E95CD7" w:rsidRDefault="00E95CD7" w:rsidP="00992C6D">
      <w:pPr>
        <w:autoSpaceDE w:val="0"/>
        <w:autoSpaceDN w:val="0"/>
        <w:adjustRightInd w:val="0"/>
        <w:rPr>
          <w:sz w:val="24"/>
        </w:rPr>
      </w:pP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STA may transmit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PPDU with DCM to a peer STA if it has received from the peer STA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Capabilities element with the DCM Rx subfield in the HE PHY Capabilities Information field(#Ed) greater than 0(#5512); otherwise the STA shall not transmit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PPDU with DCM to the peer STA.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STA transmits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TB PPDU with DCM as defined in 27.5.2.3 (STA </w:t>
      </w:r>
      <w:proofErr w:type="spellStart"/>
      <w:r w:rsidRPr="00E95CD7">
        <w:rPr>
          <w:sz w:val="24"/>
        </w:rPr>
        <w:t>behavior</w:t>
      </w:r>
      <w:proofErr w:type="spellEnd"/>
      <w:r w:rsidRPr="00E95CD7">
        <w:rPr>
          <w:sz w:val="24"/>
        </w:rPr>
        <w:t xml:space="preserve"> for UL MU </w:t>
      </w:r>
      <w:proofErr w:type="gramStart"/>
      <w:r w:rsidRPr="00E95CD7">
        <w:rPr>
          <w:sz w:val="24"/>
        </w:rPr>
        <w:t>operation(</w:t>
      </w:r>
      <w:proofErr w:type="gramEnd"/>
      <w:r w:rsidRPr="00E95CD7">
        <w:rPr>
          <w:sz w:val="24"/>
        </w:rPr>
        <w:t># 8151)).</w:t>
      </w:r>
      <w:r>
        <w:rPr>
          <w:sz w:val="24"/>
        </w:rPr>
        <w:t xml:space="preserve"> </w:t>
      </w:r>
      <w:r w:rsidRPr="00E95CD7">
        <w:rPr>
          <w:color w:val="FF0000"/>
          <w:sz w:val="24"/>
          <w:u w:val="single"/>
        </w:rPr>
        <w:t>When sending a Trigger Frame</w:t>
      </w:r>
      <w:r>
        <w:rPr>
          <w:color w:val="FF0000"/>
          <w:sz w:val="24"/>
          <w:u w:val="single"/>
        </w:rPr>
        <w:t>, t</w:t>
      </w:r>
      <w:r w:rsidRPr="00E95CD7">
        <w:rPr>
          <w:color w:val="FF0000"/>
          <w:sz w:val="24"/>
          <w:u w:val="single"/>
        </w:rPr>
        <w:t xml:space="preserve">he </w:t>
      </w:r>
      <w:r>
        <w:rPr>
          <w:color w:val="FF0000"/>
          <w:sz w:val="24"/>
          <w:u w:val="single"/>
        </w:rPr>
        <w:t xml:space="preserve">HE </w:t>
      </w:r>
      <w:r w:rsidRPr="00E95CD7">
        <w:rPr>
          <w:color w:val="FF0000"/>
          <w:sz w:val="24"/>
          <w:u w:val="single"/>
        </w:rPr>
        <w:t>AP shall not se</w:t>
      </w:r>
      <w:r>
        <w:rPr>
          <w:color w:val="FF0000"/>
          <w:sz w:val="24"/>
          <w:u w:val="single"/>
        </w:rPr>
        <w:t xml:space="preserve">t the DCM subfield of User Info field in the Trigger Frame to 1 if the destination </w:t>
      </w:r>
      <w:r w:rsidR="00997D90">
        <w:rPr>
          <w:color w:val="FF0000"/>
          <w:sz w:val="24"/>
          <w:u w:val="single"/>
        </w:rPr>
        <w:t xml:space="preserve">HE </w:t>
      </w:r>
      <w:r>
        <w:rPr>
          <w:color w:val="FF0000"/>
          <w:sz w:val="24"/>
          <w:u w:val="single"/>
        </w:rPr>
        <w:t xml:space="preserve">non-AP STA sets </w:t>
      </w:r>
      <w:r w:rsidRPr="00E95CD7">
        <w:rPr>
          <w:color w:val="FF0000"/>
          <w:sz w:val="24"/>
          <w:szCs w:val="24"/>
          <w:u w:val="single"/>
        </w:rPr>
        <w:t xml:space="preserve">the DCM Max Constellation </w:t>
      </w:r>
      <w:proofErr w:type="spellStart"/>
      <w:r w:rsidRPr="00E95CD7">
        <w:rPr>
          <w:color w:val="FF0000"/>
          <w:sz w:val="24"/>
          <w:szCs w:val="24"/>
          <w:u w:val="single"/>
        </w:rPr>
        <w:t>Tx</w:t>
      </w:r>
      <w:proofErr w:type="spellEnd"/>
      <w:r w:rsidRPr="00E95CD7">
        <w:rPr>
          <w:color w:val="FF0000"/>
          <w:sz w:val="24"/>
          <w:szCs w:val="24"/>
          <w:u w:val="single"/>
        </w:rPr>
        <w:t xml:space="preserve"> field to 0 in the HE PHY Capabilities Information field</w:t>
      </w:r>
      <w:r>
        <w:rPr>
          <w:color w:val="FF0000"/>
          <w:sz w:val="24"/>
          <w:szCs w:val="24"/>
          <w:u w:val="single"/>
        </w:rPr>
        <w:t>.</w:t>
      </w:r>
    </w:p>
    <w:p w:rsidR="00E95CD7" w:rsidRDefault="00E95CD7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164A25" w:rsidRDefault="00164A25" w:rsidP="00164A25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 xml:space="preserve">e in </w:t>
      </w:r>
      <w:r w:rsidRPr="00164A25">
        <w:rPr>
          <w:b/>
          <w:bCs/>
          <w:sz w:val="24"/>
          <w:highlight w:val="yellow"/>
        </w:rPr>
        <w:t xml:space="preserve">Table 28-1—TXVECTOR and RXVECTOR parameters </w:t>
      </w:r>
      <w:r>
        <w:rPr>
          <w:sz w:val="24"/>
          <w:szCs w:val="24"/>
          <w:highlight w:val="yellow"/>
        </w:rPr>
        <w:t>starting from P302L10 of D1.4:</w:t>
      </w:r>
    </w:p>
    <w:p w:rsidR="00997D90" w:rsidRDefault="00997D90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tbl>
      <w:tblPr>
        <w:tblStyle w:val="TableGrid"/>
        <w:tblW w:w="9665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593"/>
        <w:gridCol w:w="2271"/>
        <w:gridCol w:w="5836"/>
        <w:gridCol w:w="511"/>
        <w:gridCol w:w="454"/>
      </w:tblGrid>
      <w:tr w:rsidR="00997D90" w:rsidTr="00E02D94">
        <w:trPr>
          <w:cantSplit/>
          <w:trHeight w:val="1134"/>
        </w:trPr>
        <w:tc>
          <w:tcPr>
            <w:tcW w:w="593" w:type="dxa"/>
            <w:vMerge w:val="restart"/>
            <w:textDirection w:val="btLr"/>
          </w:tcPr>
          <w:p w:rsidR="00997D90" w:rsidRPr="00997D90" w:rsidRDefault="00997D90" w:rsidP="00E02D94">
            <w:pPr>
              <w:ind w:left="113" w:right="113"/>
              <w:jc w:val="center"/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rFonts w:eastAsiaTheme="minorEastAsia" w:hint="eastAsia"/>
                <w:bCs/>
                <w:iCs/>
                <w:sz w:val="24"/>
                <w:szCs w:val="24"/>
                <w:lang w:val="en-US" w:eastAsia="zh-CN"/>
              </w:rPr>
              <w:t>DCM</w:t>
            </w:r>
          </w:p>
        </w:tc>
        <w:tc>
          <w:tcPr>
            <w:tcW w:w="2271" w:type="dxa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sz w:val="24"/>
                <w:szCs w:val="24"/>
              </w:rPr>
              <w:t>FORMAT is HE_SU, HE_MU, HE_EXT_SU or HE_TRIG</w:t>
            </w:r>
          </w:p>
        </w:tc>
        <w:tc>
          <w:tcPr>
            <w:tcW w:w="5836" w:type="dxa"/>
          </w:tcPr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Set to 1 to indicate that dual carrier modulation is used for the HE-Data field.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Set to 0 to indicate that dual carrier modulation is not used for the HE-Data field.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NOTE—DCM is only applied to MCS0, MCS1, MCS3 and MCS4.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DCM is only applied to 1 and 2 spatial streams. </w:t>
            </w:r>
          </w:p>
          <w:p w:rsidR="00997D90" w:rsidRPr="00997D90" w:rsidRDefault="00997D90" w:rsidP="00E02D94">
            <w:pPr>
              <w:rPr>
                <w:strike/>
                <w:color w:val="FF0000"/>
                <w:sz w:val="24"/>
                <w:szCs w:val="24"/>
              </w:rPr>
            </w:pPr>
            <w:r w:rsidRPr="00997D90">
              <w:rPr>
                <w:strike/>
                <w:color w:val="FF0000"/>
                <w:sz w:val="24"/>
                <w:szCs w:val="24"/>
              </w:rPr>
              <w:t xml:space="preserve">DCM is only applied to HE SU PPDU, HE extend range SU PPDU, and SU RUs in HE MU PPDU.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DCM is not applied to MU-MIMO. </w:t>
            </w:r>
          </w:p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sz w:val="24"/>
                <w:szCs w:val="24"/>
              </w:rPr>
              <w:t>DCM is not applied to STBC.</w:t>
            </w:r>
          </w:p>
        </w:tc>
        <w:tc>
          <w:tcPr>
            <w:tcW w:w="511" w:type="dxa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rFonts w:eastAsiaTheme="minorEastAsia" w:hint="eastAsia"/>
                <w:bCs/>
                <w:iCs/>
                <w:sz w:val="24"/>
                <w:szCs w:val="24"/>
                <w:lang w:val="en-US" w:eastAsia="zh-CN"/>
              </w:rPr>
              <w:t>MU</w:t>
            </w:r>
          </w:p>
        </w:tc>
        <w:tc>
          <w:tcPr>
            <w:tcW w:w="454" w:type="dxa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rFonts w:eastAsiaTheme="minorEastAsia" w:hint="eastAsia"/>
                <w:bCs/>
                <w:iCs/>
                <w:sz w:val="24"/>
                <w:szCs w:val="24"/>
                <w:lang w:val="en-US" w:eastAsia="zh-CN"/>
              </w:rPr>
              <w:t>MU</w:t>
            </w:r>
          </w:p>
        </w:tc>
      </w:tr>
      <w:tr w:rsidR="00997D90" w:rsidTr="00E02D94">
        <w:trPr>
          <w:cantSplit/>
          <w:trHeight w:val="629"/>
        </w:trPr>
        <w:tc>
          <w:tcPr>
            <w:tcW w:w="593" w:type="dxa"/>
            <w:vMerge/>
            <w:textDirection w:val="btLr"/>
          </w:tcPr>
          <w:p w:rsidR="00997D90" w:rsidRPr="00997D90" w:rsidRDefault="00997D90" w:rsidP="00E02D94">
            <w:pPr>
              <w:ind w:left="113" w:right="113"/>
              <w:jc w:val="center"/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271" w:type="dxa"/>
          </w:tcPr>
          <w:p w:rsidR="00997D90" w:rsidRPr="00997D90" w:rsidRDefault="00997D90" w:rsidP="00E02D94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997D90">
              <w:rPr>
                <w:rFonts w:eastAsiaTheme="minorEastAsia" w:hint="eastAsia"/>
                <w:sz w:val="24"/>
                <w:szCs w:val="24"/>
                <w:lang w:eastAsia="zh-CN"/>
              </w:rPr>
              <w:t>Otherwise</w:t>
            </w:r>
          </w:p>
        </w:tc>
        <w:tc>
          <w:tcPr>
            <w:tcW w:w="6801" w:type="dxa"/>
            <w:gridSpan w:val="3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color w:val="0070C0"/>
                <w:sz w:val="24"/>
                <w:szCs w:val="24"/>
                <w:u w:val="single"/>
                <w:lang w:val="en-US" w:eastAsia="zh-CN"/>
              </w:rPr>
            </w:pPr>
            <w:r w:rsidRPr="00997D90">
              <w:rPr>
                <w:sz w:val="24"/>
                <w:szCs w:val="24"/>
              </w:rPr>
              <w:t>See corresponding entry in Table 21-1 (TXVECTOR and RXVECTOR parameters).</w:t>
            </w:r>
          </w:p>
        </w:tc>
      </w:tr>
    </w:tbl>
    <w:p w:rsidR="00B9769B" w:rsidRDefault="00B9769B" w:rsidP="007F2A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7080D" w:rsidRDefault="00F7080D" w:rsidP="007F2A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7080D" w:rsidRDefault="00F7080D" w:rsidP="007F2A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7080D" w:rsidRDefault="00F7080D" w:rsidP="007F2A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7080D" w:rsidRDefault="00F7080D" w:rsidP="007F2A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7F2AF6" w:rsidRDefault="007F2AF6" w:rsidP="007F2AF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 in</w:t>
      </w:r>
      <w:r w:rsidR="0087327A">
        <w:rPr>
          <w:sz w:val="24"/>
          <w:szCs w:val="24"/>
          <w:highlight w:val="yellow"/>
        </w:rPr>
        <w:t xml:space="preserve"> Clause </w:t>
      </w:r>
      <w:r w:rsidR="0087327A" w:rsidRPr="0087327A">
        <w:rPr>
          <w:b/>
          <w:sz w:val="24"/>
          <w:szCs w:val="24"/>
          <w:highlight w:val="yellow"/>
        </w:rPr>
        <w:t xml:space="preserve">28.3.7 </w:t>
      </w:r>
      <w:r>
        <w:rPr>
          <w:sz w:val="24"/>
          <w:szCs w:val="24"/>
          <w:highlight w:val="yellow"/>
        </w:rPr>
        <w:t>starting from P3</w:t>
      </w:r>
      <w:r w:rsidR="0087327A">
        <w:rPr>
          <w:sz w:val="24"/>
          <w:szCs w:val="24"/>
          <w:highlight w:val="yellow"/>
        </w:rPr>
        <w:t>49</w:t>
      </w:r>
      <w:r>
        <w:rPr>
          <w:sz w:val="24"/>
          <w:szCs w:val="24"/>
          <w:highlight w:val="yellow"/>
        </w:rPr>
        <w:t>L</w:t>
      </w:r>
      <w:r w:rsidR="0087327A">
        <w:rPr>
          <w:sz w:val="24"/>
          <w:szCs w:val="24"/>
          <w:highlight w:val="yellow"/>
        </w:rPr>
        <w:t>26</w:t>
      </w:r>
      <w:r>
        <w:rPr>
          <w:sz w:val="24"/>
          <w:szCs w:val="24"/>
          <w:highlight w:val="yellow"/>
        </w:rPr>
        <w:t xml:space="preserve"> of D1.4: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7F2AF6" w:rsidRDefault="007829CF" w:rsidP="00992C6D">
      <w:pPr>
        <w:autoSpaceDE w:val="0"/>
        <w:autoSpaceDN w:val="0"/>
        <w:adjustRightInd w:val="0"/>
        <w:rPr>
          <w:sz w:val="24"/>
          <w:szCs w:val="24"/>
        </w:rPr>
      </w:pPr>
      <w:r w:rsidRPr="007829CF">
        <w:rPr>
          <w:sz w:val="24"/>
          <w:szCs w:val="24"/>
        </w:rPr>
        <w:t>….</w:t>
      </w:r>
    </w:p>
    <w:p w:rsidR="007829CF" w:rsidRPr="007829CF" w:rsidRDefault="007829CF" w:rsidP="00992C6D">
      <w:pPr>
        <w:autoSpaceDE w:val="0"/>
        <w:autoSpaceDN w:val="0"/>
        <w:adjustRightInd w:val="0"/>
        <w:rPr>
          <w:sz w:val="32"/>
          <w:szCs w:val="24"/>
        </w:rPr>
      </w:pPr>
      <w:r w:rsidRPr="007829CF">
        <w:rPr>
          <w:sz w:val="24"/>
        </w:rPr>
        <w:t xml:space="preserve">DCM is an optional modulation scheme used for the HE-SIG-B field and the Data field in an HE PPDU. The use of DCM for the HE-SIG-B field in an HE MU PPDU is indicated in the HE-SIG-A field. The use of DCM on the Data field of an HE SU PPDU, </w:t>
      </w:r>
      <w:r w:rsidRPr="007829CF">
        <w:rPr>
          <w:color w:val="FF0000"/>
          <w:sz w:val="24"/>
          <w:u w:val="single"/>
        </w:rPr>
        <w:t>and</w:t>
      </w:r>
      <w:r>
        <w:rPr>
          <w:sz w:val="24"/>
        </w:rPr>
        <w:t xml:space="preserve"> </w:t>
      </w:r>
      <w:r w:rsidRPr="007829CF">
        <w:rPr>
          <w:sz w:val="24"/>
        </w:rPr>
        <w:t xml:space="preserve">HE ER SU PPDU </w:t>
      </w:r>
      <w:r w:rsidRPr="007829CF">
        <w:rPr>
          <w:strike/>
          <w:color w:val="FF0000"/>
          <w:sz w:val="24"/>
        </w:rPr>
        <w:t xml:space="preserve">and HE TB </w:t>
      </w:r>
      <w:proofErr w:type="gramStart"/>
      <w:r w:rsidRPr="007829CF">
        <w:rPr>
          <w:strike/>
          <w:color w:val="FF0000"/>
          <w:sz w:val="24"/>
        </w:rPr>
        <w:t>PPDU(</w:t>
      </w:r>
      <w:proofErr w:type="gramEnd"/>
      <w:r w:rsidRPr="007829CF">
        <w:rPr>
          <w:strike/>
          <w:color w:val="FF0000"/>
          <w:sz w:val="24"/>
        </w:rPr>
        <w:t>#6840)</w:t>
      </w:r>
      <w:r w:rsidRPr="007829CF">
        <w:rPr>
          <w:sz w:val="24"/>
        </w:rPr>
        <w:t xml:space="preserve"> is indicated in the HE-SIG-A field. The use of DCM in the Data field of an HE MU PPDU is indicated in the HE-SIG-B field. DCM is only applied for the HE-MCSs and HE-SIG-B-MCSs with indices 0, 1, 3 and 4</w:t>
      </w:r>
      <w:proofErr w:type="gramStart"/>
      <w:r w:rsidRPr="007829CF">
        <w:rPr>
          <w:sz w:val="24"/>
        </w:rPr>
        <w:t>.(</w:t>
      </w:r>
      <w:proofErr w:type="gramEnd"/>
      <w:r w:rsidRPr="007829CF">
        <w:rPr>
          <w:sz w:val="24"/>
        </w:rPr>
        <w:t>#5300, #8862)</w:t>
      </w:r>
    </w:p>
    <w:p w:rsidR="007829CF" w:rsidRDefault="007829CF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F35E80" w:rsidRDefault="00F35E80" w:rsidP="00F35E80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 xml:space="preserve">e in Clause </w:t>
      </w:r>
      <w:r w:rsidRPr="0087327A">
        <w:rPr>
          <w:b/>
          <w:sz w:val="24"/>
          <w:szCs w:val="24"/>
          <w:highlight w:val="yellow"/>
        </w:rPr>
        <w:t>28.3.</w:t>
      </w:r>
      <w:r>
        <w:rPr>
          <w:b/>
          <w:sz w:val="24"/>
          <w:szCs w:val="24"/>
          <w:highlight w:val="yellow"/>
        </w:rPr>
        <w:t>11.9</w:t>
      </w:r>
      <w:r w:rsidRPr="0087327A">
        <w:rPr>
          <w:b/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starting from P426L1 of D1.4:</w:t>
      </w:r>
    </w:p>
    <w:p w:rsidR="007F2AF6" w:rsidRDefault="00F35E80" w:rsidP="00992C6D">
      <w:pPr>
        <w:autoSpaceDE w:val="0"/>
        <w:autoSpaceDN w:val="0"/>
        <w:adjustRightInd w:val="0"/>
        <w:rPr>
          <w:sz w:val="24"/>
          <w:szCs w:val="24"/>
        </w:rPr>
      </w:pPr>
      <w:r w:rsidRPr="00F35E80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:rsidR="00F35E80" w:rsidRPr="00F35E80" w:rsidRDefault="00F35E80" w:rsidP="00992C6D">
      <w:pPr>
        <w:autoSpaceDE w:val="0"/>
        <w:autoSpaceDN w:val="0"/>
        <w:adjustRightInd w:val="0"/>
        <w:rPr>
          <w:sz w:val="32"/>
          <w:szCs w:val="24"/>
        </w:rPr>
      </w:pPr>
      <w:r w:rsidRPr="00F35E80">
        <w:rPr>
          <w:sz w:val="24"/>
        </w:rPr>
        <w:t>Dual subcarrier modulation (DCM) is an optional modulation scheme for the HE-SIG-B and Data fields. DCM can be applied to an HE SU PPDU and an HE ER SU PPDU. In an HE MU PPDU</w:t>
      </w:r>
      <w:r>
        <w:rPr>
          <w:sz w:val="24"/>
        </w:rPr>
        <w:t xml:space="preserve"> </w:t>
      </w:r>
      <w:r w:rsidRPr="00F35E80">
        <w:rPr>
          <w:color w:val="FF0000"/>
          <w:sz w:val="24"/>
          <w:u w:val="single"/>
        </w:rPr>
        <w:t>or an HE TB PPDU</w:t>
      </w:r>
      <w:r w:rsidRPr="00F35E80">
        <w:rPr>
          <w:sz w:val="24"/>
        </w:rPr>
        <w:t>, DCM can be applied only to RUs containing data for 1 user.</w:t>
      </w:r>
    </w:p>
    <w:sectPr w:rsidR="00F35E80" w:rsidRPr="00F35E80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1E" w:rsidRDefault="0025651E">
      <w:r>
        <w:separator/>
      </w:r>
    </w:p>
  </w:endnote>
  <w:endnote w:type="continuationSeparator" w:id="0">
    <w:p w:rsidR="0025651E" w:rsidRDefault="0025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DF65D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3514B3">
      <w:rPr>
        <w:noProof/>
        <w:lang w:val="fr-FR"/>
      </w:rPr>
      <w:t>3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 xml:space="preserve">, et. </w:t>
    </w:r>
    <w:proofErr w:type="gramStart"/>
    <w:r w:rsidRPr="00EF1A28">
      <w:rPr>
        <w:lang w:val="fr-FR"/>
      </w:rPr>
      <w:t>al</w:t>
    </w:r>
    <w:proofErr w:type="gramEnd"/>
    <w:r w:rsidRPr="00EF1A28">
      <w:rPr>
        <w:lang w:val="fr-FR"/>
      </w:rPr>
      <w:t>.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1E" w:rsidRDefault="0025651E">
      <w:r>
        <w:separator/>
      </w:r>
    </w:p>
  </w:footnote>
  <w:footnote w:type="continuationSeparator" w:id="0">
    <w:p w:rsidR="0025651E" w:rsidRDefault="00256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DF65D7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Sept, 201</w:t>
    </w:r>
    <w:r>
      <w:rPr>
        <w:rFonts w:hint="eastAsia"/>
        <w:lang w:eastAsia="zh-CN"/>
      </w:rPr>
      <w:t>7</w:t>
    </w:r>
    <w:r>
      <w:tab/>
    </w:r>
    <w:r>
      <w:tab/>
    </w:r>
    <w:fldSimple w:instr=" TITLE  \* MERGEFORMAT ">
      <w:r>
        <w:t>doc.: IEEE 802.11-17</w:t>
      </w:r>
      <w:r>
        <w:rPr>
          <w:lang w:eastAsia="zh-CN"/>
        </w:rPr>
        <w:t>/</w:t>
      </w:r>
    </w:fldSimple>
    <w:r>
      <w:t>1381r</w:t>
    </w:r>
    <w:r w:rsidR="003514B3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1E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14B3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1D7B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1CC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28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uicao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ngyuan@marvel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9348CEE-0F07-47F8-93E7-9D6A1702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5297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3</cp:revision>
  <cp:lastPrinted>2013-12-02T17:26:00Z</cp:lastPrinted>
  <dcterms:created xsi:type="dcterms:W3CDTF">2017-09-12T07:20:00Z</dcterms:created>
  <dcterms:modified xsi:type="dcterms:W3CDTF">2017-09-12T07:21:00Z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