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66B" w:rsidRDefault="004B566B" w:rsidP="004B566B">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1449"/>
        <w:gridCol w:w="1352"/>
        <w:gridCol w:w="1881"/>
        <w:gridCol w:w="3205"/>
      </w:tblGrid>
      <w:tr w:rsidR="004B566B" w:rsidTr="00F62D3E">
        <w:trPr>
          <w:trHeight w:val="485"/>
          <w:jc w:val="center"/>
        </w:trPr>
        <w:tc>
          <w:tcPr>
            <w:tcW w:w="5000" w:type="pct"/>
            <w:gridSpan w:val="5"/>
            <w:vAlign w:val="center"/>
          </w:tcPr>
          <w:p w:rsidR="004B566B" w:rsidRDefault="004B566B" w:rsidP="00F62D3E">
            <w:pPr>
              <w:pStyle w:val="T2"/>
            </w:pPr>
            <w:r>
              <w:t>Resolution to 11ay related CIDs</w:t>
            </w:r>
          </w:p>
        </w:tc>
      </w:tr>
      <w:tr w:rsidR="004B566B" w:rsidTr="00F62D3E">
        <w:trPr>
          <w:trHeight w:val="359"/>
          <w:jc w:val="center"/>
        </w:trPr>
        <w:tc>
          <w:tcPr>
            <w:tcW w:w="5000" w:type="pct"/>
            <w:gridSpan w:val="5"/>
            <w:vAlign w:val="center"/>
          </w:tcPr>
          <w:p w:rsidR="004B566B" w:rsidRDefault="004B566B" w:rsidP="00F62D3E">
            <w:pPr>
              <w:pStyle w:val="T2"/>
              <w:ind w:left="0"/>
              <w:rPr>
                <w:sz w:val="20"/>
              </w:rPr>
            </w:pPr>
            <w:r>
              <w:rPr>
                <w:sz w:val="20"/>
              </w:rPr>
              <w:t>Date:</w:t>
            </w:r>
            <w:r w:rsidR="00452B17">
              <w:rPr>
                <w:b w:val="0"/>
                <w:sz w:val="20"/>
              </w:rPr>
              <w:t xml:space="preserve">  2017-09-12</w:t>
            </w:r>
          </w:p>
        </w:tc>
      </w:tr>
      <w:tr w:rsidR="004B566B" w:rsidTr="00F62D3E">
        <w:trPr>
          <w:cantSplit/>
          <w:jc w:val="center"/>
        </w:trPr>
        <w:tc>
          <w:tcPr>
            <w:tcW w:w="5000" w:type="pct"/>
            <w:gridSpan w:val="5"/>
            <w:vAlign w:val="center"/>
          </w:tcPr>
          <w:p w:rsidR="004B566B" w:rsidRDefault="004B566B" w:rsidP="00F62D3E">
            <w:pPr>
              <w:pStyle w:val="T2"/>
              <w:spacing w:after="0"/>
              <w:ind w:left="0" w:right="0"/>
              <w:jc w:val="left"/>
              <w:rPr>
                <w:sz w:val="20"/>
              </w:rPr>
            </w:pPr>
            <w:r>
              <w:rPr>
                <w:sz w:val="20"/>
              </w:rPr>
              <w:t>Author(s):</w:t>
            </w:r>
          </w:p>
        </w:tc>
      </w:tr>
      <w:tr w:rsidR="004B566B" w:rsidTr="00F62D3E">
        <w:trPr>
          <w:jc w:val="center"/>
        </w:trPr>
        <w:tc>
          <w:tcPr>
            <w:tcW w:w="782" w:type="pct"/>
            <w:vAlign w:val="center"/>
          </w:tcPr>
          <w:p w:rsidR="004B566B" w:rsidRDefault="004B566B" w:rsidP="00F62D3E">
            <w:pPr>
              <w:pStyle w:val="T2"/>
              <w:spacing w:after="0"/>
              <w:ind w:left="0" w:right="0"/>
              <w:jc w:val="left"/>
              <w:rPr>
                <w:sz w:val="20"/>
              </w:rPr>
            </w:pPr>
            <w:r>
              <w:rPr>
                <w:sz w:val="20"/>
              </w:rPr>
              <w:t>Name</w:t>
            </w:r>
          </w:p>
        </w:tc>
        <w:tc>
          <w:tcPr>
            <w:tcW w:w="775" w:type="pct"/>
            <w:vAlign w:val="center"/>
          </w:tcPr>
          <w:p w:rsidR="004B566B" w:rsidRDefault="004B566B" w:rsidP="00F62D3E">
            <w:pPr>
              <w:pStyle w:val="T2"/>
              <w:spacing w:after="0"/>
              <w:ind w:left="0" w:right="0"/>
              <w:jc w:val="left"/>
              <w:rPr>
                <w:sz w:val="20"/>
              </w:rPr>
            </w:pPr>
            <w:r>
              <w:rPr>
                <w:sz w:val="20"/>
              </w:rPr>
              <w:t>Company</w:t>
            </w:r>
          </w:p>
        </w:tc>
        <w:tc>
          <w:tcPr>
            <w:tcW w:w="723" w:type="pct"/>
            <w:vAlign w:val="center"/>
          </w:tcPr>
          <w:p w:rsidR="004B566B" w:rsidRDefault="004B566B" w:rsidP="00F62D3E">
            <w:pPr>
              <w:pStyle w:val="T2"/>
              <w:spacing w:after="0"/>
              <w:ind w:left="0" w:right="0"/>
              <w:jc w:val="left"/>
              <w:rPr>
                <w:sz w:val="20"/>
              </w:rPr>
            </w:pPr>
            <w:r>
              <w:rPr>
                <w:sz w:val="20"/>
              </w:rPr>
              <w:t>Address</w:t>
            </w:r>
          </w:p>
        </w:tc>
        <w:tc>
          <w:tcPr>
            <w:tcW w:w="1006" w:type="pct"/>
            <w:vAlign w:val="center"/>
          </w:tcPr>
          <w:p w:rsidR="004B566B" w:rsidRDefault="004B566B" w:rsidP="00F62D3E">
            <w:pPr>
              <w:pStyle w:val="T2"/>
              <w:spacing w:after="0"/>
              <w:ind w:left="0" w:right="0"/>
              <w:jc w:val="left"/>
              <w:rPr>
                <w:sz w:val="20"/>
              </w:rPr>
            </w:pPr>
            <w:r>
              <w:rPr>
                <w:sz w:val="20"/>
              </w:rPr>
              <w:t>Phone</w:t>
            </w:r>
          </w:p>
        </w:tc>
        <w:tc>
          <w:tcPr>
            <w:tcW w:w="1714" w:type="pct"/>
            <w:vAlign w:val="center"/>
          </w:tcPr>
          <w:p w:rsidR="004B566B" w:rsidRDefault="004B566B" w:rsidP="00F62D3E">
            <w:pPr>
              <w:pStyle w:val="T2"/>
              <w:spacing w:after="0"/>
              <w:ind w:left="0" w:right="0"/>
              <w:jc w:val="left"/>
              <w:rPr>
                <w:sz w:val="20"/>
              </w:rPr>
            </w:pPr>
            <w:r>
              <w:rPr>
                <w:sz w:val="20"/>
              </w:rPr>
              <w:t>email</w:t>
            </w:r>
          </w:p>
        </w:tc>
      </w:tr>
      <w:tr w:rsidR="004B566B" w:rsidTr="00F62D3E">
        <w:trPr>
          <w:jc w:val="center"/>
        </w:trPr>
        <w:tc>
          <w:tcPr>
            <w:tcW w:w="782" w:type="pct"/>
            <w:vAlign w:val="center"/>
          </w:tcPr>
          <w:p w:rsidR="004B566B" w:rsidRDefault="004B566B" w:rsidP="00F62D3E">
            <w:pPr>
              <w:pStyle w:val="T2"/>
              <w:spacing w:after="0"/>
              <w:ind w:left="0" w:right="0"/>
              <w:rPr>
                <w:b w:val="0"/>
                <w:sz w:val="20"/>
              </w:rPr>
            </w:pPr>
            <w:r>
              <w:rPr>
                <w:b w:val="0"/>
                <w:sz w:val="20"/>
              </w:rPr>
              <w:t>Cheng Chen</w:t>
            </w:r>
          </w:p>
        </w:tc>
        <w:tc>
          <w:tcPr>
            <w:tcW w:w="775" w:type="pct"/>
            <w:vAlign w:val="center"/>
          </w:tcPr>
          <w:p w:rsidR="004B566B" w:rsidRDefault="004B566B" w:rsidP="00F62D3E">
            <w:pPr>
              <w:pStyle w:val="T2"/>
              <w:spacing w:after="0"/>
              <w:ind w:left="0" w:right="0"/>
              <w:rPr>
                <w:b w:val="0"/>
                <w:sz w:val="20"/>
              </w:rPr>
            </w:pPr>
            <w:r>
              <w:rPr>
                <w:b w:val="0"/>
                <w:sz w:val="20"/>
              </w:rPr>
              <w:t>Intel</w:t>
            </w:r>
          </w:p>
        </w:tc>
        <w:tc>
          <w:tcPr>
            <w:tcW w:w="723" w:type="pct"/>
            <w:vAlign w:val="center"/>
          </w:tcPr>
          <w:p w:rsidR="004B566B" w:rsidRDefault="004B566B" w:rsidP="00F62D3E">
            <w:pPr>
              <w:pStyle w:val="T2"/>
              <w:spacing w:after="0"/>
              <w:ind w:left="0" w:right="0"/>
              <w:rPr>
                <w:b w:val="0"/>
                <w:sz w:val="20"/>
              </w:rPr>
            </w:pPr>
          </w:p>
        </w:tc>
        <w:tc>
          <w:tcPr>
            <w:tcW w:w="1006" w:type="pct"/>
            <w:vAlign w:val="center"/>
          </w:tcPr>
          <w:p w:rsidR="004B566B" w:rsidRDefault="004B566B" w:rsidP="00F62D3E">
            <w:pPr>
              <w:pStyle w:val="T2"/>
              <w:spacing w:after="0"/>
              <w:ind w:left="0" w:right="0"/>
              <w:rPr>
                <w:b w:val="0"/>
                <w:sz w:val="20"/>
              </w:rPr>
            </w:pPr>
          </w:p>
        </w:tc>
        <w:tc>
          <w:tcPr>
            <w:tcW w:w="1714" w:type="pct"/>
            <w:vAlign w:val="center"/>
          </w:tcPr>
          <w:p w:rsidR="004B566B" w:rsidRDefault="004B566B" w:rsidP="00F62D3E">
            <w:pPr>
              <w:pStyle w:val="T2"/>
              <w:spacing w:after="0"/>
              <w:ind w:left="0" w:right="0"/>
              <w:rPr>
                <w:b w:val="0"/>
                <w:sz w:val="16"/>
              </w:rPr>
            </w:pPr>
            <w:r w:rsidRPr="00A32863">
              <w:rPr>
                <w:sz w:val="16"/>
              </w:rPr>
              <w:t>cheng.chen@intel.com</w:t>
            </w:r>
          </w:p>
        </w:tc>
      </w:tr>
    </w:tbl>
    <w:p w:rsidR="004B566B" w:rsidRDefault="004B566B" w:rsidP="004B566B">
      <w:pPr>
        <w:pStyle w:val="T1"/>
        <w:spacing w:after="120"/>
        <w:rPr>
          <w:sz w:val="22"/>
        </w:rPr>
      </w:pPr>
    </w:p>
    <w:p w:rsidR="004B566B" w:rsidRDefault="004B566B" w:rsidP="004B566B"/>
    <w:p w:rsidR="004B566B" w:rsidRDefault="004B566B" w:rsidP="004B566B"/>
    <w:p w:rsidR="004B566B" w:rsidRDefault="004B566B" w:rsidP="004B566B"/>
    <w:p w:rsidR="004B566B" w:rsidRDefault="004B566B" w:rsidP="004B566B">
      <w:r>
        <w:rPr>
          <w:noProof/>
          <w:lang w:val="en-US" w:eastAsia="zh-CN"/>
        </w:rPr>
        <mc:AlternateContent>
          <mc:Choice Requires="wps">
            <w:drawing>
              <wp:anchor distT="0" distB="0" distL="114300" distR="114300" simplePos="0" relativeHeight="251659264" behindDoc="0" locked="0" layoutInCell="0" allowOverlap="1" wp14:anchorId="08220F8D" wp14:editId="1DBB44DB">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566B" w:rsidRDefault="004B566B" w:rsidP="004B566B">
                            <w:pPr>
                              <w:pStyle w:val="T1"/>
                              <w:spacing w:after="120"/>
                            </w:pPr>
                            <w:r>
                              <w:t>Abstract</w:t>
                            </w:r>
                          </w:p>
                          <w:p w:rsidR="004B566B" w:rsidRDefault="004B566B" w:rsidP="004B566B">
                            <w:pPr>
                              <w:jc w:val="both"/>
                            </w:pPr>
                            <w:r>
                              <w:t>This submission proposes a resolution to several CIDs submitted on the 11ay draft text. These CIDs include: 179, 266, 314, 355, 384, 455, 491, 494, and 541.</w:t>
                            </w:r>
                          </w:p>
                          <w:p w:rsidR="004B566B" w:rsidRDefault="004B566B" w:rsidP="004B566B">
                            <w:pPr>
                              <w:jc w:val="both"/>
                            </w:pPr>
                          </w:p>
                          <w:p w:rsidR="004B566B" w:rsidRDefault="004B566B" w:rsidP="004B566B">
                            <w:pPr>
                              <w:jc w:val="both"/>
                            </w:pPr>
                            <w:r>
                              <w:t>The discussion is in reference to Draft IEEE P802.11ay/D0.3.</w:t>
                            </w:r>
                          </w:p>
                          <w:p w:rsidR="004B566B" w:rsidRPr="00E24EF1" w:rsidRDefault="004B566B" w:rsidP="004B566B">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20F8D"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4B566B" w:rsidRDefault="004B566B" w:rsidP="004B566B">
                      <w:pPr>
                        <w:pStyle w:val="T1"/>
                        <w:spacing w:after="120"/>
                      </w:pPr>
                      <w:r>
                        <w:t>Abstract</w:t>
                      </w:r>
                    </w:p>
                    <w:p w:rsidR="004B566B" w:rsidRDefault="004B566B" w:rsidP="004B566B">
                      <w:pPr>
                        <w:jc w:val="both"/>
                      </w:pPr>
                      <w:r>
                        <w:t>This submission proposes a resolution to several CIDs submitted on the 11ay draft text. These CIDs include: 179, 266, 314, 355, 384, 455, 491, 494, and 541.</w:t>
                      </w:r>
                    </w:p>
                    <w:p w:rsidR="004B566B" w:rsidRDefault="004B566B" w:rsidP="004B566B">
                      <w:pPr>
                        <w:jc w:val="both"/>
                      </w:pPr>
                    </w:p>
                    <w:p w:rsidR="004B566B" w:rsidRDefault="004B566B" w:rsidP="004B566B">
                      <w:pPr>
                        <w:jc w:val="both"/>
                      </w:pPr>
                      <w:r>
                        <w:t>The discussion is in reference to Draft IEEE P802.11ay/D0.3.</w:t>
                      </w:r>
                    </w:p>
                    <w:p w:rsidR="004B566B" w:rsidRPr="00E24EF1" w:rsidRDefault="004B566B" w:rsidP="004B566B">
                      <w:pPr>
                        <w:jc w:val="both"/>
                        <w:rPr>
                          <w:szCs w:val="22"/>
                        </w:rPr>
                      </w:pPr>
                    </w:p>
                  </w:txbxContent>
                </v:textbox>
              </v:shape>
            </w:pict>
          </mc:Fallback>
        </mc:AlternateContent>
      </w:r>
    </w:p>
    <w:p w:rsidR="004B566B" w:rsidRDefault="004B566B" w:rsidP="004B566B"/>
    <w:p w:rsidR="004B566B" w:rsidRDefault="004B566B" w:rsidP="004B566B"/>
    <w:p w:rsidR="004B566B" w:rsidRDefault="004B566B" w:rsidP="004B566B"/>
    <w:p w:rsidR="004B566B" w:rsidRPr="007E1075" w:rsidRDefault="004B566B" w:rsidP="004B566B">
      <w:pPr>
        <w:rPr>
          <w:b/>
          <w:bCs/>
          <w:iCs/>
          <w:noProof/>
          <w:snapToGrid w:val="0"/>
          <w:color w:val="993300"/>
          <w:sz w:val="20"/>
          <w:lang w:val="en-US" w:eastAsia="ko-KR"/>
        </w:rPr>
      </w:pPr>
      <w:r>
        <w:rPr>
          <w:b/>
          <w:bCs/>
          <w:i/>
          <w:iCs/>
          <w:color w:val="993300"/>
        </w:rPr>
        <w:br w:type="page"/>
      </w:r>
    </w:p>
    <w:tbl>
      <w:tblPr>
        <w:tblStyle w:val="TableGrid"/>
        <w:tblW w:w="9209" w:type="dxa"/>
        <w:tblLook w:val="04A0" w:firstRow="1" w:lastRow="0" w:firstColumn="1" w:lastColumn="0" w:noHBand="0" w:noVBand="1"/>
      </w:tblPr>
      <w:tblGrid>
        <w:gridCol w:w="551"/>
        <w:gridCol w:w="1150"/>
        <w:gridCol w:w="3843"/>
        <w:gridCol w:w="3665"/>
      </w:tblGrid>
      <w:tr w:rsidR="004B566B" w:rsidRPr="00427EA3" w:rsidTr="00F62D3E">
        <w:trPr>
          <w:trHeight w:val="558"/>
        </w:trPr>
        <w:tc>
          <w:tcPr>
            <w:tcW w:w="546" w:type="dxa"/>
          </w:tcPr>
          <w:p w:rsidR="004B566B" w:rsidRPr="00427EA3" w:rsidRDefault="004B566B" w:rsidP="00F62D3E">
            <w:pPr>
              <w:rPr>
                <w:lang w:val="en-US"/>
              </w:rPr>
            </w:pPr>
            <w:r w:rsidRPr="00427EA3">
              <w:rPr>
                <w:rFonts w:hint="eastAsia"/>
                <w:lang w:val="en-US"/>
              </w:rPr>
              <w:lastRenderedPageBreak/>
              <w:t>CID</w:t>
            </w:r>
          </w:p>
        </w:tc>
        <w:tc>
          <w:tcPr>
            <w:tcW w:w="1151" w:type="dxa"/>
          </w:tcPr>
          <w:p w:rsidR="004B566B" w:rsidRPr="00427EA3" w:rsidRDefault="004B566B" w:rsidP="00F62D3E">
            <w:pPr>
              <w:rPr>
                <w:lang w:val="en-US"/>
              </w:rPr>
            </w:pPr>
            <w:r w:rsidRPr="00427EA3">
              <w:rPr>
                <w:rFonts w:hint="eastAsia"/>
                <w:lang w:val="en-US"/>
              </w:rPr>
              <w:t>Clause</w:t>
            </w:r>
          </w:p>
        </w:tc>
        <w:tc>
          <w:tcPr>
            <w:tcW w:w="3845" w:type="dxa"/>
          </w:tcPr>
          <w:p w:rsidR="004B566B" w:rsidRPr="00427EA3" w:rsidRDefault="004B566B" w:rsidP="00F62D3E">
            <w:pPr>
              <w:rPr>
                <w:lang w:val="en-US"/>
              </w:rPr>
            </w:pPr>
            <w:r w:rsidRPr="00427EA3">
              <w:rPr>
                <w:rFonts w:hint="eastAsia"/>
                <w:lang w:val="en-US"/>
              </w:rPr>
              <w:t>Comment</w:t>
            </w:r>
          </w:p>
        </w:tc>
        <w:tc>
          <w:tcPr>
            <w:tcW w:w="3667" w:type="dxa"/>
          </w:tcPr>
          <w:p w:rsidR="004B566B" w:rsidRPr="00427EA3" w:rsidRDefault="004B566B" w:rsidP="00F62D3E">
            <w:pPr>
              <w:rPr>
                <w:lang w:val="en-US"/>
              </w:rPr>
            </w:pPr>
            <w:r w:rsidRPr="00427EA3">
              <w:rPr>
                <w:rFonts w:hint="eastAsia"/>
                <w:lang w:val="en-US"/>
              </w:rPr>
              <w:t>Proposed change</w:t>
            </w:r>
          </w:p>
        </w:tc>
      </w:tr>
      <w:tr w:rsidR="004B566B" w:rsidRPr="001B6720" w:rsidTr="00F62D3E">
        <w:trPr>
          <w:trHeight w:val="841"/>
        </w:trPr>
        <w:tc>
          <w:tcPr>
            <w:tcW w:w="546" w:type="dxa"/>
          </w:tcPr>
          <w:p w:rsidR="004B566B" w:rsidRPr="001B6720" w:rsidRDefault="004B566B" w:rsidP="00F62D3E">
            <w:r>
              <w:rPr>
                <w:rFonts w:hint="eastAsia"/>
              </w:rPr>
              <w:t>179</w:t>
            </w:r>
          </w:p>
        </w:tc>
        <w:tc>
          <w:tcPr>
            <w:tcW w:w="1151" w:type="dxa"/>
          </w:tcPr>
          <w:p w:rsidR="004B566B" w:rsidRPr="001B6720" w:rsidRDefault="004B566B" w:rsidP="00F62D3E">
            <w:r w:rsidRPr="00A622A3">
              <w:t>9.4.2.252</w:t>
            </w:r>
          </w:p>
        </w:tc>
        <w:tc>
          <w:tcPr>
            <w:tcW w:w="3845" w:type="dxa"/>
          </w:tcPr>
          <w:p w:rsidR="004B566B" w:rsidRPr="001B6720" w:rsidRDefault="004B566B" w:rsidP="00F62D3E">
            <w:r w:rsidRPr="00A622A3">
              <w:t>The Receive Direction subfield is defined to contain information about the antennas that will be used for reception. Within the extended schedule there is already a bf control field with enough bits to define the sector id. It may free up space to allow e.g., link budget related parameters to be included with the allocation.</w:t>
            </w:r>
          </w:p>
        </w:tc>
        <w:tc>
          <w:tcPr>
            <w:tcW w:w="3667" w:type="dxa"/>
          </w:tcPr>
          <w:p w:rsidR="004B566B" w:rsidRPr="001B6720" w:rsidRDefault="004B566B" w:rsidP="00F62D3E">
            <w:r w:rsidRPr="00A622A3">
              <w:t>study if suggestion is applicable</w:t>
            </w:r>
          </w:p>
        </w:tc>
      </w:tr>
    </w:tbl>
    <w:p w:rsidR="004B566B" w:rsidRDefault="004B566B" w:rsidP="004B566B"/>
    <w:p w:rsidR="004B566B" w:rsidRDefault="004B566B" w:rsidP="004B566B">
      <w:pPr>
        <w:rPr>
          <w:sz w:val="20"/>
        </w:rPr>
      </w:pPr>
      <w:r w:rsidRPr="00EC655C">
        <w:rPr>
          <w:rFonts w:hint="eastAsia"/>
          <w:b/>
        </w:rPr>
        <w:t>Discussion</w:t>
      </w:r>
      <w:r>
        <w:rPr>
          <w:rFonts w:hint="eastAsia"/>
          <w:lang w:eastAsia="zh-CN"/>
        </w:rPr>
        <w:t xml:space="preserve">: </w:t>
      </w:r>
      <w:r w:rsidRPr="00A86336">
        <w:rPr>
          <w:szCs w:val="22"/>
        </w:rPr>
        <w:t>The directional allocation which specifies the Receive Direction subfield can also be used for further beamforming training</w:t>
      </w:r>
      <w:r>
        <w:rPr>
          <w:szCs w:val="22"/>
        </w:rPr>
        <w:t xml:space="preserve"> or refinement</w:t>
      </w:r>
      <w:r w:rsidRPr="00A86336">
        <w:rPr>
          <w:szCs w:val="22"/>
        </w:rPr>
        <w:t xml:space="preserve"> between the PCP/AP and the STA. As a result, the AP may need to use the BF Control field within the extended schedule element when it schedules a directional allocation. Considering there are only 4 or 6 reserved bits (depending on the format of the BF Control field), it is not possible to put the Receive Direction subfield in the BF control field.</w:t>
      </w:r>
    </w:p>
    <w:p w:rsidR="004B566B" w:rsidRDefault="004B566B" w:rsidP="004B566B">
      <w:pPr>
        <w:rPr>
          <w:sz w:val="20"/>
        </w:rPr>
      </w:pPr>
    </w:p>
    <w:p w:rsidR="004B566B" w:rsidRDefault="004B566B" w:rsidP="004B566B">
      <w:pPr>
        <w:rPr>
          <w:sz w:val="20"/>
        </w:rPr>
      </w:pPr>
      <w:r w:rsidRPr="00833AB0">
        <w:rPr>
          <w:b/>
          <w:sz w:val="20"/>
        </w:rPr>
        <w:t>Proposed resolution</w:t>
      </w:r>
      <w:r>
        <w:rPr>
          <w:sz w:val="20"/>
        </w:rPr>
        <w:t>: Rejected</w:t>
      </w:r>
    </w:p>
    <w:p w:rsidR="004B566B" w:rsidRDefault="004B566B" w:rsidP="004B566B">
      <w:pPr>
        <w:rPr>
          <w:sz w:val="20"/>
        </w:rPr>
      </w:pPr>
    </w:p>
    <w:p w:rsidR="004B566B" w:rsidRPr="00395EC5" w:rsidRDefault="004B566B" w:rsidP="004B566B"/>
    <w:p w:rsidR="004B566B" w:rsidRDefault="004B566B" w:rsidP="004B566B"/>
    <w:tbl>
      <w:tblPr>
        <w:tblStyle w:val="TableGrid"/>
        <w:tblW w:w="9209" w:type="dxa"/>
        <w:tblLook w:val="04A0" w:firstRow="1" w:lastRow="0" w:firstColumn="1" w:lastColumn="0" w:noHBand="0" w:noVBand="1"/>
      </w:tblPr>
      <w:tblGrid>
        <w:gridCol w:w="551"/>
        <w:gridCol w:w="1151"/>
        <w:gridCol w:w="3877"/>
        <w:gridCol w:w="3630"/>
      </w:tblGrid>
      <w:tr w:rsidR="004B566B" w:rsidRPr="00427EA3" w:rsidTr="00F62D3E">
        <w:trPr>
          <w:trHeight w:val="558"/>
        </w:trPr>
        <w:tc>
          <w:tcPr>
            <w:tcW w:w="546" w:type="dxa"/>
          </w:tcPr>
          <w:p w:rsidR="004B566B" w:rsidRPr="00427EA3" w:rsidRDefault="004B566B" w:rsidP="00F62D3E">
            <w:pPr>
              <w:rPr>
                <w:lang w:val="en-US"/>
              </w:rPr>
            </w:pPr>
            <w:r w:rsidRPr="00427EA3">
              <w:rPr>
                <w:rFonts w:hint="eastAsia"/>
                <w:lang w:val="en-US"/>
              </w:rPr>
              <w:t>CID</w:t>
            </w:r>
          </w:p>
        </w:tc>
        <w:tc>
          <w:tcPr>
            <w:tcW w:w="1151" w:type="dxa"/>
          </w:tcPr>
          <w:p w:rsidR="004B566B" w:rsidRPr="00427EA3" w:rsidRDefault="004B566B" w:rsidP="00F62D3E">
            <w:pPr>
              <w:rPr>
                <w:lang w:val="en-US"/>
              </w:rPr>
            </w:pPr>
            <w:r w:rsidRPr="00427EA3">
              <w:rPr>
                <w:rFonts w:hint="eastAsia"/>
                <w:lang w:val="en-US"/>
              </w:rPr>
              <w:t>Clause</w:t>
            </w:r>
          </w:p>
        </w:tc>
        <w:tc>
          <w:tcPr>
            <w:tcW w:w="3880" w:type="dxa"/>
          </w:tcPr>
          <w:p w:rsidR="004B566B" w:rsidRPr="00427EA3" w:rsidRDefault="004B566B" w:rsidP="00F62D3E">
            <w:pPr>
              <w:rPr>
                <w:lang w:val="en-US"/>
              </w:rPr>
            </w:pPr>
            <w:r w:rsidRPr="00427EA3">
              <w:rPr>
                <w:rFonts w:hint="eastAsia"/>
                <w:lang w:val="en-US"/>
              </w:rPr>
              <w:t>Comment</w:t>
            </w:r>
          </w:p>
        </w:tc>
        <w:tc>
          <w:tcPr>
            <w:tcW w:w="3632" w:type="dxa"/>
          </w:tcPr>
          <w:p w:rsidR="004B566B" w:rsidRPr="00427EA3" w:rsidRDefault="004B566B" w:rsidP="00F62D3E">
            <w:pPr>
              <w:rPr>
                <w:lang w:val="en-US"/>
              </w:rPr>
            </w:pPr>
            <w:r w:rsidRPr="00427EA3">
              <w:rPr>
                <w:rFonts w:hint="eastAsia"/>
                <w:lang w:val="en-US"/>
              </w:rPr>
              <w:t>Proposed change</w:t>
            </w:r>
          </w:p>
        </w:tc>
      </w:tr>
      <w:tr w:rsidR="004B566B" w:rsidTr="00F62D3E">
        <w:trPr>
          <w:trHeight w:val="841"/>
        </w:trPr>
        <w:tc>
          <w:tcPr>
            <w:tcW w:w="546" w:type="dxa"/>
          </w:tcPr>
          <w:p w:rsidR="004B566B" w:rsidRDefault="004B566B" w:rsidP="00F62D3E">
            <w:r>
              <w:rPr>
                <w:rFonts w:hint="eastAsia"/>
              </w:rPr>
              <w:t>266</w:t>
            </w:r>
          </w:p>
        </w:tc>
        <w:tc>
          <w:tcPr>
            <w:tcW w:w="1151" w:type="dxa"/>
          </w:tcPr>
          <w:p w:rsidR="004B566B" w:rsidRPr="00A622A3" w:rsidRDefault="004B566B" w:rsidP="00F62D3E">
            <w:r w:rsidRPr="00A622A3">
              <w:t>9.4.2.132</w:t>
            </w:r>
          </w:p>
        </w:tc>
        <w:tc>
          <w:tcPr>
            <w:tcW w:w="3880" w:type="dxa"/>
          </w:tcPr>
          <w:p w:rsidR="004B566B" w:rsidRPr="00A622A3" w:rsidRDefault="004B566B" w:rsidP="00F62D3E">
            <w:r w:rsidRPr="00A622A3">
              <w:t>The Extended Schedule Element does not contain the channel (BW) allocation</w:t>
            </w:r>
          </w:p>
        </w:tc>
        <w:tc>
          <w:tcPr>
            <w:tcW w:w="3632" w:type="dxa"/>
          </w:tcPr>
          <w:p w:rsidR="004B566B" w:rsidRDefault="004B566B" w:rsidP="00F62D3E">
            <w:r w:rsidRPr="00A622A3">
              <w:t>Add the corresponding fields to Schedule element</w:t>
            </w:r>
          </w:p>
        </w:tc>
      </w:tr>
    </w:tbl>
    <w:p w:rsidR="004B566B" w:rsidRDefault="004B566B" w:rsidP="004B566B"/>
    <w:p w:rsidR="004B566B" w:rsidRDefault="004B566B" w:rsidP="004B566B">
      <w:r w:rsidRPr="002E77C2">
        <w:rPr>
          <w:b/>
        </w:rPr>
        <w:t>Discussion:</w:t>
      </w:r>
      <w:r>
        <w:t xml:space="preserve"> The BW information is included in the BW subfield in the Channel Allocation field, as indicated in Figure 36 and Figure 39.</w:t>
      </w:r>
    </w:p>
    <w:p w:rsidR="004B566B" w:rsidRDefault="004B566B" w:rsidP="004B566B"/>
    <w:p w:rsidR="004B566B" w:rsidRDefault="004B566B" w:rsidP="004B566B">
      <w:r w:rsidRPr="002E77C2">
        <w:rPr>
          <w:b/>
        </w:rPr>
        <w:t>Proposed resolution:</w:t>
      </w:r>
      <w:r>
        <w:t xml:space="preserve"> Rejected.</w:t>
      </w:r>
    </w:p>
    <w:p w:rsidR="004B566B" w:rsidRDefault="004B566B" w:rsidP="004B566B"/>
    <w:p w:rsidR="004B566B" w:rsidRDefault="004B566B" w:rsidP="004B566B"/>
    <w:p w:rsidR="004B566B" w:rsidRDefault="004B566B" w:rsidP="004B566B"/>
    <w:tbl>
      <w:tblPr>
        <w:tblStyle w:val="TableGrid"/>
        <w:tblW w:w="9209" w:type="dxa"/>
        <w:tblLook w:val="04A0" w:firstRow="1" w:lastRow="0" w:firstColumn="1" w:lastColumn="0" w:noHBand="0" w:noVBand="1"/>
      </w:tblPr>
      <w:tblGrid>
        <w:gridCol w:w="551"/>
        <w:gridCol w:w="1151"/>
        <w:gridCol w:w="3877"/>
        <w:gridCol w:w="3630"/>
      </w:tblGrid>
      <w:tr w:rsidR="004B566B" w:rsidRPr="00427EA3" w:rsidTr="00F62D3E">
        <w:trPr>
          <w:trHeight w:val="558"/>
        </w:trPr>
        <w:tc>
          <w:tcPr>
            <w:tcW w:w="546" w:type="dxa"/>
          </w:tcPr>
          <w:p w:rsidR="004B566B" w:rsidRPr="00427EA3" w:rsidRDefault="004B566B" w:rsidP="00F62D3E">
            <w:pPr>
              <w:rPr>
                <w:lang w:val="en-US"/>
              </w:rPr>
            </w:pPr>
            <w:r w:rsidRPr="00427EA3">
              <w:rPr>
                <w:rFonts w:hint="eastAsia"/>
                <w:lang w:val="en-US"/>
              </w:rPr>
              <w:t>CID</w:t>
            </w:r>
          </w:p>
        </w:tc>
        <w:tc>
          <w:tcPr>
            <w:tcW w:w="1151" w:type="dxa"/>
          </w:tcPr>
          <w:p w:rsidR="004B566B" w:rsidRPr="00427EA3" w:rsidRDefault="004B566B" w:rsidP="00F62D3E">
            <w:pPr>
              <w:rPr>
                <w:lang w:val="en-US"/>
              </w:rPr>
            </w:pPr>
            <w:r w:rsidRPr="00427EA3">
              <w:rPr>
                <w:rFonts w:hint="eastAsia"/>
                <w:lang w:val="en-US"/>
              </w:rPr>
              <w:t>Clause</w:t>
            </w:r>
          </w:p>
        </w:tc>
        <w:tc>
          <w:tcPr>
            <w:tcW w:w="3880" w:type="dxa"/>
          </w:tcPr>
          <w:p w:rsidR="004B566B" w:rsidRPr="00427EA3" w:rsidRDefault="004B566B" w:rsidP="00F62D3E">
            <w:pPr>
              <w:rPr>
                <w:lang w:val="en-US"/>
              </w:rPr>
            </w:pPr>
            <w:r w:rsidRPr="00427EA3">
              <w:rPr>
                <w:rFonts w:hint="eastAsia"/>
                <w:lang w:val="en-US"/>
              </w:rPr>
              <w:t>Comment</w:t>
            </w:r>
          </w:p>
        </w:tc>
        <w:tc>
          <w:tcPr>
            <w:tcW w:w="3632" w:type="dxa"/>
          </w:tcPr>
          <w:p w:rsidR="004B566B" w:rsidRPr="00427EA3" w:rsidRDefault="004B566B" w:rsidP="00F62D3E">
            <w:pPr>
              <w:rPr>
                <w:lang w:val="en-US"/>
              </w:rPr>
            </w:pPr>
            <w:r w:rsidRPr="00427EA3">
              <w:rPr>
                <w:rFonts w:hint="eastAsia"/>
                <w:lang w:val="en-US"/>
              </w:rPr>
              <w:t>Proposed change</w:t>
            </w:r>
          </w:p>
        </w:tc>
      </w:tr>
      <w:tr w:rsidR="004B566B" w:rsidRPr="00D90530" w:rsidTr="00F62D3E">
        <w:trPr>
          <w:trHeight w:val="841"/>
        </w:trPr>
        <w:tc>
          <w:tcPr>
            <w:tcW w:w="546" w:type="dxa"/>
          </w:tcPr>
          <w:p w:rsidR="004B566B" w:rsidRPr="00A86336" w:rsidRDefault="004B566B" w:rsidP="00F62D3E">
            <w:pPr>
              <w:rPr>
                <w:color w:val="000000" w:themeColor="text1"/>
              </w:rPr>
            </w:pPr>
            <w:r w:rsidRPr="00A86336">
              <w:rPr>
                <w:rFonts w:hint="eastAsia"/>
                <w:color w:val="000000" w:themeColor="text1"/>
              </w:rPr>
              <w:t>314</w:t>
            </w:r>
          </w:p>
        </w:tc>
        <w:tc>
          <w:tcPr>
            <w:tcW w:w="1151" w:type="dxa"/>
          </w:tcPr>
          <w:p w:rsidR="004B566B" w:rsidRPr="00A86336" w:rsidRDefault="004B566B" w:rsidP="00F62D3E">
            <w:pPr>
              <w:rPr>
                <w:color w:val="000000" w:themeColor="text1"/>
              </w:rPr>
            </w:pPr>
            <w:r w:rsidRPr="00A86336">
              <w:rPr>
                <w:color w:val="000000" w:themeColor="text1"/>
              </w:rPr>
              <w:t>9.4.2.53</w:t>
            </w:r>
          </w:p>
        </w:tc>
        <w:tc>
          <w:tcPr>
            <w:tcW w:w="3880" w:type="dxa"/>
          </w:tcPr>
          <w:p w:rsidR="004B566B" w:rsidRPr="00A86336" w:rsidRDefault="004B566B" w:rsidP="00F62D3E">
            <w:pPr>
              <w:rPr>
                <w:color w:val="000000" w:themeColor="text1"/>
              </w:rPr>
            </w:pPr>
            <w:r w:rsidRPr="00A86336">
              <w:rPr>
                <w:color w:val="000000" w:themeColor="text1"/>
              </w:rPr>
              <w:t>Inserting non-EDMG STA in front of the New Channel Number field, breaks the specification, as non-EDMG STA is defined as DMG that is not EDMG.  But this clause and requirement is for all 802.11 STAs not just DMG.  If the EDMG STA requirement for the new number to be the primary channel, it should be provided in Annex E or in the MAC sections where the use of New Channel Number for DMG and EDMG is described, there is no need to add a behavior requirement in clause 9.</w:t>
            </w:r>
          </w:p>
        </w:tc>
        <w:tc>
          <w:tcPr>
            <w:tcW w:w="3632" w:type="dxa"/>
          </w:tcPr>
          <w:p w:rsidR="004B566B" w:rsidRPr="00A86336" w:rsidRDefault="004B566B" w:rsidP="00F62D3E">
            <w:pPr>
              <w:rPr>
                <w:color w:val="000000" w:themeColor="text1"/>
              </w:rPr>
            </w:pPr>
            <w:r w:rsidRPr="00A86336">
              <w:rPr>
                <w:color w:val="000000" w:themeColor="text1"/>
              </w:rPr>
              <w:t>Remove all changes to this paragraph.  Write</w:t>
            </w:r>
            <w:r>
              <w:rPr>
                <w:color w:val="000000" w:themeColor="text1"/>
              </w:rPr>
              <w:t xml:space="preserve"> any behavior requirements else</w:t>
            </w:r>
            <w:r w:rsidRPr="00A86336">
              <w:rPr>
                <w:color w:val="000000" w:themeColor="text1"/>
              </w:rPr>
              <w:t>where in the appropriate MAC section or annex.</w:t>
            </w:r>
          </w:p>
        </w:tc>
      </w:tr>
    </w:tbl>
    <w:p w:rsidR="004B566B" w:rsidRPr="00A86336" w:rsidRDefault="004B566B" w:rsidP="004B566B"/>
    <w:p w:rsidR="004B566B" w:rsidRDefault="004B566B" w:rsidP="004B566B">
      <w:pPr>
        <w:rPr>
          <w:lang w:eastAsia="zh-CN"/>
        </w:rPr>
      </w:pPr>
      <w:r w:rsidRPr="00A86336">
        <w:rPr>
          <w:rFonts w:hint="eastAsia"/>
          <w:b/>
          <w:lang w:eastAsia="zh-CN"/>
        </w:rPr>
        <w:lastRenderedPageBreak/>
        <w:t>Discus</w:t>
      </w:r>
      <w:r w:rsidRPr="00A86336">
        <w:rPr>
          <w:b/>
          <w:lang w:eastAsia="zh-CN"/>
        </w:rPr>
        <w:t>sion</w:t>
      </w:r>
      <w:r>
        <w:rPr>
          <w:lang w:eastAsia="zh-CN"/>
        </w:rPr>
        <w:t xml:space="preserve">: </w:t>
      </w:r>
    </w:p>
    <w:p w:rsidR="004B566B" w:rsidRDefault="004B566B" w:rsidP="004B566B">
      <w:pPr>
        <w:pStyle w:val="ListParagraph"/>
        <w:numPr>
          <w:ilvl w:val="0"/>
          <w:numId w:val="3"/>
        </w:numPr>
        <w:ind w:firstLineChars="0"/>
        <w:rPr>
          <w:rFonts w:eastAsiaTheme="minorEastAsia"/>
          <w:lang w:eastAsia="zh-CN"/>
        </w:rPr>
      </w:pPr>
      <w:r>
        <w:rPr>
          <w:rFonts w:eastAsiaTheme="minorEastAsia"/>
          <w:lang w:eastAsia="zh-CN"/>
        </w:rPr>
        <w:t>For an EDMG STA, it is possible that it switches to a bonded channel. As a result, it is necessary to describe the behavior that the New Channel Number field is set to the channel number of the primary channel.</w:t>
      </w:r>
    </w:p>
    <w:p w:rsidR="004B566B" w:rsidRPr="005A59A1" w:rsidRDefault="004B566B" w:rsidP="004B566B">
      <w:pPr>
        <w:pStyle w:val="ListParagraph"/>
        <w:numPr>
          <w:ilvl w:val="0"/>
          <w:numId w:val="3"/>
        </w:numPr>
        <w:ind w:firstLineChars="0"/>
        <w:rPr>
          <w:rFonts w:eastAsiaTheme="minorEastAsia"/>
          <w:lang w:eastAsia="zh-CN"/>
        </w:rPr>
      </w:pPr>
      <w:r>
        <w:rPr>
          <w:rFonts w:eastAsiaTheme="minorEastAsia"/>
          <w:lang w:eastAsia="zh-CN"/>
        </w:rPr>
        <w:t xml:space="preserve">However, currently the primary channel number along with the operating class is not able to uniquely identify a bonded channel. Therefore, we may also need to do some changes in Annex E. </w:t>
      </w:r>
    </w:p>
    <w:p w:rsidR="004B566B" w:rsidRDefault="004B566B" w:rsidP="004B566B">
      <w:pPr>
        <w:pStyle w:val="ListParagraph"/>
        <w:numPr>
          <w:ilvl w:val="0"/>
          <w:numId w:val="3"/>
        </w:numPr>
        <w:ind w:firstLineChars="0"/>
      </w:pPr>
      <w:r>
        <w:t>This comment (CID 314) resolution is also related to the changes proposed in response to CID 455.</w:t>
      </w:r>
    </w:p>
    <w:p w:rsidR="004B566B" w:rsidRPr="00A86336" w:rsidRDefault="004B566B" w:rsidP="004B566B"/>
    <w:p w:rsidR="004B566B" w:rsidRDefault="004B566B" w:rsidP="004B566B">
      <w:r w:rsidRPr="002E77C2">
        <w:rPr>
          <w:b/>
        </w:rPr>
        <w:t>Proposed resolution:</w:t>
      </w:r>
      <w:r>
        <w:t xml:space="preserve"> Revised.</w:t>
      </w:r>
    </w:p>
    <w:p w:rsidR="004B566B" w:rsidRDefault="004B566B" w:rsidP="004B566B"/>
    <w:p w:rsidR="004B566B" w:rsidRDefault="004B566B" w:rsidP="004B566B"/>
    <w:p w:rsidR="004B566B" w:rsidRDefault="004B566B" w:rsidP="004B566B"/>
    <w:tbl>
      <w:tblPr>
        <w:tblStyle w:val="TableGrid"/>
        <w:tblW w:w="9209" w:type="dxa"/>
        <w:tblLook w:val="04A0" w:firstRow="1" w:lastRow="0" w:firstColumn="1" w:lastColumn="0" w:noHBand="0" w:noVBand="1"/>
      </w:tblPr>
      <w:tblGrid>
        <w:gridCol w:w="551"/>
        <w:gridCol w:w="1164"/>
        <w:gridCol w:w="3835"/>
        <w:gridCol w:w="3659"/>
      </w:tblGrid>
      <w:tr w:rsidR="004B566B" w:rsidRPr="00427EA3" w:rsidTr="00F62D3E">
        <w:trPr>
          <w:trHeight w:val="558"/>
        </w:trPr>
        <w:tc>
          <w:tcPr>
            <w:tcW w:w="546" w:type="dxa"/>
          </w:tcPr>
          <w:p w:rsidR="004B566B" w:rsidRPr="00427EA3" w:rsidRDefault="004B566B" w:rsidP="00F62D3E">
            <w:pPr>
              <w:rPr>
                <w:lang w:val="en-US"/>
              </w:rPr>
            </w:pPr>
            <w:r w:rsidRPr="00427EA3">
              <w:rPr>
                <w:rFonts w:hint="eastAsia"/>
                <w:lang w:val="en-US"/>
              </w:rPr>
              <w:t>CID</w:t>
            </w:r>
          </w:p>
        </w:tc>
        <w:tc>
          <w:tcPr>
            <w:tcW w:w="1151" w:type="dxa"/>
          </w:tcPr>
          <w:p w:rsidR="004B566B" w:rsidRPr="00427EA3" w:rsidRDefault="004B566B" w:rsidP="00F62D3E">
            <w:pPr>
              <w:rPr>
                <w:lang w:val="en-US"/>
              </w:rPr>
            </w:pPr>
            <w:r w:rsidRPr="00427EA3">
              <w:rPr>
                <w:rFonts w:hint="eastAsia"/>
                <w:lang w:val="en-US"/>
              </w:rPr>
              <w:t>Clause</w:t>
            </w:r>
          </w:p>
        </w:tc>
        <w:tc>
          <w:tcPr>
            <w:tcW w:w="3845" w:type="dxa"/>
          </w:tcPr>
          <w:p w:rsidR="004B566B" w:rsidRPr="00427EA3" w:rsidRDefault="004B566B" w:rsidP="00F62D3E">
            <w:pPr>
              <w:rPr>
                <w:lang w:val="en-US"/>
              </w:rPr>
            </w:pPr>
            <w:r w:rsidRPr="00427EA3">
              <w:rPr>
                <w:rFonts w:hint="eastAsia"/>
                <w:lang w:val="en-US"/>
              </w:rPr>
              <w:t>Comment</w:t>
            </w:r>
          </w:p>
        </w:tc>
        <w:tc>
          <w:tcPr>
            <w:tcW w:w="3667" w:type="dxa"/>
          </w:tcPr>
          <w:p w:rsidR="004B566B" w:rsidRPr="00427EA3" w:rsidRDefault="004B566B" w:rsidP="00F62D3E">
            <w:pPr>
              <w:rPr>
                <w:lang w:val="en-US"/>
              </w:rPr>
            </w:pPr>
            <w:r w:rsidRPr="00427EA3">
              <w:rPr>
                <w:rFonts w:hint="eastAsia"/>
                <w:lang w:val="en-US"/>
              </w:rPr>
              <w:t>Proposed change</w:t>
            </w:r>
          </w:p>
        </w:tc>
      </w:tr>
      <w:tr w:rsidR="004B566B" w:rsidRPr="00CA4F07" w:rsidTr="00F62D3E">
        <w:trPr>
          <w:trHeight w:val="841"/>
        </w:trPr>
        <w:tc>
          <w:tcPr>
            <w:tcW w:w="546" w:type="dxa"/>
          </w:tcPr>
          <w:p w:rsidR="004B566B" w:rsidRDefault="004B566B" w:rsidP="00F62D3E">
            <w:r>
              <w:rPr>
                <w:rFonts w:hint="eastAsia"/>
              </w:rPr>
              <w:t>355</w:t>
            </w:r>
          </w:p>
        </w:tc>
        <w:tc>
          <w:tcPr>
            <w:tcW w:w="1151" w:type="dxa"/>
          </w:tcPr>
          <w:p w:rsidR="004B566B" w:rsidRPr="00CA4F07" w:rsidRDefault="004B566B" w:rsidP="00F62D3E">
            <w:r w:rsidRPr="001D2CB3">
              <w:t>10.36.11.2</w:t>
            </w:r>
          </w:p>
        </w:tc>
        <w:tc>
          <w:tcPr>
            <w:tcW w:w="3845" w:type="dxa"/>
          </w:tcPr>
          <w:p w:rsidR="004B566B" w:rsidRPr="00CA4F07" w:rsidRDefault="004B566B" w:rsidP="00F62D3E">
            <w:r w:rsidRPr="001D2CB3">
              <w:t>Further clarification on the Channel Allocation field with the Scheduling Type subfield is required.</w:t>
            </w:r>
          </w:p>
        </w:tc>
        <w:tc>
          <w:tcPr>
            <w:tcW w:w="3667" w:type="dxa"/>
          </w:tcPr>
          <w:p w:rsidR="004B566B" w:rsidRDefault="004B566B" w:rsidP="00F62D3E">
            <w:r>
              <w:t>change the second paragraph in P56 to</w:t>
            </w:r>
          </w:p>
          <w:p w:rsidR="004B566B" w:rsidRPr="00CA4F07" w:rsidRDefault="004B566B" w:rsidP="00F62D3E">
            <w:r>
              <w:t>"If an EDMG Extended Schedule element that has at least one Channel Allocation field with the Scheduling Type subfield equal to 0 present in a transmitted frame, an Extended Schedule element shall also be present in the same frame. The Allocation Key subfield of a Channel Allocation field with the Scheduling Type subfield equal to 0 shall have its contents matched to the tuple&lt;Source AID, Destination AID, Allocation ID&gt; of an Allocation field in the Extended Schedule element for the same allocation. A Channel Allocation field with the Scheduling Type subfield equal to 0 included in the EDMG Extended Schedule element shall be ignored if the contents of its Allocation Key subfield do not match to the tuple&lt;Source AID, Destination AID, Allocation ID&gt; of any Allocation field in the Extended Schedule element."</w:t>
            </w:r>
          </w:p>
        </w:tc>
      </w:tr>
    </w:tbl>
    <w:p w:rsidR="004B566B" w:rsidRDefault="004B566B" w:rsidP="004B566B"/>
    <w:p w:rsidR="004B566B" w:rsidRDefault="004B566B" w:rsidP="004B566B">
      <w:r w:rsidRPr="002E77C2">
        <w:rPr>
          <w:b/>
        </w:rPr>
        <w:t>Proposed resolution:</w:t>
      </w:r>
      <w:r>
        <w:t xml:space="preserve"> Accepted</w:t>
      </w:r>
    </w:p>
    <w:p w:rsidR="004B566B" w:rsidRDefault="004B566B" w:rsidP="004B566B"/>
    <w:p w:rsidR="004B566B" w:rsidRDefault="004B566B" w:rsidP="004B566B"/>
    <w:p w:rsidR="004B566B" w:rsidRDefault="004B566B" w:rsidP="004B566B"/>
    <w:tbl>
      <w:tblPr>
        <w:tblStyle w:val="TableGrid"/>
        <w:tblW w:w="9209" w:type="dxa"/>
        <w:tblLook w:val="04A0" w:firstRow="1" w:lastRow="0" w:firstColumn="1" w:lastColumn="0" w:noHBand="0" w:noVBand="1"/>
      </w:tblPr>
      <w:tblGrid>
        <w:gridCol w:w="551"/>
        <w:gridCol w:w="1164"/>
        <w:gridCol w:w="3835"/>
        <w:gridCol w:w="3659"/>
      </w:tblGrid>
      <w:tr w:rsidR="004B566B" w:rsidRPr="00427EA3" w:rsidTr="00F62D3E">
        <w:trPr>
          <w:trHeight w:val="558"/>
        </w:trPr>
        <w:tc>
          <w:tcPr>
            <w:tcW w:w="546" w:type="dxa"/>
          </w:tcPr>
          <w:p w:rsidR="004B566B" w:rsidRPr="00427EA3" w:rsidRDefault="004B566B" w:rsidP="00F62D3E">
            <w:pPr>
              <w:rPr>
                <w:lang w:val="en-US"/>
              </w:rPr>
            </w:pPr>
            <w:r w:rsidRPr="00427EA3">
              <w:rPr>
                <w:rFonts w:hint="eastAsia"/>
                <w:lang w:val="en-US"/>
              </w:rPr>
              <w:t>CID</w:t>
            </w:r>
          </w:p>
        </w:tc>
        <w:tc>
          <w:tcPr>
            <w:tcW w:w="1151" w:type="dxa"/>
          </w:tcPr>
          <w:p w:rsidR="004B566B" w:rsidRPr="00427EA3" w:rsidRDefault="004B566B" w:rsidP="00F62D3E">
            <w:pPr>
              <w:rPr>
                <w:lang w:val="en-US"/>
              </w:rPr>
            </w:pPr>
            <w:r w:rsidRPr="00427EA3">
              <w:rPr>
                <w:rFonts w:hint="eastAsia"/>
                <w:lang w:val="en-US"/>
              </w:rPr>
              <w:t>Clause</w:t>
            </w:r>
          </w:p>
        </w:tc>
        <w:tc>
          <w:tcPr>
            <w:tcW w:w="3845" w:type="dxa"/>
          </w:tcPr>
          <w:p w:rsidR="004B566B" w:rsidRPr="00427EA3" w:rsidRDefault="004B566B" w:rsidP="00F62D3E">
            <w:pPr>
              <w:rPr>
                <w:lang w:val="en-US"/>
              </w:rPr>
            </w:pPr>
            <w:r w:rsidRPr="00427EA3">
              <w:rPr>
                <w:rFonts w:hint="eastAsia"/>
                <w:lang w:val="en-US"/>
              </w:rPr>
              <w:t>Comment</w:t>
            </w:r>
          </w:p>
        </w:tc>
        <w:tc>
          <w:tcPr>
            <w:tcW w:w="3667" w:type="dxa"/>
          </w:tcPr>
          <w:p w:rsidR="004B566B" w:rsidRPr="00427EA3" w:rsidRDefault="004B566B" w:rsidP="00F62D3E">
            <w:pPr>
              <w:rPr>
                <w:lang w:val="en-US"/>
              </w:rPr>
            </w:pPr>
            <w:r w:rsidRPr="00427EA3">
              <w:rPr>
                <w:rFonts w:hint="eastAsia"/>
                <w:lang w:val="en-US"/>
              </w:rPr>
              <w:t>Proposed change</w:t>
            </w:r>
          </w:p>
        </w:tc>
      </w:tr>
      <w:tr w:rsidR="004B566B" w:rsidRPr="00CA4F07" w:rsidTr="00F62D3E">
        <w:trPr>
          <w:trHeight w:val="841"/>
        </w:trPr>
        <w:tc>
          <w:tcPr>
            <w:tcW w:w="546" w:type="dxa"/>
          </w:tcPr>
          <w:p w:rsidR="004B566B" w:rsidRDefault="004B566B" w:rsidP="00F62D3E">
            <w:r>
              <w:rPr>
                <w:rFonts w:hint="eastAsia"/>
              </w:rPr>
              <w:t>384</w:t>
            </w:r>
          </w:p>
        </w:tc>
        <w:tc>
          <w:tcPr>
            <w:tcW w:w="1151" w:type="dxa"/>
          </w:tcPr>
          <w:p w:rsidR="004B566B" w:rsidRPr="00CA4F07" w:rsidRDefault="004B566B" w:rsidP="00F62D3E">
            <w:r w:rsidRPr="001D2CB3">
              <w:t>10.36.11.3</w:t>
            </w:r>
          </w:p>
        </w:tc>
        <w:tc>
          <w:tcPr>
            <w:tcW w:w="3845" w:type="dxa"/>
          </w:tcPr>
          <w:p w:rsidR="004B566B" w:rsidRPr="00CA4F07" w:rsidRDefault="004B566B" w:rsidP="00F62D3E">
            <w:r w:rsidRPr="001D2CB3">
              <w:t>source AID is the STA initiates the frame exchange in a SP. Here AP is receiving so the STA is identified by the source AID</w:t>
            </w:r>
          </w:p>
        </w:tc>
        <w:tc>
          <w:tcPr>
            <w:tcW w:w="3667" w:type="dxa"/>
          </w:tcPr>
          <w:p w:rsidR="004B566B" w:rsidRPr="00CA4F07" w:rsidRDefault="004B566B" w:rsidP="00F62D3E">
            <w:r w:rsidRPr="001D2CB3">
              <w:t>change Destination AID to source AID in L20, 22, 23</w:t>
            </w:r>
          </w:p>
        </w:tc>
      </w:tr>
    </w:tbl>
    <w:p w:rsidR="004B566B" w:rsidRDefault="004B566B" w:rsidP="004B566B"/>
    <w:p w:rsidR="004B566B" w:rsidRDefault="004B566B" w:rsidP="004B566B">
      <w:pPr>
        <w:rPr>
          <w:b/>
          <w:lang w:eastAsia="zh-CN"/>
        </w:rPr>
      </w:pPr>
      <w:r>
        <w:rPr>
          <w:rFonts w:hint="eastAsia"/>
          <w:b/>
          <w:lang w:eastAsia="zh-CN"/>
        </w:rPr>
        <w:lastRenderedPageBreak/>
        <w:t xml:space="preserve">Discussion: </w:t>
      </w:r>
    </w:p>
    <w:p w:rsidR="004B566B" w:rsidRPr="00DF1342" w:rsidRDefault="004B566B" w:rsidP="004B566B">
      <w:pPr>
        <w:pStyle w:val="ListParagraph"/>
        <w:numPr>
          <w:ilvl w:val="0"/>
          <w:numId w:val="2"/>
        </w:numPr>
        <w:ind w:firstLineChars="0"/>
      </w:pPr>
      <w:r w:rsidRPr="00ED4215">
        <w:rPr>
          <w:rFonts w:eastAsiaTheme="minorEastAsia"/>
          <w:lang w:eastAsia="zh-CN"/>
        </w:rPr>
        <w:t>A directional allocation is an allocation where the PCP or AP will use directional antenna configuration for receiving</w:t>
      </w:r>
      <w:r>
        <w:rPr>
          <w:rFonts w:eastAsiaTheme="minorEastAsia"/>
          <w:lang w:eastAsia="zh-CN"/>
        </w:rPr>
        <w:t xml:space="preserve">, where either the PCP/AP or the STA initiates the frame exchange. In other words, the PCP or AP can still initiate the frame exchange in a directional allocation where it will use a directional receiving configuration. The first sentence already covers this behaviour, there is no need to further divide this behaviour depending on the different values of Destination/Source AID. </w:t>
      </w:r>
    </w:p>
    <w:p w:rsidR="004B566B" w:rsidRPr="004A29C3" w:rsidRDefault="004B566B" w:rsidP="004B566B">
      <w:pPr>
        <w:pStyle w:val="ListParagraph"/>
        <w:numPr>
          <w:ilvl w:val="0"/>
          <w:numId w:val="2"/>
        </w:numPr>
        <w:ind w:firstLineChars="0"/>
      </w:pPr>
      <w:r w:rsidRPr="00ED4215">
        <w:rPr>
          <w:rFonts w:eastAsiaTheme="minorEastAsia"/>
          <w:lang w:eastAsia="zh-CN"/>
        </w:rPr>
        <w:t xml:space="preserve">The third paragraph already indicates the channel access rules for a directional </w:t>
      </w:r>
      <w:r>
        <w:rPr>
          <w:rFonts w:eastAsiaTheme="minorEastAsia"/>
          <w:lang w:eastAsia="zh-CN"/>
        </w:rPr>
        <w:t>allocation is the same as the SP or CBAP, depending on the type of the allocation.</w:t>
      </w:r>
    </w:p>
    <w:p w:rsidR="004B566B" w:rsidRDefault="004B566B" w:rsidP="004B566B">
      <w:pPr>
        <w:pStyle w:val="ListParagraph"/>
        <w:numPr>
          <w:ilvl w:val="0"/>
          <w:numId w:val="2"/>
        </w:numPr>
        <w:ind w:firstLineChars="0"/>
      </w:pPr>
      <w:r>
        <w:t>This comment (CID 384) resolution also applies to CID 491 and CID 541.</w:t>
      </w:r>
    </w:p>
    <w:p w:rsidR="004B566B" w:rsidRDefault="004B566B" w:rsidP="004B566B">
      <w:pPr>
        <w:rPr>
          <w:lang w:eastAsia="zh-CN"/>
        </w:rPr>
      </w:pPr>
    </w:p>
    <w:p w:rsidR="004B566B" w:rsidRDefault="004B566B" w:rsidP="004B566B">
      <w:r w:rsidRPr="002E77C2">
        <w:rPr>
          <w:b/>
        </w:rPr>
        <w:t>Proposed resolution:</w:t>
      </w:r>
      <w:r>
        <w:t xml:space="preserve"> Revised.</w:t>
      </w:r>
    </w:p>
    <w:p w:rsidR="004B566B" w:rsidRDefault="004B566B" w:rsidP="004B566B">
      <w:pPr>
        <w:rPr>
          <w:i/>
        </w:rPr>
      </w:pPr>
      <w:r>
        <w:rPr>
          <w:i/>
        </w:rPr>
        <w:t>Change the second paragraph in 10.36.11.3 as follows:</w:t>
      </w:r>
    </w:p>
    <w:p w:rsidR="004B566B" w:rsidRPr="00ED4215" w:rsidRDefault="004B566B" w:rsidP="004B566B">
      <w:pPr>
        <w:widowControl w:val="0"/>
        <w:autoSpaceDE w:val="0"/>
        <w:autoSpaceDN w:val="0"/>
        <w:adjustRightInd w:val="0"/>
        <w:rPr>
          <w:color w:val="000000" w:themeColor="text1"/>
          <w:sz w:val="20"/>
          <w:lang w:val="en-US" w:eastAsia="zh-CN"/>
        </w:rPr>
      </w:pPr>
      <w:r>
        <w:rPr>
          <w:sz w:val="20"/>
          <w:lang w:val="en-US" w:eastAsia="zh-CN"/>
        </w:rPr>
        <w:t xml:space="preserve">The Sector ID and DMG Antenna ID subfields of a </w:t>
      </w:r>
      <w:r w:rsidRPr="004A29C3">
        <w:rPr>
          <w:strike/>
          <w:color w:val="00B0F0"/>
          <w:sz w:val="20"/>
          <w:lang w:val="en-US" w:eastAsia="zh-CN"/>
        </w:rPr>
        <w:t>direcitonal</w:t>
      </w:r>
      <w:r>
        <w:rPr>
          <w:sz w:val="20"/>
          <w:lang w:val="en-US" w:eastAsia="zh-CN"/>
        </w:rPr>
        <w:t xml:space="preserve"> </w:t>
      </w:r>
      <w:r>
        <w:rPr>
          <w:color w:val="00B0F0"/>
          <w:sz w:val="20"/>
          <w:u w:val="single"/>
          <w:lang w:val="en-US" w:eastAsia="zh-CN"/>
        </w:rPr>
        <w:t>directional</w:t>
      </w:r>
      <w:r>
        <w:rPr>
          <w:sz w:val="20"/>
          <w:lang w:val="en-US" w:eastAsia="zh-CN"/>
        </w:rPr>
        <w:t xml:space="preserve"> allocation shall be set to the sector and</w:t>
      </w:r>
      <w:r>
        <w:rPr>
          <w:rFonts w:hint="eastAsia"/>
          <w:sz w:val="20"/>
          <w:lang w:val="en-US" w:eastAsia="zh-CN"/>
        </w:rPr>
        <w:t xml:space="preserve"> </w:t>
      </w:r>
      <w:r>
        <w:rPr>
          <w:sz w:val="20"/>
          <w:lang w:val="en-US" w:eastAsia="zh-CN"/>
        </w:rPr>
        <w:t>DMG antenna, respectively, that the PCP or AP uses to receive frames during the entire allocation.</w:t>
      </w:r>
      <w:r w:rsidRPr="004A29C3">
        <w:rPr>
          <w:strike/>
          <w:color w:val="00B0F0"/>
          <w:sz w:val="20"/>
          <w:lang w:val="en-US" w:eastAsia="zh-CN"/>
        </w:rPr>
        <w:t xml:space="preserve"> If the Destination AID field of the allocation is not the broadcast AID, the Sector ID and DMG Antenna ID subfields of the allocation shall be set to indicate the sector and DMG antenna that are to be used during the</w:t>
      </w:r>
      <w:r w:rsidRPr="004A29C3">
        <w:rPr>
          <w:rFonts w:hint="eastAsia"/>
          <w:strike/>
          <w:color w:val="00B0F0"/>
          <w:sz w:val="20"/>
          <w:lang w:val="en-US" w:eastAsia="zh-CN"/>
        </w:rPr>
        <w:t xml:space="preserve"> </w:t>
      </w:r>
      <w:r w:rsidRPr="004A29C3">
        <w:rPr>
          <w:strike/>
          <w:color w:val="00B0F0"/>
          <w:sz w:val="20"/>
          <w:lang w:val="en-US" w:eastAsia="zh-CN"/>
        </w:rPr>
        <w:t>allocation for communication with the STA identified by the Destination AID field. Otherwise if the Destination AID field of the allocation is the broadcast AID, the PCP or AP may choose any antenna confiuration for communication during the allocation and shall indicate the configuration through the</w:t>
      </w:r>
      <w:r w:rsidRPr="004A29C3">
        <w:rPr>
          <w:rFonts w:hint="eastAsia"/>
          <w:strike/>
          <w:color w:val="00B0F0"/>
          <w:sz w:val="20"/>
          <w:lang w:val="en-US" w:eastAsia="zh-CN"/>
        </w:rPr>
        <w:t xml:space="preserve"> </w:t>
      </w:r>
      <w:r w:rsidRPr="004A29C3">
        <w:rPr>
          <w:strike/>
          <w:color w:val="00B0F0"/>
          <w:sz w:val="20"/>
          <w:lang w:val="en-US" w:eastAsia="zh-CN"/>
        </w:rPr>
        <w:t xml:space="preserve">Sector ID and DMG Antenna ID subfields. </w:t>
      </w:r>
      <w:r w:rsidRPr="00ED4215">
        <w:rPr>
          <w:color w:val="000000" w:themeColor="text1"/>
          <w:sz w:val="20"/>
          <w:lang w:val="en-US" w:eastAsia="zh-CN"/>
        </w:rPr>
        <w:t>A non-PCP and non-AP EDMG STA receiving such allocation shall stay awake during the allocation if the value of the Sector ID and DMG Antenna ID subfields</w:t>
      </w:r>
      <w:r w:rsidRPr="00ED4215">
        <w:rPr>
          <w:rFonts w:hint="eastAsia"/>
          <w:color w:val="000000" w:themeColor="text1"/>
          <w:sz w:val="20"/>
          <w:lang w:val="en-US" w:eastAsia="zh-CN"/>
        </w:rPr>
        <w:t xml:space="preserve"> </w:t>
      </w:r>
      <w:r w:rsidRPr="00ED4215">
        <w:rPr>
          <w:color w:val="000000" w:themeColor="text1"/>
          <w:sz w:val="20"/>
          <w:lang w:val="en-US" w:eastAsia="zh-CN"/>
        </w:rPr>
        <w:t>identified in the allocation correspond to a sector and DMG antenna reported by the STA to the PCP or AP in the last beamforming feedback to the PCP or AP, respectively.</w:t>
      </w:r>
    </w:p>
    <w:p w:rsidR="004B566B" w:rsidRDefault="004B566B" w:rsidP="004B566B"/>
    <w:p w:rsidR="004B566B" w:rsidRPr="00C725AD" w:rsidRDefault="004B566B" w:rsidP="004B566B"/>
    <w:p w:rsidR="004B566B" w:rsidRDefault="004B566B" w:rsidP="004B566B"/>
    <w:p w:rsidR="004B566B" w:rsidRDefault="004B566B" w:rsidP="004B566B"/>
    <w:tbl>
      <w:tblPr>
        <w:tblStyle w:val="TableGrid"/>
        <w:tblW w:w="9209" w:type="dxa"/>
        <w:tblLook w:val="04A0" w:firstRow="1" w:lastRow="0" w:firstColumn="1" w:lastColumn="0" w:noHBand="0" w:noVBand="1"/>
      </w:tblPr>
      <w:tblGrid>
        <w:gridCol w:w="551"/>
        <w:gridCol w:w="1151"/>
        <w:gridCol w:w="3842"/>
        <w:gridCol w:w="3665"/>
      </w:tblGrid>
      <w:tr w:rsidR="004B566B" w:rsidRPr="00427EA3" w:rsidTr="00F62D3E">
        <w:trPr>
          <w:trHeight w:val="558"/>
        </w:trPr>
        <w:tc>
          <w:tcPr>
            <w:tcW w:w="546" w:type="dxa"/>
          </w:tcPr>
          <w:p w:rsidR="004B566B" w:rsidRPr="00427EA3" w:rsidRDefault="004B566B" w:rsidP="00F62D3E">
            <w:pPr>
              <w:rPr>
                <w:lang w:val="en-US"/>
              </w:rPr>
            </w:pPr>
            <w:r w:rsidRPr="00427EA3">
              <w:rPr>
                <w:rFonts w:hint="eastAsia"/>
                <w:lang w:val="en-US"/>
              </w:rPr>
              <w:t>CID</w:t>
            </w:r>
          </w:p>
        </w:tc>
        <w:tc>
          <w:tcPr>
            <w:tcW w:w="1151" w:type="dxa"/>
          </w:tcPr>
          <w:p w:rsidR="004B566B" w:rsidRPr="00427EA3" w:rsidRDefault="004B566B" w:rsidP="00F62D3E">
            <w:pPr>
              <w:rPr>
                <w:lang w:val="en-US"/>
              </w:rPr>
            </w:pPr>
            <w:r w:rsidRPr="00427EA3">
              <w:rPr>
                <w:rFonts w:hint="eastAsia"/>
                <w:lang w:val="en-US"/>
              </w:rPr>
              <w:t>Clause</w:t>
            </w:r>
          </w:p>
        </w:tc>
        <w:tc>
          <w:tcPr>
            <w:tcW w:w="3845" w:type="dxa"/>
          </w:tcPr>
          <w:p w:rsidR="004B566B" w:rsidRPr="00427EA3" w:rsidRDefault="004B566B" w:rsidP="00F62D3E">
            <w:pPr>
              <w:rPr>
                <w:lang w:val="en-US"/>
              </w:rPr>
            </w:pPr>
            <w:r w:rsidRPr="00427EA3">
              <w:rPr>
                <w:rFonts w:hint="eastAsia"/>
                <w:lang w:val="en-US"/>
              </w:rPr>
              <w:t>Comment</w:t>
            </w:r>
          </w:p>
        </w:tc>
        <w:tc>
          <w:tcPr>
            <w:tcW w:w="3667" w:type="dxa"/>
          </w:tcPr>
          <w:p w:rsidR="004B566B" w:rsidRPr="00427EA3" w:rsidRDefault="004B566B" w:rsidP="00F62D3E">
            <w:pPr>
              <w:rPr>
                <w:lang w:val="en-US"/>
              </w:rPr>
            </w:pPr>
            <w:r w:rsidRPr="00427EA3">
              <w:rPr>
                <w:rFonts w:hint="eastAsia"/>
                <w:lang w:val="en-US"/>
              </w:rPr>
              <w:t>Proposed change</w:t>
            </w:r>
          </w:p>
        </w:tc>
      </w:tr>
      <w:tr w:rsidR="004B566B" w:rsidRPr="00A622A3" w:rsidTr="00F62D3E">
        <w:trPr>
          <w:trHeight w:val="841"/>
        </w:trPr>
        <w:tc>
          <w:tcPr>
            <w:tcW w:w="546" w:type="dxa"/>
          </w:tcPr>
          <w:p w:rsidR="004B566B" w:rsidRDefault="004B566B" w:rsidP="00F62D3E">
            <w:r>
              <w:rPr>
                <w:rFonts w:hint="eastAsia"/>
              </w:rPr>
              <w:t>455</w:t>
            </w:r>
          </w:p>
        </w:tc>
        <w:tc>
          <w:tcPr>
            <w:tcW w:w="1151" w:type="dxa"/>
          </w:tcPr>
          <w:p w:rsidR="004B566B" w:rsidRPr="00A622A3" w:rsidRDefault="004B566B" w:rsidP="00F62D3E"/>
        </w:tc>
        <w:tc>
          <w:tcPr>
            <w:tcW w:w="3845" w:type="dxa"/>
          </w:tcPr>
          <w:p w:rsidR="004B566B" w:rsidRDefault="004B566B" w:rsidP="00F62D3E">
            <w:r>
              <w:t>Wrong definition: "If transmitted by an EDMG STA, the New Channel Number field is set to the channel number of the primary channel after the channel switch. The channel number is a channel from the STA's new operating class as defined in Annex E." In EDMG operating class does not identify the primary channel despite .11n there the same channel number applies to different operating classes and the operating class uniquely identifies the primary channel. In EDMG tables of Annex E, operating class defines channel width, channel number defines channel width and the channel central frequency. Actually operating class does not provide any addition to channel number. Thus the EDMG operating class does not provide information about primary channel.</w:t>
            </w:r>
          </w:p>
        </w:tc>
        <w:tc>
          <w:tcPr>
            <w:tcW w:w="3667" w:type="dxa"/>
          </w:tcPr>
          <w:p w:rsidR="004B566B" w:rsidRDefault="004B566B" w:rsidP="00F62D3E">
            <w:r>
              <w:t>Few options are relevant:</w:t>
            </w:r>
          </w:p>
          <w:p w:rsidR="004B566B" w:rsidRDefault="004B566B" w:rsidP="00F62D3E">
            <w:r>
              <w:t>1. Add additional field of primary channel to the Extended Channel Switch Announcement element</w:t>
            </w:r>
          </w:p>
          <w:p w:rsidR="004B566B" w:rsidRDefault="004B566B" w:rsidP="00F62D3E">
            <w:r>
              <w:t>2. Define operating class to indicate primary channel for each channel width. It actually means to have 1, 2, 3, and 4 operating classes respectively to channel width for each channel number.</w:t>
            </w:r>
          </w:p>
          <w:p w:rsidR="004B566B" w:rsidRPr="00A622A3" w:rsidRDefault="004B566B" w:rsidP="00F62D3E">
            <w:r>
              <w:t>May need submission to agree</w:t>
            </w:r>
          </w:p>
        </w:tc>
      </w:tr>
    </w:tbl>
    <w:p w:rsidR="004B566B" w:rsidRDefault="004B566B" w:rsidP="004B566B">
      <w:pPr>
        <w:rPr>
          <w:color w:val="FF0000"/>
          <w:lang w:eastAsia="zh-CN"/>
        </w:rPr>
      </w:pPr>
    </w:p>
    <w:p w:rsidR="004B566B" w:rsidRPr="00B45854" w:rsidRDefault="004B566B" w:rsidP="004B566B">
      <w:pPr>
        <w:rPr>
          <w:color w:val="000000" w:themeColor="text1"/>
          <w:lang w:eastAsia="zh-CN"/>
        </w:rPr>
      </w:pPr>
      <w:r w:rsidRPr="00B45854">
        <w:rPr>
          <w:color w:val="000000" w:themeColor="text1"/>
          <w:lang w:eastAsia="zh-CN"/>
        </w:rPr>
        <w:t xml:space="preserve">Discussion: </w:t>
      </w:r>
    </w:p>
    <w:p w:rsidR="004B566B" w:rsidRPr="00B45854" w:rsidRDefault="004B566B" w:rsidP="004B566B">
      <w:pPr>
        <w:pStyle w:val="ListParagraph"/>
        <w:numPr>
          <w:ilvl w:val="0"/>
          <w:numId w:val="1"/>
        </w:numPr>
        <w:ind w:firstLineChars="0"/>
        <w:rPr>
          <w:rFonts w:eastAsiaTheme="minorEastAsia"/>
          <w:color w:val="000000" w:themeColor="text1"/>
          <w:lang w:eastAsia="zh-CN"/>
        </w:rPr>
      </w:pPr>
      <w:r w:rsidRPr="00B45854">
        <w:rPr>
          <w:rFonts w:eastAsiaTheme="minorEastAsia"/>
          <w:color w:val="000000" w:themeColor="text1"/>
          <w:lang w:eastAsia="zh-CN"/>
        </w:rPr>
        <w:lastRenderedPageBreak/>
        <w:t>In 11n/11ac, for 40MHz channel, the operating class is defined in a way that the field of “Behavior limits set” will identify the primary channel. Specifically, if the field contains “PrimaryChannelLowerBehavior”, it means the primary channel is the lower 20MHz one. In contrast, if it contains “PrimaryChannelUpperBehavior”, it means the primary channel is the upper 20MHz one.</w:t>
      </w:r>
    </w:p>
    <w:p w:rsidR="004B566B" w:rsidRPr="00B45854" w:rsidRDefault="004B566B" w:rsidP="004B566B">
      <w:pPr>
        <w:pStyle w:val="ListParagraph"/>
        <w:numPr>
          <w:ilvl w:val="0"/>
          <w:numId w:val="1"/>
        </w:numPr>
        <w:ind w:firstLineChars="0"/>
        <w:rPr>
          <w:rFonts w:eastAsiaTheme="minorEastAsia"/>
          <w:color w:val="000000" w:themeColor="text1"/>
          <w:lang w:eastAsia="zh-CN"/>
        </w:rPr>
      </w:pPr>
      <w:r w:rsidRPr="00B45854">
        <w:rPr>
          <w:rFonts w:eastAsiaTheme="minorEastAsia"/>
          <w:color w:val="000000" w:themeColor="text1"/>
          <w:lang w:eastAsia="zh-CN"/>
        </w:rPr>
        <w:t>The easiest way to resolve this issue is to redefine the operating classes such that once the primary channel number is conveyed in the New Channel Number subfield, the bonded channel number can be uniquely determined in the associated operating class.</w:t>
      </w:r>
    </w:p>
    <w:p w:rsidR="004B566B" w:rsidRPr="00B45854" w:rsidRDefault="004B566B" w:rsidP="004B566B">
      <w:pPr>
        <w:pStyle w:val="ListParagraph"/>
        <w:numPr>
          <w:ilvl w:val="0"/>
          <w:numId w:val="1"/>
        </w:numPr>
        <w:ind w:firstLineChars="0"/>
        <w:rPr>
          <w:color w:val="000000" w:themeColor="text1"/>
        </w:rPr>
      </w:pPr>
      <w:r w:rsidRPr="00B45854">
        <w:rPr>
          <w:color w:val="000000" w:themeColor="text1"/>
        </w:rPr>
        <w:t>This comment (CID 455) resolution also applies to CID 314.</w:t>
      </w:r>
    </w:p>
    <w:p w:rsidR="004B566B" w:rsidRPr="008F2D83" w:rsidRDefault="004B566B" w:rsidP="004B566B">
      <w:pPr>
        <w:rPr>
          <w:color w:val="FF0000"/>
          <w:lang w:eastAsia="zh-CN"/>
        </w:rPr>
      </w:pPr>
    </w:p>
    <w:p w:rsidR="004B566B" w:rsidRPr="00B51E0A" w:rsidRDefault="004B566B" w:rsidP="004B566B">
      <w:pPr>
        <w:rPr>
          <w:color w:val="000000" w:themeColor="text1"/>
          <w:lang w:eastAsia="zh-CN"/>
        </w:rPr>
      </w:pPr>
      <w:r w:rsidRPr="00B51E0A">
        <w:rPr>
          <w:color w:val="000000" w:themeColor="text1"/>
          <w:lang w:eastAsia="zh-CN"/>
        </w:rPr>
        <w:t>Proposed resolution: Revised</w:t>
      </w:r>
    </w:p>
    <w:p w:rsidR="004B566B" w:rsidRPr="004E77C9" w:rsidRDefault="004B566B" w:rsidP="004B566B">
      <w:pPr>
        <w:rPr>
          <w:i/>
          <w:color w:val="000000" w:themeColor="text1"/>
          <w:sz w:val="20"/>
          <w:lang w:eastAsia="zh-CN"/>
        </w:rPr>
      </w:pPr>
      <w:r w:rsidRPr="004E77C9">
        <w:rPr>
          <w:i/>
          <w:color w:val="000000" w:themeColor="text1"/>
          <w:sz w:val="20"/>
          <w:lang w:eastAsia="zh-CN"/>
        </w:rPr>
        <w:t>Change Annex E as follows:</w:t>
      </w:r>
    </w:p>
    <w:tbl>
      <w:tblPr>
        <w:tblpPr w:leftFromText="180" w:rightFromText="180" w:vertAnchor="text" w:horzAnchor="margin" w:tblpY="5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5"/>
        <w:gridCol w:w="1265"/>
        <w:gridCol w:w="1265"/>
        <w:gridCol w:w="1265"/>
        <w:gridCol w:w="1265"/>
        <w:gridCol w:w="1265"/>
        <w:gridCol w:w="1266"/>
      </w:tblGrid>
      <w:tr w:rsidR="004B566B" w:rsidRPr="00632F18" w:rsidTr="00F62D3E">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35</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181</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56.16</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4320</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9,11,13</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w:t>
            </w:r>
          </w:p>
        </w:tc>
        <w:tc>
          <w:tcPr>
            <w:tcW w:w="1266"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w:t>
            </w:r>
          </w:p>
        </w:tc>
      </w:tr>
      <w:tr w:rsidR="004B566B" w:rsidRPr="00632F18" w:rsidTr="00F62D3E">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36</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182</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56.16</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4320</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10</w:t>
            </w:r>
            <w:r w:rsidRPr="00632F18">
              <w:rPr>
                <w:color w:val="FF0000"/>
                <w:u w:val="single"/>
                <w:lang w:eastAsia="zh-CN"/>
              </w:rPr>
              <w:t>,12</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rPr>
            </w:pPr>
          </w:p>
        </w:tc>
        <w:tc>
          <w:tcPr>
            <w:tcW w:w="1266" w:type="dxa"/>
            <w:tcMar>
              <w:top w:w="0" w:type="dxa"/>
              <w:left w:w="108" w:type="dxa"/>
              <w:bottom w:w="0" w:type="dxa"/>
              <w:right w:w="108" w:type="dxa"/>
            </w:tcMar>
          </w:tcPr>
          <w:p w:rsidR="004B566B" w:rsidRPr="00632F18" w:rsidRDefault="004B566B" w:rsidP="00F62D3E">
            <w:pPr>
              <w:pStyle w:val="IEEEStdsTableData-Center"/>
              <w:rPr>
                <w:color w:val="FF0000"/>
              </w:rPr>
            </w:pPr>
          </w:p>
        </w:tc>
      </w:tr>
      <w:tr w:rsidR="004B566B" w:rsidRPr="00632F18" w:rsidTr="00F62D3E">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37</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183</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56.16</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6480</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17,20</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w:t>
            </w:r>
          </w:p>
        </w:tc>
        <w:tc>
          <w:tcPr>
            <w:tcW w:w="1266"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w:t>
            </w:r>
          </w:p>
        </w:tc>
      </w:tr>
      <w:tr w:rsidR="004B566B" w:rsidRPr="00632F18" w:rsidTr="00F62D3E">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38</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184</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56.16</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6480</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18</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rPr>
            </w:pPr>
          </w:p>
        </w:tc>
        <w:tc>
          <w:tcPr>
            <w:tcW w:w="1266" w:type="dxa"/>
            <w:tcMar>
              <w:top w:w="0" w:type="dxa"/>
              <w:left w:w="108" w:type="dxa"/>
              <w:bottom w:w="0" w:type="dxa"/>
              <w:right w:w="108" w:type="dxa"/>
            </w:tcMar>
          </w:tcPr>
          <w:p w:rsidR="004B566B" w:rsidRPr="00632F18" w:rsidRDefault="004B566B" w:rsidP="00F62D3E">
            <w:pPr>
              <w:pStyle w:val="IEEEStdsTableData-Center"/>
              <w:rPr>
                <w:color w:val="FF0000"/>
              </w:rPr>
            </w:pPr>
          </w:p>
        </w:tc>
      </w:tr>
      <w:tr w:rsidR="004B566B" w:rsidRPr="00632F18" w:rsidTr="00F62D3E">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3</w:t>
            </w:r>
            <w:r w:rsidRPr="00632F18">
              <w:rPr>
                <w:color w:val="FF0000"/>
                <w:u w:val="single"/>
                <w:lang w:eastAsia="zh-CN"/>
              </w:rPr>
              <w:t>9</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18</w:t>
            </w:r>
            <w:r w:rsidRPr="00632F18">
              <w:rPr>
                <w:color w:val="FF0000"/>
                <w:u w:val="single"/>
                <w:lang w:eastAsia="zh-CN"/>
              </w:rPr>
              <w:t>5</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56.16</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6480</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color w:val="FF0000"/>
                <w:u w:val="single"/>
                <w:lang w:eastAsia="zh-CN"/>
              </w:rPr>
              <w:t>19</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rPr>
            </w:pPr>
          </w:p>
        </w:tc>
        <w:tc>
          <w:tcPr>
            <w:tcW w:w="1266" w:type="dxa"/>
            <w:tcMar>
              <w:top w:w="0" w:type="dxa"/>
              <w:left w:w="108" w:type="dxa"/>
              <w:bottom w:w="0" w:type="dxa"/>
              <w:right w:w="108" w:type="dxa"/>
            </w:tcMar>
          </w:tcPr>
          <w:p w:rsidR="004B566B" w:rsidRPr="00632F18" w:rsidRDefault="004B566B" w:rsidP="00F62D3E">
            <w:pPr>
              <w:pStyle w:val="IEEEStdsTableData-Center"/>
              <w:rPr>
                <w:color w:val="FF0000"/>
              </w:rPr>
            </w:pPr>
          </w:p>
        </w:tc>
      </w:tr>
      <w:tr w:rsidR="004B566B" w:rsidRPr="00632F18" w:rsidTr="00F62D3E">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40</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186</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56.16</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8640</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25</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rPr>
            </w:pPr>
          </w:p>
        </w:tc>
        <w:tc>
          <w:tcPr>
            <w:tcW w:w="1266" w:type="dxa"/>
            <w:tcMar>
              <w:top w:w="0" w:type="dxa"/>
              <w:left w:w="108" w:type="dxa"/>
              <w:bottom w:w="0" w:type="dxa"/>
              <w:right w:w="108" w:type="dxa"/>
            </w:tcMar>
          </w:tcPr>
          <w:p w:rsidR="004B566B" w:rsidRPr="00632F18" w:rsidRDefault="004B566B" w:rsidP="00F62D3E">
            <w:pPr>
              <w:pStyle w:val="IEEEStdsTableData-Center"/>
              <w:rPr>
                <w:color w:val="FF0000"/>
              </w:rPr>
            </w:pPr>
          </w:p>
        </w:tc>
      </w:tr>
      <w:tr w:rsidR="004B566B" w:rsidRPr="00632F18" w:rsidTr="00F62D3E">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41</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187</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56.16</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8640</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26</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rPr>
            </w:pPr>
          </w:p>
        </w:tc>
        <w:tc>
          <w:tcPr>
            <w:tcW w:w="1266" w:type="dxa"/>
            <w:tcMar>
              <w:top w:w="0" w:type="dxa"/>
              <w:left w:w="108" w:type="dxa"/>
              <w:bottom w:w="0" w:type="dxa"/>
              <w:right w:w="108" w:type="dxa"/>
            </w:tcMar>
          </w:tcPr>
          <w:p w:rsidR="004B566B" w:rsidRPr="00632F18" w:rsidRDefault="004B566B" w:rsidP="00F62D3E">
            <w:pPr>
              <w:pStyle w:val="IEEEStdsTableData-Center"/>
              <w:rPr>
                <w:color w:val="FF0000"/>
              </w:rPr>
            </w:pPr>
          </w:p>
        </w:tc>
      </w:tr>
      <w:tr w:rsidR="004B566B" w:rsidRPr="00632F18" w:rsidTr="00F62D3E">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42</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188</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56.16</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8640</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27</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rPr>
            </w:pPr>
          </w:p>
        </w:tc>
        <w:tc>
          <w:tcPr>
            <w:tcW w:w="1266" w:type="dxa"/>
            <w:tcMar>
              <w:top w:w="0" w:type="dxa"/>
              <w:left w:w="108" w:type="dxa"/>
              <w:bottom w:w="0" w:type="dxa"/>
              <w:right w:w="108" w:type="dxa"/>
            </w:tcMar>
          </w:tcPr>
          <w:p w:rsidR="004B566B" w:rsidRPr="00632F18" w:rsidRDefault="004B566B" w:rsidP="00F62D3E">
            <w:pPr>
              <w:pStyle w:val="IEEEStdsTableData-Center"/>
              <w:rPr>
                <w:color w:val="FF0000"/>
              </w:rPr>
            </w:pPr>
          </w:p>
        </w:tc>
      </w:tr>
      <w:tr w:rsidR="004B566B" w:rsidRPr="00632F18" w:rsidTr="00F62D3E">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strike/>
                <w:color w:val="FF0000"/>
              </w:rPr>
              <w:t>35</w:t>
            </w:r>
            <w:r w:rsidRPr="00632F18">
              <w:rPr>
                <w:color w:val="FF0000"/>
                <w:u w:val="single"/>
              </w:rPr>
              <w:t>43</w:t>
            </w:r>
            <w:r w:rsidRPr="00632F18">
              <w:rPr>
                <w:color w:val="FF0000"/>
              </w:rPr>
              <w:t>-127</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c>
          <w:tcPr>
            <w:tcW w:w="1266"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r>
    </w:tbl>
    <w:p w:rsidR="004B566B" w:rsidRPr="004E77C9" w:rsidRDefault="004B566B" w:rsidP="004B566B">
      <w:pPr>
        <w:pStyle w:val="IEEEStdsParagraph"/>
        <w:rPr>
          <w:i/>
          <w:color w:val="000000" w:themeColor="text1"/>
        </w:rPr>
      </w:pPr>
      <w:r w:rsidRPr="004E77C9">
        <w:rPr>
          <w:i/>
          <w:color w:val="000000" w:themeColor="text1"/>
        </w:rPr>
        <w:t>Change Table E-1 as follows</w:t>
      </w:r>
    </w:p>
    <w:p w:rsidR="004B566B" w:rsidRPr="00632F18" w:rsidRDefault="004B566B" w:rsidP="004B566B">
      <w:pPr>
        <w:pStyle w:val="IEEEStdsParagraph"/>
        <w:rPr>
          <w:rFonts w:eastAsia="MS Mincho"/>
          <w:color w:val="FF0000"/>
        </w:rPr>
      </w:pPr>
    </w:p>
    <w:tbl>
      <w:tblPr>
        <w:tblpPr w:leftFromText="180" w:rightFromText="180" w:vertAnchor="text" w:horzAnchor="margin" w:tblpY="5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5"/>
        <w:gridCol w:w="1265"/>
        <w:gridCol w:w="1265"/>
        <w:gridCol w:w="1265"/>
        <w:gridCol w:w="1265"/>
        <w:gridCol w:w="1265"/>
        <w:gridCol w:w="1266"/>
      </w:tblGrid>
      <w:tr w:rsidR="004B566B" w:rsidRPr="00632F18" w:rsidTr="00F62D3E">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19</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181</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56.16</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4320</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9, 11</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w:t>
            </w:r>
          </w:p>
        </w:tc>
        <w:tc>
          <w:tcPr>
            <w:tcW w:w="1266"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w:t>
            </w:r>
          </w:p>
        </w:tc>
      </w:tr>
      <w:tr w:rsidR="004B566B" w:rsidRPr="00632F18" w:rsidTr="00F62D3E">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20</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1</w:t>
            </w:r>
            <w:r w:rsidRPr="00632F18">
              <w:rPr>
                <w:color w:val="FF0000"/>
                <w:u w:val="single"/>
                <w:lang w:eastAsia="zh-CN"/>
              </w:rPr>
              <w:t>82</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5</w:t>
            </w:r>
            <w:r w:rsidRPr="00632F18">
              <w:rPr>
                <w:color w:val="FF0000"/>
                <w:u w:val="single"/>
                <w:lang w:eastAsia="zh-CN"/>
              </w:rPr>
              <w:t>6.16</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43</w:t>
            </w:r>
            <w:r w:rsidRPr="00632F18">
              <w:rPr>
                <w:color w:val="FF0000"/>
                <w:u w:val="single"/>
                <w:lang w:eastAsia="zh-CN"/>
              </w:rPr>
              <w:t>20</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10</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rPr>
            </w:pPr>
          </w:p>
        </w:tc>
        <w:tc>
          <w:tcPr>
            <w:tcW w:w="1266" w:type="dxa"/>
            <w:tcMar>
              <w:top w:w="0" w:type="dxa"/>
              <w:left w:w="108" w:type="dxa"/>
              <w:bottom w:w="0" w:type="dxa"/>
              <w:right w:w="108" w:type="dxa"/>
            </w:tcMar>
          </w:tcPr>
          <w:p w:rsidR="004B566B" w:rsidRPr="00632F18" w:rsidRDefault="004B566B" w:rsidP="00F62D3E">
            <w:pPr>
              <w:pStyle w:val="IEEEStdsTableData-Center"/>
              <w:rPr>
                <w:color w:val="FF0000"/>
              </w:rPr>
            </w:pPr>
          </w:p>
        </w:tc>
      </w:tr>
      <w:tr w:rsidR="004B566B" w:rsidRPr="00632F18" w:rsidTr="00F62D3E">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21</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183</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56.16</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6480</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17</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w:t>
            </w:r>
          </w:p>
        </w:tc>
        <w:tc>
          <w:tcPr>
            <w:tcW w:w="1266"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w:t>
            </w:r>
          </w:p>
        </w:tc>
      </w:tr>
      <w:tr w:rsidR="004B566B" w:rsidRPr="00632F18" w:rsidTr="00F62D3E">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22</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184</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56.16</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6480</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18</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rPr>
            </w:pPr>
            <w:r w:rsidRPr="00632F18">
              <w:rPr>
                <w:color w:val="FF0000"/>
              </w:rPr>
              <w:t>-</w:t>
            </w:r>
          </w:p>
        </w:tc>
        <w:tc>
          <w:tcPr>
            <w:tcW w:w="1266" w:type="dxa"/>
            <w:tcMar>
              <w:top w:w="0" w:type="dxa"/>
              <w:left w:w="108" w:type="dxa"/>
              <w:bottom w:w="0" w:type="dxa"/>
              <w:right w:w="108" w:type="dxa"/>
            </w:tcMar>
          </w:tcPr>
          <w:p w:rsidR="004B566B" w:rsidRPr="00632F18" w:rsidRDefault="004B566B" w:rsidP="00F62D3E">
            <w:pPr>
              <w:pStyle w:val="IEEEStdsTableData-Center"/>
              <w:rPr>
                <w:color w:val="FF0000"/>
              </w:rPr>
            </w:pPr>
            <w:r w:rsidRPr="00632F18">
              <w:rPr>
                <w:color w:val="FF0000"/>
              </w:rPr>
              <w:t>-</w:t>
            </w:r>
          </w:p>
        </w:tc>
      </w:tr>
      <w:tr w:rsidR="004B566B" w:rsidRPr="00632F18" w:rsidTr="00F62D3E">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23</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185</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56.16</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8640</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25</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rPr>
            </w:pPr>
          </w:p>
        </w:tc>
        <w:tc>
          <w:tcPr>
            <w:tcW w:w="1266" w:type="dxa"/>
            <w:tcMar>
              <w:top w:w="0" w:type="dxa"/>
              <w:left w:w="108" w:type="dxa"/>
              <w:bottom w:w="0" w:type="dxa"/>
              <w:right w:w="108" w:type="dxa"/>
            </w:tcMar>
          </w:tcPr>
          <w:p w:rsidR="004B566B" w:rsidRPr="00632F18" w:rsidRDefault="004B566B" w:rsidP="00F62D3E">
            <w:pPr>
              <w:pStyle w:val="IEEEStdsTableData-Center"/>
              <w:rPr>
                <w:color w:val="FF0000"/>
              </w:rPr>
            </w:pPr>
          </w:p>
        </w:tc>
      </w:tr>
      <w:tr w:rsidR="004B566B" w:rsidRPr="00632F18" w:rsidTr="00F62D3E">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strike/>
                <w:color w:val="FF0000"/>
              </w:rPr>
              <w:t>19</w:t>
            </w:r>
            <w:r w:rsidRPr="00632F18">
              <w:rPr>
                <w:color w:val="FF0000"/>
                <w:u w:val="single"/>
              </w:rPr>
              <w:t>24</w:t>
            </w:r>
            <w:r w:rsidRPr="00632F18">
              <w:rPr>
                <w:color w:val="FF0000"/>
              </w:rPr>
              <w:t>-127</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c>
          <w:tcPr>
            <w:tcW w:w="1266"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r>
    </w:tbl>
    <w:p w:rsidR="004B566B" w:rsidRPr="004E77C9" w:rsidRDefault="004B566B" w:rsidP="004B566B">
      <w:pPr>
        <w:pStyle w:val="IEEEStdsParagraph"/>
        <w:rPr>
          <w:i/>
          <w:color w:val="000000" w:themeColor="text1"/>
        </w:rPr>
      </w:pPr>
      <w:r w:rsidRPr="004E77C9">
        <w:rPr>
          <w:i/>
          <w:color w:val="000000" w:themeColor="text1"/>
        </w:rPr>
        <w:t>Change Table E-2 as follows</w:t>
      </w:r>
    </w:p>
    <w:p w:rsidR="004B566B" w:rsidRPr="00632F18" w:rsidRDefault="004B566B" w:rsidP="004B566B">
      <w:pPr>
        <w:pStyle w:val="IEEEStdsParagraph"/>
        <w:rPr>
          <w:color w:val="FF0000"/>
        </w:rPr>
      </w:pPr>
    </w:p>
    <w:tbl>
      <w:tblPr>
        <w:tblpPr w:leftFromText="180" w:rightFromText="180" w:vertAnchor="text" w:horzAnchor="margin" w:tblpY="5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5"/>
        <w:gridCol w:w="1265"/>
        <w:gridCol w:w="1265"/>
        <w:gridCol w:w="1265"/>
        <w:gridCol w:w="1265"/>
        <w:gridCol w:w="1265"/>
        <w:gridCol w:w="1266"/>
      </w:tblGrid>
      <w:tr w:rsidR="004B566B" w:rsidRPr="00632F18" w:rsidTr="00F62D3E">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60</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181</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56.16</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4320</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9, 11</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w:t>
            </w:r>
          </w:p>
        </w:tc>
        <w:tc>
          <w:tcPr>
            <w:tcW w:w="1266"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w:t>
            </w:r>
          </w:p>
        </w:tc>
      </w:tr>
      <w:tr w:rsidR="004B566B" w:rsidRPr="00632F18" w:rsidTr="00F62D3E">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61</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182</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56.16</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4320</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10</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rPr>
            </w:pPr>
            <w:r w:rsidRPr="00632F18">
              <w:rPr>
                <w:color w:val="FF0000"/>
              </w:rPr>
              <w:t>-</w:t>
            </w:r>
          </w:p>
        </w:tc>
        <w:tc>
          <w:tcPr>
            <w:tcW w:w="1266" w:type="dxa"/>
            <w:tcMar>
              <w:top w:w="0" w:type="dxa"/>
              <w:left w:w="108" w:type="dxa"/>
              <w:bottom w:w="0" w:type="dxa"/>
              <w:right w:w="108" w:type="dxa"/>
            </w:tcMar>
          </w:tcPr>
          <w:p w:rsidR="004B566B" w:rsidRPr="00632F18" w:rsidRDefault="004B566B" w:rsidP="00F62D3E">
            <w:pPr>
              <w:pStyle w:val="IEEEStdsTableData-Center"/>
              <w:rPr>
                <w:color w:val="FF0000"/>
              </w:rPr>
            </w:pPr>
            <w:r w:rsidRPr="00632F18">
              <w:rPr>
                <w:color w:val="FF0000"/>
              </w:rPr>
              <w:t>-</w:t>
            </w:r>
          </w:p>
        </w:tc>
      </w:tr>
      <w:tr w:rsidR="004B566B" w:rsidRPr="00632F18" w:rsidTr="00F62D3E">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62</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183</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56.16</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6480</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17</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w:t>
            </w:r>
          </w:p>
        </w:tc>
        <w:tc>
          <w:tcPr>
            <w:tcW w:w="1266"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w:t>
            </w:r>
          </w:p>
        </w:tc>
      </w:tr>
      <w:tr w:rsidR="004B566B" w:rsidRPr="00632F18" w:rsidTr="00F62D3E">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63</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184</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56.16</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6480</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18</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rPr>
            </w:pPr>
            <w:r w:rsidRPr="00632F18">
              <w:rPr>
                <w:color w:val="FF0000"/>
              </w:rPr>
              <w:t>-</w:t>
            </w:r>
          </w:p>
        </w:tc>
        <w:tc>
          <w:tcPr>
            <w:tcW w:w="1266" w:type="dxa"/>
            <w:tcMar>
              <w:top w:w="0" w:type="dxa"/>
              <w:left w:w="108" w:type="dxa"/>
              <w:bottom w:w="0" w:type="dxa"/>
              <w:right w:w="108" w:type="dxa"/>
            </w:tcMar>
          </w:tcPr>
          <w:p w:rsidR="004B566B" w:rsidRPr="00632F18" w:rsidRDefault="004B566B" w:rsidP="00F62D3E">
            <w:pPr>
              <w:pStyle w:val="IEEEStdsTableData-Center"/>
              <w:rPr>
                <w:color w:val="FF0000"/>
              </w:rPr>
            </w:pPr>
            <w:r w:rsidRPr="00632F18">
              <w:rPr>
                <w:color w:val="FF0000"/>
              </w:rPr>
              <w:t>-</w:t>
            </w:r>
          </w:p>
        </w:tc>
      </w:tr>
      <w:tr w:rsidR="004B566B" w:rsidRPr="00632F18" w:rsidTr="00F62D3E">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64</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185</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56.16</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8640</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25</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rPr>
            </w:pPr>
          </w:p>
        </w:tc>
        <w:tc>
          <w:tcPr>
            <w:tcW w:w="1266" w:type="dxa"/>
            <w:tcMar>
              <w:top w:w="0" w:type="dxa"/>
              <w:left w:w="108" w:type="dxa"/>
              <w:bottom w:w="0" w:type="dxa"/>
              <w:right w:w="108" w:type="dxa"/>
            </w:tcMar>
          </w:tcPr>
          <w:p w:rsidR="004B566B" w:rsidRPr="00632F18" w:rsidRDefault="004B566B" w:rsidP="00F62D3E">
            <w:pPr>
              <w:pStyle w:val="IEEEStdsTableData-Center"/>
              <w:rPr>
                <w:color w:val="FF0000"/>
              </w:rPr>
            </w:pPr>
          </w:p>
        </w:tc>
      </w:tr>
      <w:tr w:rsidR="004B566B" w:rsidRPr="00632F18" w:rsidTr="00F62D3E">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strike/>
                <w:color w:val="FF0000"/>
              </w:rPr>
              <w:t>60</w:t>
            </w:r>
            <w:r w:rsidRPr="00632F18">
              <w:rPr>
                <w:color w:val="FF0000"/>
                <w:u w:val="single"/>
              </w:rPr>
              <w:t>65</w:t>
            </w:r>
            <w:r w:rsidRPr="00632F18">
              <w:rPr>
                <w:color w:val="FF0000"/>
              </w:rPr>
              <w:t>-127</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c>
          <w:tcPr>
            <w:tcW w:w="1266"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r>
    </w:tbl>
    <w:p w:rsidR="004B566B" w:rsidRPr="00577A49" w:rsidRDefault="004B566B" w:rsidP="004B566B">
      <w:pPr>
        <w:pStyle w:val="IEEEStdsParagraph"/>
        <w:rPr>
          <w:i/>
        </w:rPr>
      </w:pPr>
      <w:r w:rsidRPr="00577A49">
        <w:rPr>
          <w:i/>
        </w:rPr>
        <w:t>Change Table E-</w:t>
      </w:r>
      <w:r>
        <w:rPr>
          <w:i/>
        </w:rPr>
        <w:t>3</w:t>
      </w:r>
      <w:r w:rsidRPr="00577A49">
        <w:rPr>
          <w:i/>
        </w:rPr>
        <w:t xml:space="preserve"> as follows</w:t>
      </w:r>
    </w:p>
    <w:p w:rsidR="004B566B" w:rsidRDefault="004B566B" w:rsidP="004B566B">
      <w:pPr>
        <w:pStyle w:val="IEEEStdsParagraph"/>
      </w:pPr>
    </w:p>
    <w:tbl>
      <w:tblPr>
        <w:tblpPr w:leftFromText="180" w:rightFromText="180" w:vertAnchor="text" w:horzAnchor="margin" w:tblpY="5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5"/>
        <w:gridCol w:w="1265"/>
        <w:gridCol w:w="1265"/>
        <w:gridCol w:w="1265"/>
        <w:gridCol w:w="1265"/>
        <w:gridCol w:w="1265"/>
        <w:gridCol w:w="1266"/>
      </w:tblGrid>
      <w:tr w:rsidR="004B566B" w:rsidTr="00F62D3E">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u w:val="single"/>
              </w:rPr>
            </w:pPr>
            <w:r w:rsidRPr="0043402A">
              <w:rPr>
                <w:color w:val="FF0000"/>
                <w:u w:val="single"/>
              </w:rPr>
              <w:t>181</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u w:val="single"/>
              </w:rPr>
            </w:pPr>
            <w:r w:rsidRPr="0043402A">
              <w:rPr>
                <w:color w:val="FF0000"/>
                <w:u w:val="single"/>
              </w:rPr>
              <w:t>E-1-35,</w:t>
            </w:r>
          </w:p>
          <w:p w:rsidR="004B566B" w:rsidRPr="0043402A" w:rsidRDefault="004B566B" w:rsidP="00F62D3E">
            <w:pPr>
              <w:pStyle w:val="IEEEStdsTableData-Center"/>
              <w:rPr>
                <w:color w:val="FF0000"/>
                <w:u w:val="single"/>
              </w:rPr>
            </w:pPr>
            <w:r w:rsidRPr="0043402A">
              <w:rPr>
                <w:color w:val="FF0000"/>
                <w:u w:val="single"/>
              </w:rPr>
              <w:t>E-2-19,</w:t>
            </w:r>
          </w:p>
          <w:p w:rsidR="004B566B" w:rsidRPr="0043402A" w:rsidRDefault="004B566B" w:rsidP="00F62D3E">
            <w:pPr>
              <w:pStyle w:val="IEEEStdsTableData-Center"/>
              <w:rPr>
                <w:color w:val="FF0000"/>
                <w:u w:val="single"/>
              </w:rPr>
            </w:pPr>
            <w:r w:rsidRPr="0043402A">
              <w:rPr>
                <w:color w:val="FF0000"/>
                <w:u w:val="single"/>
              </w:rPr>
              <w:t>E-3-60</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u w:val="single"/>
              </w:rPr>
            </w:pPr>
            <w:r w:rsidRPr="0043402A">
              <w:rPr>
                <w:color w:val="FF0000"/>
                <w:u w:val="single"/>
              </w:rPr>
              <w:t>56.16</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u w:val="single"/>
              </w:rPr>
            </w:pPr>
            <w:r w:rsidRPr="0043402A">
              <w:rPr>
                <w:color w:val="FF0000"/>
                <w:u w:val="single"/>
              </w:rPr>
              <w:t>4320</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u w:val="single"/>
              </w:rPr>
            </w:pPr>
            <w:r>
              <w:rPr>
                <w:color w:val="FF0000"/>
                <w:u w:val="single"/>
              </w:rPr>
              <w:t>9, 11, 13</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rPr>
            </w:pPr>
            <w:r w:rsidRPr="0043402A">
              <w:rPr>
                <w:color w:val="FF0000"/>
              </w:rPr>
              <w:t>-</w:t>
            </w:r>
          </w:p>
        </w:tc>
        <w:tc>
          <w:tcPr>
            <w:tcW w:w="1266" w:type="dxa"/>
            <w:tcMar>
              <w:top w:w="0" w:type="dxa"/>
              <w:left w:w="108" w:type="dxa"/>
              <w:bottom w:w="0" w:type="dxa"/>
              <w:right w:w="108" w:type="dxa"/>
            </w:tcMar>
            <w:hideMark/>
          </w:tcPr>
          <w:p w:rsidR="004B566B" w:rsidRPr="0043402A" w:rsidRDefault="004B566B" w:rsidP="00F62D3E">
            <w:pPr>
              <w:pStyle w:val="IEEEStdsTableData-Center"/>
              <w:rPr>
                <w:color w:val="FF0000"/>
              </w:rPr>
            </w:pPr>
            <w:r w:rsidRPr="0043402A">
              <w:rPr>
                <w:color w:val="FF0000"/>
              </w:rPr>
              <w:t>-</w:t>
            </w:r>
          </w:p>
        </w:tc>
      </w:tr>
      <w:tr w:rsidR="004B566B" w:rsidTr="00F62D3E">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182</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E-1-36</w:t>
            </w:r>
            <w:r w:rsidRPr="0043402A">
              <w:rPr>
                <w:color w:val="FF0000"/>
                <w:u w:val="single"/>
              </w:rPr>
              <w:t>,</w:t>
            </w:r>
          </w:p>
          <w:p w:rsidR="004B566B" w:rsidRPr="0043402A" w:rsidRDefault="004B566B" w:rsidP="00F62D3E">
            <w:pPr>
              <w:pStyle w:val="IEEEStdsTableData-Center"/>
              <w:rPr>
                <w:color w:val="FF0000"/>
                <w:u w:val="single"/>
              </w:rPr>
            </w:pPr>
            <w:r>
              <w:rPr>
                <w:color w:val="FF0000"/>
                <w:u w:val="single"/>
              </w:rPr>
              <w:t>E-2-20</w:t>
            </w:r>
            <w:r w:rsidRPr="0043402A">
              <w:rPr>
                <w:color w:val="FF0000"/>
                <w:u w:val="single"/>
              </w:rPr>
              <w:t>,</w:t>
            </w:r>
          </w:p>
          <w:p w:rsidR="004B566B" w:rsidRPr="0043402A" w:rsidRDefault="004B566B" w:rsidP="00F62D3E">
            <w:pPr>
              <w:pStyle w:val="IEEEStdsTableData-Center"/>
              <w:rPr>
                <w:color w:val="FF0000"/>
                <w:u w:val="single"/>
              </w:rPr>
            </w:pPr>
            <w:r>
              <w:rPr>
                <w:color w:val="FF0000"/>
                <w:u w:val="single"/>
              </w:rPr>
              <w:t>E-3-61</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sidRPr="0043402A">
              <w:rPr>
                <w:color w:val="FF0000"/>
                <w:u w:val="single"/>
              </w:rPr>
              <w:t>56.16</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sidRPr="0043402A">
              <w:rPr>
                <w:color w:val="FF0000"/>
                <w:u w:val="single"/>
              </w:rPr>
              <w:t>4320</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10, 12</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rPr>
            </w:pPr>
            <w:r w:rsidRPr="0043402A">
              <w:rPr>
                <w:color w:val="FF0000"/>
              </w:rPr>
              <w:t>-</w:t>
            </w:r>
          </w:p>
        </w:tc>
        <w:tc>
          <w:tcPr>
            <w:tcW w:w="1266" w:type="dxa"/>
            <w:tcMar>
              <w:top w:w="0" w:type="dxa"/>
              <w:left w:w="108" w:type="dxa"/>
              <w:bottom w:w="0" w:type="dxa"/>
              <w:right w:w="108" w:type="dxa"/>
            </w:tcMar>
          </w:tcPr>
          <w:p w:rsidR="004B566B" w:rsidRPr="0043402A" w:rsidRDefault="004B566B" w:rsidP="00F62D3E">
            <w:pPr>
              <w:pStyle w:val="IEEEStdsTableData-Center"/>
              <w:rPr>
                <w:color w:val="FF0000"/>
              </w:rPr>
            </w:pPr>
            <w:r w:rsidRPr="0043402A">
              <w:rPr>
                <w:color w:val="FF0000"/>
              </w:rPr>
              <w:t>-</w:t>
            </w:r>
          </w:p>
        </w:tc>
      </w:tr>
      <w:tr w:rsidR="004B566B" w:rsidTr="00F62D3E">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u w:val="single"/>
              </w:rPr>
            </w:pPr>
            <w:r>
              <w:rPr>
                <w:color w:val="FF0000"/>
                <w:u w:val="single"/>
              </w:rPr>
              <w:t>183</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u w:val="single"/>
              </w:rPr>
            </w:pPr>
            <w:r>
              <w:rPr>
                <w:color w:val="FF0000"/>
                <w:u w:val="single"/>
              </w:rPr>
              <w:t>E-1-37</w:t>
            </w:r>
            <w:r w:rsidRPr="0043402A">
              <w:rPr>
                <w:color w:val="FF0000"/>
                <w:u w:val="single"/>
              </w:rPr>
              <w:t>,</w:t>
            </w:r>
          </w:p>
          <w:p w:rsidR="004B566B" w:rsidRPr="0043402A" w:rsidRDefault="004B566B" w:rsidP="00F62D3E">
            <w:pPr>
              <w:pStyle w:val="IEEEStdsTableData-Center"/>
              <w:rPr>
                <w:color w:val="FF0000"/>
                <w:u w:val="single"/>
              </w:rPr>
            </w:pPr>
            <w:r w:rsidRPr="0043402A">
              <w:rPr>
                <w:color w:val="FF0000"/>
                <w:u w:val="single"/>
              </w:rPr>
              <w:t>E-</w:t>
            </w:r>
            <w:r>
              <w:rPr>
                <w:color w:val="FF0000"/>
                <w:u w:val="single"/>
              </w:rPr>
              <w:t>2-21</w:t>
            </w:r>
            <w:r w:rsidRPr="0043402A">
              <w:rPr>
                <w:color w:val="FF0000"/>
                <w:u w:val="single"/>
              </w:rPr>
              <w:t>,</w:t>
            </w:r>
          </w:p>
          <w:p w:rsidR="004B566B" w:rsidRPr="0043402A" w:rsidRDefault="004B566B" w:rsidP="00F62D3E">
            <w:pPr>
              <w:pStyle w:val="IEEEStdsTableData-Center"/>
              <w:rPr>
                <w:color w:val="FF0000"/>
                <w:u w:val="single"/>
              </w:rPr>
            </w:pPr>
            <w:r>
              <w:rPr>
                <w:color w:val="FF0000"/>
                <w:u w:val="single"/>
              </w:rPr>
              <w:t>E-3-62</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u w:val="single"/>
              </w:rPr>
            </w:pPr>
            <w:r w:rsidRPr="0043402A">
              <w:rPr>
                <w:color w:val="FF0000"/>
                <w:u w:val="single"/>
              </w:rPr>
              <w:t>56.16</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u w:val="single"/>
              </w:rPr>
            </w:pPr>
            <w:r w:rsidRPr="0043402A">
              <w:rPr>
                <w:color w:val="FF0000"/>
                <w:u w:val="single"/>
              </w:rPr>
              <w:t>6480</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u w:val="single"/>
              </w:rPr>
            </w:pPr>
            <w:r>
              <w:rPr>
                <w:color w:val="FF0000"/>
                <w:u w:val="single"/>
              </w:rPr>
              <w:t xml:space="preserve">17, </w:t>
            </w:r>
            <w:r w:rsidRPr="0043402A">
              <w:rPr>
                <w:color w:val="FF0000"/>
                <w:u w:val="single"/>
              </w:rPr>
              <w:t>20</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rPr>
            </w:pPr>
            <w:r w:rsidRPr="0043402A">
              <w:rPr>
                <w:color w:val="FF0000"/>
              </w:rPr>
              <w:t>-</w:t>
            </w:r>
          </w:p>
        </w:tc>
        <w:tc>
          <w:tcPr>
            <w:tcW w:w="1266" w:type="dxa"/>
            <w:tcMar>
              <w:top w:w="0" w:type="dxa"/>
              <w:left w:w="108" w:type="dxa"/>
              <w:bottom w:w="0" w:type="dxa"/>
              <w:right w:w="108" w:type="dxa"/>
            </w:tcMar>
            <w:hideMark/>
          </w:tcPr>
          <w:p w:rsidR="004B566B" w:rsidRPr="0043402A" w:rsidRDefault="004B566B" w:rsidP="00F62D3E">
            <w:pPr>
              <w:pStyle w:val="IEEEStdsTableData-Center"/>
              <w:rPr>
                <w:color w:val="FF0000"/>
              </w:rPr>
            </w:pPr>
            <w:r w:rsidRPr="0043402A">
              <w:rPr>
                <w:color w:val="FF0000"/>
              </w:rPr>
              <w:t>-</w:t>
            </w:r>
          </w:p>
        </w:tc>
      </w:tr>
      <w:tr w:rsidR="004B566B" w:rsidTr="00F62D3E">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184</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E-1-38</w:t>
            </w:r>
            <w:r w:rsidRPr="0043402A">
              <w:rPr>
                <w:color w:val="FF0000"/>
                <w:u w:val="single"/>
              </w:rPr>
              <w:t>,</w:t>
            </w:r>
          </w:p>
          <w:p w:rsidR="004B566B" w:rsidRPr="0043402A" w:rsidRDefault="004B566B" w:rsidP="00F62D3E">
            <w:pPr>
              <w:pStyle w:val="IEEEStdsTableData-Center"/>
              <w:rPr>
                <w:color w:val="FF0000"/>
                <w:u w:val="single"/>
              </w:rPr>
            </w:pPr>
            <w:r>
              <w:rPr>
                <w:color w:val="FF0000"/>
                <w:u w:val="single"/>
              </w:rPr>
              <w:t>E-2-21</w:t>
            </w:r>
            <w:r w:rsidRPr="0043402A">
              <w:rPr>
                <w:color w:val="FF0000"/>
                <w:u w:val="single"/>
              </w:rPr>
              <w:t>,</w:t>
            </w:r>
          </w:p>
          <w:p w:rsidR="004B566B" w:rsidRPr="0043402A" w:rsidRDefault="004B566B" w:rsidP="00F62D3E">
            <w:pPr>
              <w:pStyle w:val="IEEEStdsTableData-Center"/>
              <w:rPr>
                <w:color w:val="FF0000"/>
                <w:u w:val="single"/>
              </w:rPr>
            </w:pPr>
            <w:r>
              <w:rPr>
                <w:color w:val="FF0000"/>
                <w:u w:val="single"/>
              </w:rPr>
              <w:lastRenderedPageBreak/>
              <w:t>E-3-63</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sidRPr="0043402A">
              <w:rPr>
                <w:color w:val="FF0000"/>
                <w:u w:val="single"/>
              </w:rPr>
              <w:lastRenderedPageBreak/>
              <w:t>56.16</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6480</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18</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rPr>
            </w:pPr>
            <w:r w:rsidRPr="0043402A">
              <w:rPr>
                <w:color w:val="FF0000"/>
              </w:rPr>
              <w:t>-</w:t>
            </w:r>
          </w:p>
        </w:tc>
        <w:tc>
          <w:tcPr>
            <w:tcW w:w="1266" w:type="dxa"/>
            <w:tcMar>
              <w:top w:w="0" w:type="dxa"/>
              <w:left w:w="108" w:type="dxa"/>
              <w:bottom w:w="0" w:type="dxa"/>
              <w:right w:w="108" w:type="dxa"/>
            </w:tcMar>
          </w:tcPr>
          <w:p w:rsidR="004B566B" w:rsidRPr="0043402A" w:rsidRDefault="004B566B" w:rsidP="00F62D3E">
            <w:pPr>
              <w:pStyle w:val="IEEEStdsTableData-Center"/>
              <w:rPr>
                <w:color w:val="FF0000"/>
              </w:rPr>
            </w:pPr>
            <w:r w:rsidRPr="0043402A">
              <w:rPr>
                <w:color w:val="FF0000"/>
              </w:rPr>
              <w:t>-</w:t>
            </w:r>
          </w:p>
        </w:tc>
      </w:tr>
      <w:tr w:rsidR="004B566B" w:rsidTr="00F62D3E">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185</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E-1-39</w:t>
            </w:r>
            <w:r w:rsidRPr="0043402A">
              <w:rPr>
                <w:color w:val="FF0000"/>
                <w:u w:val="single"/>
              </w:rPr>
              <w:t>,</w:t>
            </w:r>
          </w:p>
          <w:p w:rsidR="004B566B" w:rsidRPr="0043402A" w:rsidRDefault="004B566B" w:rsidP="00F62D3E">
            <w:pPr>
              <w:pStyle w:val="IEEEStdsTableData-Center"/>
              <w:rPr>
                <w:color w:val="FF0000"/>
                <w:u w:val="single"/>
              </w:rPr>
            </w:pPr>
            <w:r>
              <w:rPr>
                <w:color w:val="FF0000"/>
                <w:u w:val="single"/>
              </w:rPr>
              <w:t>E-2-22</w:t>
            </w:r>
            <w:r w:rsidRPr="0043402A">
              <w:rPr>
                <w:color w:val="FF0000"/>
                <w:u w:val="single"/>
              </w:rPr>
              <w:t>,</w:t>
            </w:r>
          </w:p>
          <w:p w:rsidR="004B566B" w:rsidRPr="0043402A" w:rsidRDefault="004B566B" w:rsidP="00F62D3E">
            <w:pPr>
              <w:pStyle w:val="IEEEStdsTableData-Center"/>
              <w:rPr>
                <w:color w:val="FF0000"/>
                <w:u w:val="single"/>
              </w:rPr>
            </w:pPr>
            <w:r>
              <w:rPr>
                <w:color w:val="FF0000"/>
                <w:u w:val="single"/>
              </w:rPr>
              <w:t>E-3-64</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sidRPr="0043402A">
              <w:rPr>
                <w:color w:val="FF0000"/>
                <w:u w:val="single"/>
              </w:rPr>
              <w:t>56.16</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6480</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19</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rPr>
            </w:pPr>
            <w:r w:rsidRPr="0043402A">
              <w:rPr>
                <w:color w:val="FF0000"/>
              </w:rPr>
              <w:t>-</w:t>
            </w:r>
          </w:p>
        </w:tc>
        <w:tc>
          <w:tcPr>
            <w:tcW w:w="1266" w:type="dxa"/>
            <w:tcMar>
              <w:top w:w="0" w:type="dxa"/>
              <w:left w:w="108" w:type="dxa"/>
              <w:bottom w:w="0" w:type="dxa"/>
              <w:right w:w="108" w:type="dxa"/>
            </w:tcMar>
          </w:tcPr>
          <w:p w:rsidR="004B566B" w:rsidRPr="0043402A" w:rsidRDefault="004B566B" w:rsidP="00F62D3E">
            <w:pPr>
              <w:pStyle w:val="IEEEStdsTableData-Center"/>
              <w:rPr>
                <w:color w:val="FF0000"/>
              </w:rPr>
            </w:pPr>
            <w:r w:rsidRPr="0043402A">
              <w:rPr>
                <w:color w:val="FF0000"/>
              </w:rPr>
              <w:t>-</w:t>
            </w:r>
          </w:p>
        </w:tc>
      </w:tr>
      <w:tr w:rsidR="004B566B" w:rsidTr="00F62D3E">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u w:val="single"/>
              </w:rPr>
            </w:pPr>
            <w:r>
              <w:rPr>
                <w:color w:val="FF0000"/>
                <w:u w:val="single"/>
              </w:rPr>
              <w:t>186</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u w:val="single"/>
              </w:rPr>
            </w:pPr>
            <w:r>
              <w:rPr>
                <w:color w:val="FF0000"/>
                <w:u w:val="single"/>
              </w:rPr>
              <w:t>E-1-40</w:t>
            </w:r>
            <w:r w:rsidRPr="0043402A">
              <w:rPr>
                <w:color w:val="FF0000"/>
                <w:u w:val="single"/>
              </w:rPr>
              <w:t>,</w:t>
            </w:r>
          </w:p>
          <w:p w:rsidR="004B566B" w:rsidRPr="0043402A" w:rsidRDefault="004B566B" w:rsidP="00F62D3E">
            <w:pPr>
              <w:pStyle w:val="IEEEStdsTableData-Center"/>
              <w:rPr>
                <w:color w:val="FF0000"/>
                <w:u w:val="single"/>
              </w:rPr>
            </w:pPr>
            <w:r>
              <w:rPr>
                <w:color w:val="FF0000"/>
                <w:u w:val="single"/>
              </w:rPr>
              <w:t>E-2-23</w:t>
            </w:r>
            <w:r w:rsidRPr="0043402A">
              <w:rPr>
                <w:color w:val="FF0000"/>
                <w:u w:val="single"/>
              </w:rPr>
              <w:t>,</w:t>
            </w:r>
          </w:p>
          <w:p w:rsidR="004B566B" w:rsidRPr="0043402A" w:rsidRDefault="004B566B" w:rsidP="00F62D3E">
            <w:pPr>
              <w:pStyle w:val="IEEEStdsTableData-Center"/>
              <w:rPr>
                <w:color w:val="FF0000"/>
                <w:u w:val="single"/>
              </w:rPr>
            </w:pPr>
            <w:r>
              <w:rPr>
                <w:color w:val="FF0000"/>
                <w:u w:val="single"/>
              </w:rPr>
              <w:t>E-3-65</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u w:val="single"/>
              </w:rPr>
            </w:pPr>
            <w:r w:rsidRPr="0043402A">
              <w:rPr>
                <w:color w:val="FF0000"/>
                <w:u w:val="single"/>
              </w:rPr>
              <w:t>56.16</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u w:val="single"/>
              </w:rPr>
            </w:pPr>
            <w:r w:rsidRPr="0043402A">
              <w:rPr>
                <w:color w:val="FF0000"/>
                <w:u w:val="single"/>
              </w:rPr>
              <w:t>8640</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u w:val="single"/>
              </w:rPr>
            </w:pPr>
            <w:r>
              <w:rPr>
                <w:color w:val="FF0000"/>
                <w:u w:val="single"/>
              </w:rPr>
              <w:t>25</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rPr>
            </w:pPr>
          </w:p>
        </w:tc>
        <w:tc>
          <w:tcPr>
            <w:tcW w:w="1266" w:type="dxa"/>
            <w:tcMar>
              <w:top w:w="0" w:type="dxa"/>
              <w:left w:w="108" w:type="dxa"/>
              <w:bottom w:w="0" w:type="dxa"/>
              <w:right w:w="108" w:type="dxa"/>
            </w:tcMar>
          </w:tcPr>
          <w:p w:rsidR="004B566B" w:rsidRPr="0043402A" w:rsidRDefault="004B566B" w:rsidP="00F62D3E">
            <w:pPr>
              <w:pStyle w:val="IEEEStdsTableData-Center"/>
              <w:rPr>
                <w:color w:val="FF0000"/>
              </w:rPr>
            </w:pPr>
          </w:p>
        </w:tc>
      </w:tr>
      <w:tr w:rsidR="004B566B" w:rsidTr="00F62D3E">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187</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E-1-41</w:t>
            </w:r>
            <w:r w:rsidRPr="0043402A">
              <w:rPr>
                <w:color w:val="FF0000"/>
                <w:u w:val="single"/>
              </w:rPr>
              <w:t>,</w:t>
            </w:r>
          </w:p>
          <w:p w:rsidR="004B566B" w:rsidRPr="0043402A" w:rsidRDefault="004B566B" w:rsidP="00F62D3E">
            <w:pPr>
              <w:pStyle w:val="IEEEStdsTableData-Center"/>
              <w:rPr>
                <w:color w:val="FF0000"/>
                <w:u w:val="single"/>
              </w:rPr>
            </w:pPr>
            <w:r>
              <w:rPr>
                <w:color w:val="FF0000"/>
                <w:u w:val="single"/>
              </w:rPr>
              <w:t>E-2-24</w:t>
            </w:r>
            <w:r w:rsidRPr="0043402A">
              <w:rPr>
                <w:color w:val="FF0000"/>
                <w:u w:val="single"/>
              </w:rPr>
              <w:t>,</w:t>
            </w:r>
          </w:p>
          <w:p w:rsidR="004B566B" w:rsidRPr="0043402A" w:rsidRDefault="004B566B" w:rsidP="00F62D3E">
            <w:pPr>
              <w:pStyle w:val="IEEEStdsTableData-Center"/>
              <w:rPr>
                <w:color w:val="FF0000"/>
                <w:u w:val="single"/>
              </w:rPr>
            </w:pPr>
            <w:r>
              <w:rPr>
                <w:color w:val="FF0000"/>
                <w:u w:val="single"/>
              </w:rPr>
              <w:t>E-3-66</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sidRPr="0043402A">
              <w:rPr>
                <w:color w:val="FF0000"/>
                <w:u w:val="single"/>
              </w:rPr>
              <w:t>56.16</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sidRPr="0043402A">
              <w:rPr>
                <w:color w:val="FF0000"/>
                <w:u w:val="single"/>
              </w:rPr>
              <w:t>8640</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26</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rPr>
            </w:pPr>
          </w:p>
        </w:tc>
        <w:tc>
          <w:tcPr>
            <w:tcW w:w="1266" w:type="dxa"/>
            <w:tcMar>
              <w:top w:w="0" w:type="dxa"/>
              <w:left w:w="108" w:type="dxa"/>
              <w:bottom w:w="0" w:type="dxa"/>
              <w:right w:w="108" w:type="dxa"/>
            </w:tcMar>
          </w:tcPr>
          <w:p w:rsidR="004B566B" w:rsidRPr="0043402A" w:rsidRDefault="004B566B" w:rsidP="00F62D3E">
            <w:pPr>
              <w:pStyle w:val="IEEEStdsTableData-Center"/>
              <w:rPr>
                <w:color w:val="FF0000"/>
              </w:rPr>
            </w:pPr>
          </w:p>
        </w:tc>
      </w:tr>
      <w:tr w:rsidR="004B566B" w:rsidTr="00F62D3E">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188</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E-1-42</w:t>
            </w:r>
            <w:r w:rsidRPr="0043402A">
              <w:rPr>
                <w:color w:val="FF0000"/>
                <w:u w:val="single"/>
              </w:rPr>
              <w:t>,</w:t>
            </w:r>
          </w:p>
          <w:p w:rsidR="004B566B" w:rsidRPr="0043402A" w:rsidRDefault="004B566B" w:rsidP="00F62D3E">
            <w:pPr>
              <w:pStyle w:val="IEEEStdsTableData-Center"/>
              <w:rPr>
                <w:color w:val="FF0000"/>
                <w:u w:val="single"/>
              </w:rPr>
            </w:pPr>
            <w:r>
              <w:rPr>
                <w:color w:val="FF0000"/>
                <w:u w:val="single"/>
              </w:rPr>
              <w:t>E-2-25</w:t>
            </w:r>
            <w:r w:rsidRPr="0043402A">
              <w:rPr>
                <w:color w:val="FF0000"/>
                <w:u w:val="single"/>
              </w:rPr>
              <w:t>,</w:t>
            </w:r>
          </w:p>
          <w:p w:rsidR="004B566B" w:rsidRPr="0043402A" w:rsidRDefault="004B566B" w:rsidP="00F62D3E">
            <w:pPr>
              <w:pStyle w:val="IEEEStdsTableData-Center"/>
              <w:rPr>
                <w:color w:val="FF0000"/>
                <w:u w:val="single"/>
              </w:rPr>
            </w:pPr>
            <w:r>
              <w:rPr>
                <w:color w:val="FF0000"/>
                <w:u w:val="single"/>
              </w:rPr>
              <w:t>E-3-67</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sidRPr="0043402A">
              <w:rPr>
                <w:color w:val="FF0000"/>
                <w:u w:val="single"/>
              </w:rPr>
              <w:t>56.16</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sidRPr="0043402A">
              <w:rPr>
                <w:color w:val="FF0000"/>
                <w:u w:val="single"/>
              </w:rPr>
              <w:t>8640</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27</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rPr>
            </w:pPr>
          </w:p>
        </w:tc>
        <w:tc>
          <w:tcPr>
            <w:tcW w:w="1266" w:type="dxa"/>
            <w:tcMar>
              <w:top w:w="0" w:type="dxa"/>
              <w:left w:w="108" w:type="dxa"/>
              <w:bottom w:w="0" w:type="dxa"/>
              <w:right w:w="108" w:type="dxa"/>
            </w:tcMar>
          </w:tcPr>
          <w:p w:rsidR="004B566B" w:rsidRPr="0043402A" w:rsidRDefault="004B566B" w:rsidP="00F62D3E">
            <w:pPr>
              <w:pStyle w:val="IEEEStdsTableData-Center"/>
              <w:rPr>
                <w:color w:val="FF0000"/>
              </w:rPr>
            </w:pPr>
          </w:p>
        </w:tc>
      </w:tr>
      <w:tr w:rsidR="004B566B" w:rsidTr="00F62D3E">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rPr>
            </w:pPr>
            <w:r w:rsidRPr="0043402A">
              <w:rPr>
                <w:strike/>
                <w:color w:val="FF0000"/>
              </w:rPr>
              <w:t>181</w:t>
            </w:r>
            <w:r>
              <w:rPr>
                <w:color w:val="FF0000"/>
                <w:u w:val="single"/>
              </w:rPr>
              <w:t>189</w:t>
            </w:r>
            <w:r w:rsidRPr="0043402A">
              <w:rPr>
                <w:color w:val="FF0000"/>
              </w:rPr>
              <w:t>-191</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rPr>
            </w:pPr>
            <w:r w:rsidRPr="0043402A">
              <w:rPr>
                <w:color w:val="FF0000"/>
              </w:rPr>
              <w:t>Reserved</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rPr>
            </w:pPr>
            <w:r w:rsidRPr="0043402A">
              <w:rPr>
                <w:color w:val="FF0000"/>
              </w:rPr>
              <w:t>Reserved</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rPr>
            </w:pPr>
            <w:r w:rsidRPr="0043402A">
              <w:rPr>
                <w:color w:val="FF0000"/>
              </w:rPr>
              <w:t>Reserved</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rPr>
            </w:pPr>
            <w:r w:rsidRPr="0043402A">
              <w:rPr>
                <w:color w:val="FF0000"/>
              </w:rPr>
              <w:t>Reserved</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rPr>
            </w:pPr>
            <w:r w:rsidRPr="0043402A">
              <w:rPr>
                <w:color w:val="FF0000"/>
              </w:rPr>
              <w:t>Reserved</w:t>
            </w:r>
          </w:p>
        </w:tc>
        <w:tc>
          <w:tcPr>
            <w:tcW w:w="1266" w:type="dxa"/>
            <w:tcMar>
              <w:top w:w="0" w:type="dxa"/>
              <w:left w:w="108" w:type="dxa"/>
              <w:bottom w:w="0" w:type="dxa"/>
              <w:right w:w="108" w:type="dxa"/>
            </w:tcMar>
            <w:hideMark/>
          </w:tcPr>
          <w:p w:rsidR="004B566B" w:rsidRPr="0043402A" w:rsidRDefault="004B566B" w:rsidP="00F62D3E">
            <w:pPr>
              <w:pStyle w:val="IEEEStdsTableData-Center"/>
              <w:rPr>
                <w:color w:val="FF0000"/>
              </w:rPr>
            </w:pPr>
            <w:r w:rsidRPr="0043402A">
              <w:rPr>
                <w:color w:val="FF0000"/>
              </w:rPr>
              <w:t>Reserved</w:t>
            </w:r>
          </w:p>
        </w:tc>
      </w:tr>
    </w:tbl>
    <w:p w:rsidR="004B566B" w:rsidRPr="00182214" w:rsidRDefault="004B566B" w:rsidP="004B566B">
      <w:pPr>
        <w:rPr>
          <w:i/>
          <w:color w:val="FF0000"/>
          <w:lang w:eastAsia="zh-CN"/>
        </w:rPr>
      </w:pPr>
    </w:p>
    <w:p w:rsidR="004B566B" w:rsidRDefault="004B566B" w:rsidP="004B566B">
      <w:pPr>
        <w:rPr>
          <w:color w:val="FF0000"/>
          <w:lang w:eastAsia="zh-CN"/>
        </w:rPr>
      </w:pPr>
    </w:p>
    <w:p w:rsidR="004B566B" w:rsidRDefault="004B566B" w:rsidP="004B566B"/>
    <w:p w:rsidR="004B566B" w:rsidRDefault="004B566B" w:rsidP="004B566B"/>
    <w:p w:rsidR="004B566B" w:rsidRDefault="004B566B" w:rsidP="004B566B"/>
    <w:tbl>
      <w:tblPr>
        <w:tblStyle w:val="TableGrid"/>
        <w:tblW w:w="9209" w:type="dxa"/>
        <w:tblLook w:val="04A0" w:firstRow="1" w:lastRow="0" w:firstColumn="1" w:lastColumn="0" w:noHBand="0" w:noVBand="1"/>
      </w:tblPr>
      <w:tblGrid>
        <w:gridCol w:w="551"/>
        <w:gridCol w:w="1164"/>
        <w:gridCol w:w="3836"/>
        <w:gridCol w:w="3658"/>
      </w:tblGrid>
      <w:tr w:rsidR="004B566B" w:rsidRPr="00427EA3" w:rsidTr="00F62D3E">
        <w:trPr>
          <w:trHeight w:val="558"/>
        </w:trPr>
        <w:tc>
          <w:tcPr>
            <w:tcW w:w="546" w:type="dxa"/>
          </w:tcPr>
          <w:p w:rsidR="004B566B" w:rsidRPr="00427EA3" w:rsidRDefault="004B566B" w:rsidP="00F62D3E">
            <w:pPr>
              <w:rPr>
                <w:lang w:val="en-US"/>
              </w:rPr>
            </w:pPr>
            <w:r w:rsidRPr="00427EA3">
              <w:rPr>
                <w:rFonts w:hint="eastAsia"/>
                <w:lang w:val="en-US"/>
              </w:rPr>
              <w:t>CID</w:t>
            </w:r>
          </w:p>
        </w:tc>
        <w:tc>
          <w:tcPr>
            <w:tcW w:w="1151" w:type="dxa"/>
          </w:tcPr>
          <w:p w:rsidR="004B566B" w:rsidRPr="00427EA3" w:rsidRDefault="004B566B" w:rsidP="00F62D3E">
            <w:pPr>
              <w:rPr>
                <w:lang w:val="en-US"/>
              </w:rPr>
            </w:pPr>
            <w:r w:rsidRPr="00427EA3">
              <w:rPr>
                <w:rFonts w:hint="eastAsia"/>
                <w:lang w:val="en-US"/>
              </w:rPr>
              <w:t>Clause</w:t>
            </w:r>
          </w:p>
        </w:tc>
        <w:tc>
          <w:tcPr>
            <w:tcW w:w="3845" w:type="dxa"/>
          </w:tcPr>
          <w:p w:rsidR="004B566B" w:rsidRPr="00427EA3" w:rsidRDefault="004B566B" w:rsidP="00F62D3E">
            <w:pPr>
              <w:rPr>
                <w:lang w:val="en-US"/>
              </w:rPr>
            </w:pPr>
            <w:r w:rsidRPr="00427EA3">
              <w:rPr>
                <w:rFonts w:hint="eastAsia"/>
                <w:lang w:val="en-US"/>
              </w:rPr>
              <w:t>Comment</w:t>
            </w:r>
          </w:p>
        </w:tc>
        <w:tc>
          <w:tcPr>
            <w:tcW w:w="3667" w:type="dxa"/>
          </w:tcPr>
          <w:p w:rsidR="004B566B" w:rsidRPr="00427EA3" w:rsidRDefault="004B566B" w:rsidP="00F62D3E">
            <w:pPr>
              <w:rPr>
                <w:lang w:val="en-US"/>
              </w:rPr>
            </w:pPr>
            <w:r w:rsidRPr="00427EA3">
              <w:rPr>
                <w:rFonts w:hint="eastAsia"/>
                <w:lang w:val="en-US"/>
              </w:rPr>
              <w:t>Proposed change</w:t>
            </w:r>
          </w:p>
        </w:tc>
      </w:tr>
      <w:tr w:rsidR="004B566B" w:rsidRPr="00CA4F07" w:rsidTr="00F62D3E">
        <w:trPr>
          <w:trHeight w:val="841"/>
        </w:trPr>
        <w:tc>
          <w:tcPr>
            <w:tcW w:w="546" w:type="dxa"/>
          </w:tcPr>
          <w:p w:rsidR="004B566B" w:rsidRDefault="004B566B" w:rsidP="00F62D3E">
            <w:r>
              <w:rPr>
                <w:rFonts w:hint="eastAsia"/>
              </w:rPr>
              <w:t>491</w:t>
            </w:r>
          </w:p>
        </w:tc>
        <w:tc>
          <w:tcPr>
            <w:tcW w:w="1151" w:type="dxa"/>
          </w:tcPr>
          <w:p w:rsidR="004B566B" w:rsidRPr="00CA4F07" w:rsidRDefault="004B566B" w:rsidP="00F62D3E">
            <w:r w:rsidRPr="001D2CB3">
              <w:t>10.36.11.3</w:t>
            </w:r>
          </w:p>
        </w:tc>
        <w:tc>
          <w:tcPr>
            <w:tcW w:w="3845" w:type="dxa"/>
          </w:tcPr>
          <w:p w:rsidR="004B566B" w:rsidRPr="00CA4F07" w:rsidRDefault="004B566B" w:rsidP="00F62D3E">
            <w:r w:rsidRPr="001D2CB3">
              <w:t xml:space="preserve">It is not clear how/where the configuration of sector ID and DMG antenna ID is done when destination is equal to broadcast AID. It might be that several sector Ids and DMG antenna Ids need to be </w:t>
            </w:r>
            <w:r>
              <w:t>signal</w:t>
            </w:r>
            <w:r w:rsidRPr="001D2CB3">
              <w:t>ed. It might even be that sector Ids are unknown at the point of allocation announcement</w:t>
            </w:r>
          </w:p>
        </w:tc>
        <w:tc>
          <w:tcPr>
            <w:tcW w:w="3667" w:type="dxa"/>
          </w:tcPr>
          <w:p w:rsidR="004B566B" w:rsidRPr="00CA4F07" w:rsidRDefault="004B566B" w:rsidP="00F62D3E">
            <w:r w:rsidRPr="001D2CB3">
              <w:t>Please clarify "... Shall indicate the configuration through Sector ID and DMG Antenna ID subfields". Which subfields?</w:t>
            </w:r>
          </w:p>
        </w:tc>
      </w:tr>
    </w:tbl>
    <w:p w:rsidR="004B566B" w:rsidRDefault="004B566B" w:rsidP="004B566B"/>
    <w:p w:rsidR="004B566B" w:rsidRPr="00CB523E" w:rsidRDefault="004B566B" w:rsidP="004B566B">
      <w:pPr>
        <w:rPr>
          <w:b/>
          <w:lang w:eastAsia="zh-CN"/>
        </w:rPr>
      </w:pPr>
      <w:r>
        <w:rPr>
          <w:rFonts w:hint="eastAsia"/>
          <w:b/>
          <w:lang w:eastAsia="zh-CN"/>
        </w:rPr>
        <w:t xml:space="preserve">Discussion: </w:t>
      </w:r>
      <w:r>
        <w:t>This comment (CID 491) resolution is resolved with the changes proposed in response to CID 384.</w:t>
      </w:r>
    </w:p>
    <w:p w:rsidR="004B566B" w:rsidRPr="00C725AD" w:rsidRDefault="004B566B" w:rsidP="004B566B">
      <w:pPr>
        <w:pStyle w:val="ListParagraph"/>
        <w:ind w:left="360" w:firstLineChars="0" w:firstLine="0"/>
        <w:rPr>
          <w:rFonts w:eastAsiaTheme="minorEastAsia"/>
          <w:lang w:eastAsia="zh-CN"/>
        </w:rPr>
      </w:pPr>
    </w:p>
    <w:p w:rsidR="004B566B" w:rsidRDefault="004B566B" w:rsidP="004B566B">
      <w:r w:rsidRPr="002E77C2">
        <w:rPr>
          <w:b/>
        </w:rPr>
        <w:t>Proposed resolution:</w:t>
      </w:r>
      <w:r>
        <w:t xml:space="preserve"> Revised</w:t>
      </w:r>
    </w:p>
    <w:p w:rsidR="004B566B" w:rsidRDefault="004B566B" w:rsidP="004B566B"/>
    <w:p w:rsidR="004B566B" w:rsidRDefault="004B566B" w:rsidP="004B566B"/>
    <w:p w:rsidR="004B566B" w:rsidRDefault="004B566B" w:rsidP="004B566B"/>
    <w:tbl>
      <w:tblPr>
        <w:tblStyle w:val="TableGrid"/>
        <w:tblW w:w="9209" w:type="dxa"/>
        <w:tblLook w:val="04A0" w:firstRow="1" w:lastRow="0" w:firstColumn="1" w:lastColumn="0" w:noHBand="0" w:noVBand="1"/>
      </w:tblPr>
      <w:tblGrid>
        <w:gridCol w:w="551"/>
        <w:gridCol w:w="1164"/>
        <w:gridCol w:w="3835"/>
        <w:gridCol w:w="3659"/>
      </w:tblGrid>
      <w:tr w:rsidR="004B566B" w:rsidRPr="00427EA3" w:rsidTr="00F62D3E">
        <w:trPr>
          <w:trHeight w:val="558"/>
        </w:trPr>
        <w:tc>
          <w:tcPr>
            <w:tcW w:w="546" w:type="dxa"/>
          </w:tcPr>
          <w:p w:rsidR="004B566B" w:rsidRPr="00427EA3" w:rsidRDefault="004B566B" w:rsidP="00F62D3E">
            <w:pPr>
              <w:rPr>
                <w:lang w:val="en-US"/>
              </w:rPr>
            </w:pPr>
            <w:r w:rsidRPr="00427EA3">
              <w:rPr>
                <w:rFonts w:hint="eastAsia"/>
                <w:lang w:val="en-US"/>
              </w:rPr>
              <w:t>CID</w:t>
            </w:r>
          </w:p>
        </w:tc>
        <w:tc>
          <w:tcPr>
            <w:tcW w:w="1151" w:type="dxa"/>
          </w:tcPr>
          <w:p w:rsidR="004B566B" w:rsidRPr="00427EA3" w:rsidRDefault="004B566B" w:rsidP="00F62D3E">
            <w:pPr>
              <w:rPr>
                <w:lang w:val="en-US"/>
              </w:rPr>
            </w:pPr>
            <w:r w:rsidRPr="00427EA3">
              <w:rPr>
                <w:rFonts w:hint="eastAsia"/>
                <w:lang w:val="en-US"/>
              </w:rPr>
              <w:t>Clause</w:t>
            </w:r>
          </w:p>
        </w:tc>
        <w:tc>
          <w:tcPr>
            <w:tcW w:w="3845" w:type="dxa"/>
          </w:tcPr>
          <w:p w:rsidR="004B566B" w:rsidRPr="00427EA3" w:rsidRDefault="004B566B" w:rsidP="00F62D3E">
            <w:pPr>
              <w:rPr>
                <w:lang w:val="en-US"/>
              </w:rPr>
            </w:pPr>
            <w:r w:rsidRPr="00427EA3">
              <w:rPr>
                <w:rFonts w:hint="eastAsia"/>
                <w:lang w:val="en-US"/>
              </w:rPr>
              <w:t>Comment</w:t>
            </w:r>
          </w:p>
        </w:tc>
        <w:tc>
          <w:tcPr>
            <w:tcW w:w="3667" w:type="dxa"/>
          </w:tcPr>
          <w:p w:rsidR="004B566B" w:rsidRPr="00427EA3" w:rsidRDefault="004B566B" w:rsidP="00F62D3E">
            <w:pPr>
              <w:rPr>
                <w:lang w:val="en-US"/>
              </w:rPr>
            </w:pPr>
            <w:r w:rsidRPr="00427EA3">
              <w:rPr>
                <w:rFonts w:hint="eastAsia"/>
                <w:lang w:val="en-US"/>
              </w:rPr>
              <w:t>Proposed change</w:t>
            </w:r>
          </w:p>
        </w:tc>
      </w:tr>
      <w:tr w:rsidR="004B566B" w:rsidRPr="00CA4F07" w:rsidTr="00F62D3E">
        <w:trPr>
          <w:trHeight w:val="841"/>
        </w:trPr>
        <w:tc>
          <w:tcPr>
            <w:tcW w:w="546" w:type="dxa"/>
          </w:tcPr>
          <w:p w:rsidR="004B566B" w:rsidRDefault="004B566B" w:rsidP="00F62D3E">
            <w:r>
              <w:rPr>
                <w:rFonts w:hint="eastAsia"/>
              </w:rPr>
              <w:t>494</w:t>
            </w:r>
          </w:p>
        </w:tc>
        <w:tc>
          <w:tcPr>
            <w:tcW w:w="1151" w:type="dxa"/>
          </w:tcPr>
          <w:p w:rsidR="004B566B" w:rsidRPr="00CA4F07" w:rsidRDefault="004B566B" w:rsidP="00F62D3E">
            <w:r w:rsidRPr="001D2CB3">
              <w:t>10.36.11.3</w:t>
            </w:r>
          </w:p>
        </w:tc>
        <w:tc>
          <w:tcPr>
            <w:tcW w:w="3845" w:type="dxa"/>
          </w:tcPr>
          <w:p w:rsidR="004B566B" w:rsidRPr="00CA4F07" w:rsidRDefault="004B566B" w:rsidP="00F62D3E">
            <w:r w:rsidRPr="001D2CB3">
              <w:t>Signaling for directional allocation is incomplete</w:t>
            </w:r>
          </w:p>
        </w:tc>
        <w:tc>
          <w:tcPr>
            <w:tcW w:w="3667" w:type="dxa"/>
          </w:tcPr>
          <w:p w:rsidR="004B566B" w:rsidRPr="00CA4F07" w:rsidRDefault="004B566B" w:rsidP="00F62D3E">
            <w:r w:rsidRPr="001D2CB3">
              <w:t>Extended schedule element supports directional allocation only in "asymmetric beamforming training" mode</w:t>
            </w:r>
          </w:p>
        </w:tc>
      </w:tr>
    </w:tbl>
    <w:p w:rsidR="004B566B" w:rsidRPr="00C725AD" w:rsidRDefault="004B566B" w:rsidP="004B566B"/>
    <w:p w:rsidR="004B566B" w:rsidRDefault="004B566B" w:rsidP="004B566B">
      <w:pPr>
        <w:rPr>
          <w:lang w:eastAsia="zh-CN"/>
        </w:rPr>
      </w:pPr>
      <w:r>
        <w:rPr>
          <w:rFonts w:hint="eastAsia"/>
          <w:b/>
          <w:lang w:eastAsia="zh-CN"/>
        </w:rPr>
        <w:t xml:space="preserve">Discussion: </w:t>
      </w:r>
      <w:r>
        <w:rPr>
          <w:lang w:eastAsia="zh-CN"/>
        </w:rPr>
        <w:t>Directional allocation is not restricted to be used in asymmetric beamforming training only. In fact, it can be used in any transaction (such as data transmission) in DTI, as long as the AP or PCP will use a directional receiving mode in the allocation.</w:t>
      </w:r>
    </w:p>
    <w:p w:rsidR="004B566B" w:rsidRDefault="004B566B" w:rsidP="004B566B">
      <w:pPr>
        <w:rPr>
          <w:lang w:eastAsia="zh-CN"/>
        </w:rPr>
      </w:pPr>
    </w:p>
    <w:p w:rsidR="004B566B" w:rsidRDefault="004B566B" w:rsidP="004B566B">
      <w:r w:rsidRPr="002E77C2">
        <w:rPr>
          <w:b/>
        </w:rPr>
        <w:t>Proposed resolution:</w:t>
      </w:r>
      <w:r>
        <w:t xml:space="preserve"> Rejected</w:t>
      </w:r>
    </w:p>
    <w:p w:rsidR="004B566B" w:rsidRDefault="004B566B" w:rsidP="004B566B"/>
    <w:p w:rsidR="004B566B" w:rsidRDefault="004B566B" w:rsidP="004B566B"/>
    <w:p w:rsidR="004B566B" w:rsidRDefault="004B566B" w:rsidP="004B566B"/>
    <w:tbl>
      <w:tblPr>
        <w:tblStyle w:val="TableGrid"/>
        <w:tblW w:w="9209" w:type="dxa"/>
        <w:tblLook w:val="04A0" w:firstRow="1" w:lastRow="0" w:firstColumn="1" w:lastColumn="0" w:noHBand="0" w:noVBand="1"/>
      </w:tblPr>
      <w:tblGrid>
        <w:gridCol w:w="551"/>
        <w:gridCol w:w="1164"/>
        <w:gridCol w:w="3835"/>
        <w:gridCol w:w="3659"/>
      </w:tblGrid>
      <w:tr w:rsidR="004B566B" w:rsidRPr="00427EA3" w:rsidTr="00F62D3E">
        <w:trPr>
          <w:trHeight w:val="558"/>
        </w:trPr>
        <w:tc>
          <w:tcPr>
            <w:tcW w:w="546" w:type="dxa"/>
          </w:tcPr>
          <w:p w:rsidR="004B566B" w:rsidRPr="00427EA3" w:rsidRDefault="004B566B" w:rsidP="00F62D3E">
            <w:pPr>
              <w:rPr>
                <w:lang w:val="en-US"/>
              </w:rPr>
            </w:pPr>
            <w:r w:rsidRPr="00427EA3">
              <w:rPr>
                <w:rFonts w:hint="eastAsia"/>
                <w:lang w:val="en-US"/>
              </w:rPr>
              <w:t>CID</w:t>
            </w:r>
          </w:p>
        </w:tc>
        <w:tc>
          <w:tcPr>
            <w:tcW w:w="1151" w:type="dxa"/>
          </w:tcPr>
          <w:p w:rsidR="004B566B" w:rsidRPr="00427EA3" w:rsidRDefault="004B566B" w:rsidP="00F62D3E">
            <w:pPr>
              <w:rPr>
                <w:lang w:val="en-US"/>
              </w:rPr>
            </w:pPr>
            <w:r w:rsidRPr="00427EA3">
              <w:rPr>
                <w:rFonts w:hint="eastAsia"/>
                <w:lang w:val="en-US"/>
              </w:rPr>
              <w:t>Clause</w:t>
            </w:r>
          </w:p>
        </w:tc>
        <w:tc>
          <w:tcPr>
            <w:tcW w:w="3845" w:type="dxa"/>
          </w:tcPr>
          <w:p w:rsidR="004B566B" w:rsidRPr="00427EA3" w:rsidRDefault="004B566B" w:rsidP="00F62D3E">
            <w:pPr>
              <w:rPr>
                <w:lang w:val="en-US"/>
              </w:rPr>
            </w:pPr>
            <w:r w:rsidRPr="00427EA3">
              <w:rPr>
                <w:rFonts w:hint="eastAsia"/>
                <w:lang w:val="en-US"/>
              </w:rPr>
              <w:t>Comment</w:t>
            </w:r>
          </w:p>
        </w:tc>
        <w:tc>
          <w:tcPr>
            <w:tcW w:w="3667" w:type="dxa"/>
          </w:tcPr>
          <w:p w:rsidR="004B566B" w:rsidRPr="00427EA3" w:rsidRDefault="004B566B" w:rsidP="00F62D3E">
            <w:pPr>
              <w:rPr>
                <w:lang w:val="en-US"/>
              </w:rPr>
            </w:pPr>
            <w:r w:rsidRPr="00427EA3">
              <w:rPr>
                <w:rFonts w:hint="eastAsia"/>
                <w:lang w:val="en-US"/>
              </w:rPr>
              <w:t>Proposed change</w:t>
            </w:r>
          </w:p>
        </w:tc>
      </w:tr>
      <w:tr w:rsidR="004B566B" w:rsidRPr="00CA4F07" w:rsidTr="00F62D3E">
        <w:trPr>
          <w:trHeight w:val="841"/>
        </w:trPr>
        <w:tc>
          <w:tcPr>
            <w:tcW w:w="546" w:type="dxa"/>
          </w:tcPr>
          <w:p w:rsidR="004B566B" w:rsidRDefault="004B566B" w:rsidP="00F62D3E">
            <w:r>
              <w:rPr>
                <w:rFonts w:hint="eastAsia"/>
              </w:rPr>
              <w:t>541</w:t>
            </w:r>
          </w:p>
        </w:tc>
        <w:tc>
          <w:tcPr>
            <w:tcW w:w="1151" w:type="dxa"/>
          </w:tcPr>
          <w:p w:rsidR="004B566B" w:rsidRPr="00CA4F07" w:rsidRDefault="004B566B" w:rsidP="00F62D3E">
            <w:r w:rsidRPr="001D2CB3">
              <w:t>10.36.11.3</w:t>
            </w:r>
          </w:p>
        </w:tc>
        <w:tc>
          <w:tcPr>
            <w:tcW w:w="3845" w:type="dxa"/>
          </w:tcPr>
          <w:p w:rsidR="004B566B" w:rsidRPr="00CA4F07" w:rsidRDefault="004B566B" w:rsidP="00F62D3E">
            <w:r w:rsidRPr="001D2CB3">
              <w:t xml:space="preserve">This sentence only describes the scenario where the Destination AID is not the broadcast AID but a non-AP STA AID. The scenario where the Destination </w:t>
            </w:r>
            <w:r w:rsidRPr="001D2CB3">
              <w:lastRenderedPageBreak/>
              <w:t>AID field is not the broadcast AID but an AP AID is not given</w:t>
            </w:r>
          </w:p>
        </w:tc>
        <w:tc>
          <w:tcPr>
            <w:tcW w:w="3667" w:type="dxa"/>
          </w:tcPr>
          <w:p w:rsidR="004B566B" w:rsidRPr="00CA4F07" w:rsidRDefault="004B566B" w:rsidP="00F62D3E">
            <w:r w:rsidRPr="001D2CB3">
              <w:lastRenderedPageBreak/>
              <w:t>Suggest to change "communication with the STA identified by the Destination AID field" to " "communication with the non-PCP/non-AP STA"</w:t>
            </w:r>
          </w:p>
        </w:tc>
      </w:tr>
    </w:tbl>
    <w:p w:rsidR="004B566B" w:rsidRDefault="004B566B" w:rsidP="004B566B"/>
    <w:p w:rsidR="004B566B" w:rsidRDefault="004B566B" w:rsidP="004B566B">
      <w:r w:rsidRPr="00265CD3">
        <w:rPr>
          <w:rFonts w:hint="eastAsia"/>
          <w:b/>
          <w:color w:val="000000" w:themeColor="text1"/>
          <w:lang w:eastAsia="zh-CN"/>
        </w:rPr>
        <w:t>Di</w:t>
      </w:r>
      <w:r w:rsidRPr="00265CD3">
        <w:rPr>
          <w:b/>
          <w:color w:val="000000" w:themeColor="text1"/>
          <w:lang w:eastAsia="zh-CN"/>
        </w:rPr>
        <w:t>scussion</w:t>
      </w:r>
      <w:r>
        <w:rPr>
          <w:color w:val="000000" w:themeColor="text1"/>
          <w:lang w:eastAsia="zh-CN"/>
        </w:rPr>
        <w:t xml:space="preserve">: </w:t>
      </w:r>
      <w:r>
        <w:t>This comment (CID 541) resolution is resolved with the changes proposed in response to CID 384.</w:t>
      </w:r>
    </w:p>
    <w:p w:rsidR="004B566B" w:rsidRPr="00265CD3" w:rsidRDefault="004B566B" w:rsidP="004B566B"/>
    <w:p w:rsidR="004B566B" w:rsidRPr="009F7967" w:rsidRDefault="004B566B" w:rsidP="004B566B">
      <w:r w:rsidRPr="00547F72">
        <w:rPr>
          <w:b/>
        </w:rPr>
        <w:t>Proposed resolution</w:t>
      </w:r>
      <w:r>
        <w:t>: Revised</w:t>
      </w:r>
    </w:p>
    <w:p w:rsidR="004B566B" w:rsidRPr="00D90CF5" w:rsidRDefault="004B566B" w:rsidP="004B566B">
      <w:pPr>
        <w:rPr>
          <w:b/>
          <w:lang w:eastAsia="zh-CN"/>
        </w:rPr>
      </w:pPr>
    </w:p>
    <w:p w:rsidR="004B566B" w:rsidRPr="00D90CF5" w:rsidRDefault="004B566B" w:rsidP="004B566B"/>
    <w:p w:rsidR="004B566B" w:rsidRDefault="004B566B" w:rsidP="004B566B"/>
    <w:p w:rsidR="00090D80" w:rsidRPr="00A605A4" w:rsidRDefault="00090D80" w:rsidP="00090D80">
      <w:pPr>
        <w:pStyle w:val="IEEEStdsParagraph"/>
        <w:tabs>
          <w:tab w:val="left" w:pos="1260"/>
        </w:tabs>
        <w:jc w:val="left"/>
        <w:rPr>
          <w:b/>
        </w:rPr>
      </w:pPr>
      <w:r w:rsidRPr="00A605A4">
        <w:rPr>
          <w:b/>
        </w:rPr>
        <w:t>Straw Poll:</w:t>
      </w:r>
    </w:p>
    <w:p w:rsidR="00090D80" w:rsidRDefault="00090D80" w:rsidP="00090D80">
      <w:pPr>
        <w:pStyle w:val="ListParagraph"/>
        <w:numPr>
          <w:ilvl w:val="0"/>
          <w:numId w:val="4"/>
        </w:numPr>
        <w:ind w:firstLineChars="0"/>
        <w:contextualSpacing/>
        <w:rPr>
          <w:szCs w:val="22"/>
          <w:lang w:val="en-US" w:eastAsia="ja-JP"/>
        </w:rPr>
      </w:pPr>
      <w:r>
        <w:rPr>
          <w:b/>
          <w:bCs/>
          <w:szCs w:val="22"/>
          <w:lang w:val="en-US" w:eastAsia="ja-JP"/>
        </w:rPr>
        <w:t>D</w:t>
      </w:r>
      <w:r>
        <w:rPr>
          <w:b/>
          <w:bCs/>
          <w:szCs w:val="22"/>
        </w:rPr>
        <w:t xml:space="preserve">o you agree </w:t>
      </w:r>
      <w:r>
        <w:rPr>
          <w:b/>
          <w:bCs/>
          <w:szCs w:val="22"/>
          <w:lang w:eastAsia="ja-JP"/>
        </w:rPr>
        <w:t xml:space="preserve">to accept comment resolutions as proposed in doc </w:t>
      </w:r>
      <w:r w:rsidR="00B80F99">
        <w:rPr>
          <w:b/>
          <w:bCs/>
          <w:szCs w:val="22"/>
          <w:lang w:val="en-US" w:eastAsia="ja-JP"/>
        </w:rPr>
        <w:t>11-17/1314r2</w:t>
      </w:r>
      <w:r>
        <w:rPr>
          <w:b/>
          <w:bCs/>
          <w:szCs w:val="22"/>
          <w:lang w:val="en-US" w:eastAsia="ja-JP"/>
        </w:rPr>
        <w:t>?</w:t>
      </w:r>
    </w:p>
    <w:p w:rsidR="00CA09B2" w:rsidRPr="004B566B" w:rsidRDefault="00CA09B2" w:rsidP="004B566B">
      <w:bookmarkStart w:id="0" w:name="_GoBack"/>
      <w:bookmarkEnd w:id="0"/>
    </w:p>
    <w:sectPr w:rsidR="00CA09B2" w:rsidRPr="004B566B">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927" w:rsidRDefault="00290927">
      <w:r>
        <w:separator/>
      </w:r>
    </w:p>
  </w:endnote>
  <w:endnote w:type="continuationSeparator" w:id="0">
    <w:p w:rsidR="00290927" w:rsidRDefault="0029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3C5D0D">
    <w:pPr>
      <w:pStyle w:val="Footer"/>
      <w:tabs>
        <w:tab w:val="clear" w:pos="6480"/>
        <w:tab w:val="center" w:pos="4680"/>
        <w:tab w:val="right" w:pos="9360"/>
      </w:tabs>
    </w:pPr>
    <w:fldSimple w:instr=" SUBJECT  \* MERGEFORMAT ">
      <w:r w:rsidR="006A5A9A">
        <w:t>Submission</w:t>
      </w:r>
    </w:fldSimple>
    <w:r w:rsidR="0029020B">
      <w:tab/>
      <w:t xml:space="preserve">page </w:t>
    </w:r>
    <w:r w:rsidR="0029020B">
      <w:fldChar w:fldCharType="begin"/>
    </w:r>
    <w:r w:rsidR="0029020B">
      <w:instrText xml:space="preserve">page </w:instrText>
    </w:r>
    <w:r w:rsidR="0029020B">
      <w:fldChar w:fldCharType="separate"/>
    </w:r>
    <w:r w:rsidR="00B80F99">
      <w:rPr>
        <w:noProof/>
      </w:rPr>
      <w:t>6</w:t>
    </w:r>
    <w:r w:rsidR="0029020B">
      <w:fldChar w:fldCharType="end"/>
    </w:r>
    <w:r w:rsidR="0029020B">
      <w:tab/>
    </w:r>
    <w:fldSimple w:instr=" COMMENTS  \* MERGEFORMAT ">
      <w:r w:rsidR="007E1075">
        <w:t>Cheng Chen, Intel</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927" w:rsidRDefault="00290927">
      <w:r>
        <w:separator/>
      </w:r>
    </w:p>
  </w:footnote>
  <w:footnote w:type="continuationSeparator" w:id="0">
    <w:p w:rsidR="00290927" w:rsidRDefault="002909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3C5D0D">
    <w:pPr>
      <w:pStyle w:val="Header"/>
      <w:tabs>
        <w:tab w:val="clear" w:pos="6480"/>
        <w:tab w:val="center" w:pos="4680"/>
        <w:tab w:val="right" w:pos="9360"/>
      </w:tabs>
    </w:pPr>
    <w:fldSimple w:instr=" KEYWORDS  \* MERGEFORMAT ">
      <w:r w:rsidR="007E1075">
        <w:t>September 2017</w:t>
      </w:r>
    </w:fldSimple>
    <w:r w:rsidR="0029020B">
      <w:tab/>
    </w:r>
    <w:r w:rsidR="0029020B">
      <w:tab/>
    </w:r>
    <w:fldSimple w:instr=" TITLE  \* MERGEFORMAT ">
      <w:r w:rsidR="00B80F99">
        <w:t>doc.: IEEE 802.11-17/1314r2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90D80"/>
    <w:rsid w:val="001D723B"/>
    <w:rsid w:val="0029020B"/>
    <w:rsid w:val="00290927"/>
    <w:rsid w:val="002D44BE"/>
    <w:rsid w:val="003C5D0D"/>
    <w:rsid w:val="00442037"/>
    <w:rsid w:val="00452B17"/>
    <w:rsid w:val="004B064B"/>
    <w:rsid w:val="004B566B"/>
    <w:rsid w:val="004C36F4"/>
    <w:rsid w:val="0062440B"/>
    <w:rsid w:val="006A5A9A"/>
    <w:rsid w:val="006C0727"/>
    <w:rsid w:val="006E145F"/>
    <w:rsid w:val="00770572"/>
    <w:rsid w:val="007E1075"/>
    <w:rsid w:val="00880ED4"/>
    <w:rsid w:val="009F2FBC"/>
    <w:rsid w:val="00AA427C"/>
    <w:rsid w:val="00B80F99"/>
    <w:rsid w:val="00BE68C2"/>
    <w:rsid w:val="00CA09B2"/>
    <w:rsid w:val="00DC5A7B"/>
    <w:rsid w:val="00FD3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9</TotalTime>
  <Pages>7</Pages>
  <Words>1596</Words>
  <Characters>9101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802.11-17/1314r1</vt:lpstr>
    </vt:vector>
  </TitlesOfParts>
  <Company>Some Company</Company>
  <LinksUpToDate>false</LinksUpToDate>
  <CharactersWithSpaces>10676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802.11-17/1314r2</dc:title>
  <dc:subject>Submission</dc:subject>
  <dc:creator>cheng.chen@intel.com</dc:creator>
  <cp:keywords>September 2017</cp:keywords>
  <dc:description>Cheng Chen, Intel</dc:description>
  <cp:lastModifiedBy>Chen, Cheng</cp:lastModifiedBy>
  <cp:revision>6</cp:revision>
  <cp:lastPrinted>2017-02-23T01:37:00Z</cp:lastPrinted>
  <dcterms:created xsi:type="dcterms:W3CDTF">2017-02-23T01:37:00Z</dcterms:created>
  <dcterms:modified xsi:type="dcterms:W3CDTF">2017-09-12T18:07:00Z</dcterms:modified>
</cp:coreProperties>
</file>