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3B45A0" w:rsidP="00BF1787">
            <w:pPr>
              <w:pStyle w:val="T2"/>
              <w:rPr>
                <w:lang w:val="en-US" w:eastAsia="zh-CN"/>
              </w:rPr>
            </w:pPr>
            <w:r>
              <w:rPr>
                <w:lang w:eastAsia="zh-CN"/>
              </w:rPr>
              <w:t>Changes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 xml:space="preserve">the </w:t>
            </w:r>
            <w:proofErr w:type="spellStart"/>
            <w:r>
              <w:rPr>
                <w:lang w:val="en-US" w:eastAsia="zh-CN"/>
              </w:rPr>
              <w:t>Tx</w:t>
            </w:r>
            <w:proofErr w:type="spellEnd"/>
            <w:r>
              <w:rPr>
                <w:lang w:val="en-US" w:eastAsia="zh-CN"/>
              </w:rPr>
              <w:t xml:space="preserve">/Rx Vectors related to </w:t>
            </w:r>
            <w:r w:rsidR="009B1809" w:rsidRPr="009B1809">
              <w:rPr>
                <w:lang w:val="en-US" w:eastAsia="zh-CN"/>
              </w:rPr>
              <w:t xml:space="preserve">HE </w:t>
            </w:r>
            <w:r w:rsidR="00AC6352">
              <w:rPr>
                <w:lang w:val="en-US" w:eastAsia="zh-CN"/>
              </w:rPr>
              <w:t>TB</w:t>
            </w:r>
            <w:r w:rsidR="009B1809" w:rsidRPr="009B1809">
              <w:rPr>
                <w:lang w:val="en-US" w:eastAsia="zh-CN"/>
              </w:rPr>
              <w:t xml:space="preserve">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3B45A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3B45A0">
              <w:rPr>
                <w:b w:val="0"/>
                <w:sz w:val="20"/>
                <w:lang w:eastAsia="zh-CN"/>
              </w:rPr>
              <w:t>8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</w:t>
            </w:r>
            <w:r w:rsidR="003B45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</w:t>
      </w:r>
      <w:r w:rsidR="003B45A0">
        <w:rPr>
          <w:lang w:eastAsia="ko-KR"/>
        </w:rPr>
        <w:t>changes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3B45A0">
        <w:rPr>
          <w:lang w:eastAsia="ko-KR"/>
        </w:rPr>
        <w:t>4</w:t>
      </w:r>
      <w:r>
        <w:rPr>
          <w:lang w:eastAsia="ko-KR"/>
        </w:rPr>
        <w:t xml:space="preserve"> </w:t>
      </w:r>
      <w:r w:rsidR="003B45A0">
        <w:rPr>
          <w:lang w:eastAsia="ko-KR"/>
        </w:rPr>
        <w:t xml:space="preserve">on </w:t>
      </w:r>
      <w:proofErr w:type="spellStart"/>
      <w:r w:rsidR="003B45A0">
        <w:rPr>
          <w:lang w:eastAsia="ko-KR"/>
        </w:rPr>
        <w:t>theTx</w:t>
      </w:r>
      <w:proofErr w:type="spellEnd"/>
      <w:r w:rsidR="003B45A0">
        <w:rPr>
          <w:lang w:eastAsia="ko-KR"/>
        </w:rPr>
        <w:t>/Rx vectors related to HE TB NDP feedback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962B0">
        <w:rPr>
          <w:b/>
          <w:bCs/>
          <w:color w:val="000000" w:themeColor="text1"/>
          <w:szCs w:val="22"/>
          <w:u w:val="single"/>
        </w:rPr>
        <w:t>Table 28-1</w:t>
      </w:r>
      <w:r w:rsidR="009962B0" w:rsidRPr="009962B0">
        <w:rPr>
          <w:u w:val="single"/>
        </w:rPr>
        <w:t xml:space="preserve"> </w:t>
      </w:r>
      <w:r w:rsidR="009962B0" w:rsidRPr="009962B0">
        <w:rPr>
          <w:b/>
          <w:bCs/>
          <w:color w:val="000000" w:themeColor="text1"/>
          <w:szCs w:val="22"/>
          <w:u w:val="single"/>
        </w:rPr>
        <w:t>TXVECTOR and RXVECTOR parameters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962B0">
        <w:rPr>
          <w:sz w:val="22"/>
          <w:szCs w:val="20"/>
          <w:lang w:val="en-GB"/>
        </w:rPr>
        <w:t xml:space="preserve">The HE </w:t>
      </w:r>
      <w:r w:rsidR="004A32B3">
        <w:rPr>
          <w:sz w:val="22"/>
          <w:szCs w:val="20"/>
          <w:lang w:val="en-GB"/>
        </w:rPr>
        <w:t xml:space="preserve">TB </w:t>
      </w:r>
      <w:r w:rsidR="009962B0">
        <w:rPr>
          <w:sz w:val="22"/>
          <w:szCs w:val="20"/>
          <w:lang w:val="en-GB"/>
        </w:rPr>
        <w:t xml:space="preserve">NDP feedback is stable in both MAC and PHY, but the </w:t>
      </w:r>
      <w:proofErr w:type="spellStart"/>
      <w:r w:rsidR="009962B0">
        <w:rPr>
          <w:sz w:val="22"/>
          <w:szCs w:val="20"/>
          <w:lang w:val="en-GB"/>
        </w:rPr>
        <w:t>Tx</w:t>
      </w:r>
      <w:proofErr w:type="spellEnd"/>
      <w:r w:rsidR="009962B0">
        <w:rPr>
          <w:sz w:val="22"/>
          <w:szCs w:val="20"/>
          <w:lang w:val="en-GB"/>
        </w:rPr>
        <w:t xml:space="preserve">/Rx VECTORs in the current Draft 1.4 is misleading and incomplete. 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="00385D94">
        <w:rPr>
          <w:i/>
          <w:szCs w:val="22"/>
          <w:highlight w:val="yellow"/>
        </w:rPr>
        <w:t>In Table 28-1 (P.L. 309.48</w:t>
      </w:r>
      <w:r w:rsidR="00385D94">
        <w:rPr>
          <w:rFonts w:hint="eastAsia"/>
          <w:i/>
          <w:szCs w:val="22"/>
          <w:highlight w:val="yellow"/>
        </w:rPr>
        <w:t>)</w:t>
      </w:r>
      <w:r w:rsidR="00385D94">
        <w:rPr>
          <w:i/>
          <w:szCs w:val="22"/>
          <w:highlight w:val="yellow"/>
        </w:rPr>
        <w:t xml:space="preserve">, replace the rows corresponding to </w:t>
      </w:r>
      <w:proofErr w:type="spellStart"/>
      <w:r w:rsidR="00385D94" w:rsidRPr="00385D94">
        <w:rPr>
          <w:i/>
          <w:szCs w:val="22"/>
          <w:highlight w:val="yellow"/>
        </w:rPr>
        <w:t>e</w:t>
      </w:r>
      <w:r w:rsidR="00385D94">
        <w:rPr>
          <w:i/>
          <w:szCs w:val="22"/>
          <w:highlight w:val="yellow"/>
        </w:rPr>
        <w:t>ntrie</w:t>
      </w:r>
      <w:proofErr w:type="spellEnd"/>
      <w:r w:rsidR="00385D94" w:rsidRPr="00385D94">
        <w:rPr>
          <w:i/>
          <w:szCs w:val="22"/>
          <w:highlight w:val="yellow"/>
        </w:rPr>
        <w:t xml:space="preserve"> </w:t>
      </w:r>
      <w:r w:rsidR="00385D94" w:rsidRPr="00385D94">
        <w:rPr>
          <w:b/>
          <w:i/>
          <w:szCs w:val="22"/>
          <w:highlight w:val="yellow"/>
        </w:rPr>
        <w:t>NDP_REPORT</w:t>
      </w:r>
      <w:r w:rsidR="00385D94">
        <w:rPr>
          <w:i/>
          <w:szCs w:val="22"/>
          <w:highlight w:val="yellow"/>
        </w:rPr>
        <w:t xml:space="preserve"> </w:t>
      </w:r>
      <w:r w:rsidR="00385D94" w:rsidRPr="00385D94">
        <w:rPr>
          <w:szCs w:val="22"/>
          <w:highlight w:val="yellow"/>
        </w:rPr>
        <w:t>and</w:t>
      </w:r>
      <w:r w:rsidR="00385D94" w:rsidRPr="00385D94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 xml:space="preserve">entry </w:t>
      </w:r>
      <w:r w:rsidR="00385D94" w:rsidRPr="00385D94">
        <w:rPr>
          <w:b/>
          <w:i/>
          <w:szCs w:val="22"/>
          <w:highlight w:val="yellow"/>
        </w:rPr>
        <w:t>RU_TONE_SET</w:t>
      </w:r>
      <w:r w:rsidR="00385D94" w:rsidRPr="00385D94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 xml:space="preserve">with the rows </w:t>
      </w:r>
      <w:r w:rsidR="00456B33">
        <w:rPr>
          <w:i/>
          <w:szCs w:val="22"/>
          <w:highlight w:val="yellow"/>
        </w:rPr>
        <w:t xml:space="preserve">highlighted as </w:t>
      </w:r>
      <w:r w:rsidR="00456B33" w:rsidRPr="00456B33">
        <w:rPr>
          <w:i/>
          <w:color w:val="C00000"/>
          <w:szCs w:val="22"/>
          <w:highlight w:val="yellow"/>
        </w:rPr>
        <w:t>Brown</w:t>
      </w:r>
      <w:r w:rsidR="00456B33">
        <w:rPr>
          <w:i/>
          <w:szCs w:val="22"/>
          <w:highlight w:val="yellow"/>
        </w:rPr>
        <w:t xml:space="preserve"> </w:t>
      </w:r>
      <w:r w:rsidR="00385D94">
        <w:rPr>
          <w:i/>
          <w:szCs w:val="22"/>
          <w:highlight w:val="yellow"/>
        </w:rPr>
        <w:t>in the table</w:t>
      </w:r>
      <w:r w:rsidR="00A66DA6">
        <w:rPr>
          <w:i/>
          <w:szCs w:val="22"/>
          <w:highlight w:val="yellow"/>
        </w:rPr>
        <w:t xml:space="preserve"> below</w:t>
      </w:r>
      <w:r w:rsidR="00385D94">
        <w:rPr>
          <w:i/>
          <w:szCs w:val="22"/>
          <w:highlight w:val="yellow"/>
        </w:rPr>
        <w:t xml:space="preserve">. In addition, add another entry </w:t>
      </w:r>
      <w:r w:rsidR="00385D94" w:rsidRPr="00385D94">
        <w:rPr>
          <w:b/>
          <w:i/>
          <w:szCs w:val="22"/>
          <w:highlight w:val="yellow"/>
        </w:rPr>
        <w:t xml:space="preserve">FEEDBACK_STATUS </w:t>
      </w:r>
      <w:r w:rsidR="00385D94" w:rsidRPr="00385D94">
        <w:rPr>
          <w:i/>
          <w:szCs w:val="22"/>
          <w:highlight w:val="yellow"/>
        </w:rPr>
        <w:t xml:space="preserve">(as shown in the </w:t>
      </w:r>
      <w:r w:rsidR="00A66DA6" w:rsidRPr="00385D94">
        <w:rPr>
          <w:i/>
          <w:szCs w:val="22"/>
          <w:highlight w:val="yellow"/>
        </w:rPr>
        <w:t xml:space="preserve">table </w:t>
      </w:r>
      <w:proofErr w:type="spellStart"/>
      <w:r w:rsidR="00385D94" w:rsidRPr="00385D94">
        <w:rPr>
          <w:i/>
          <w:szCs w:val="22"/>
          <w:highlight w:val="yellow"/>
        </w:rPr>
        <w:t>bellow</w:t>
      </w:r>
      <w:proofErr w:type="spellEnd"/>
      <w:r w:rsidR="00456B33">
        <w:rPr>
          <w:i/>
          <w:szCs w:val="22"/>
          <w:highlight w:val="yellow"/>
        </w:rPr>
        <w:t xml:space="preserve"> highlighted as </w:t>
      </w:r>
      <w:r w:rsidR="00456B33" w:rsidRPr="00456B33">
        <w:rPr>
          <w:i/>
          <w:color w:val="FF0000"/>
          <w:szCs w:val="22"/>
          <w:highlight w:val="yellow"/>
        </w:rPr>
        <w:t>Red</w:t>
      </w:r>
      <w:r w:rsidR="00385D94" w:rsidRPr="00385D94">
        <w:rPr>
          <w:i/>
          <w:szCs w:val="22"/>
          <w:highlight w:val="yellow"/>
        </w:rPr>
        <w:t>) in Table 28-1.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469"/>
        <w:gridCol w:w="4625"/>
        <w:gridCol w:w="418"/>
        <w:gridCol w:w="418"/>
      </w:tblGrid>
      <w:tr w:rsidR="00456B33" w:rsidRPr="00456B33" w:rsidTr="00A66DA6">
        <w:trPr>
          <w:trHeight w:val="648"/>
          <w:jc w:val="center"/>
        </w:trPr>
        <w:tc>
          <w:tcPr>
            <w:tcW w:w="212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cellbody"/>
              <w:spacing w:line="240" w:lineRule="auto"/>
              <w:jc w:val="center"/>
              <w:rPr>
                <w:color w:val="C00000"/>
              </w:rPr>
            </w:pPr>
            <w:r w:rsidRPr="00456B33">
              <w:rPr>
                <w:color w:val="C00000"/>
              </w:rPr>
              <w:t>NDP_REPORT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FORMAT is HE_TRIG and PSDU_LENGTH = 0 </w:t>
            </w:r>
          </w:p>
        </w:tc>
        <w:tc>
          <w:tcPr>
            <w:tcW w:w="4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C04384" w:rsidRDefault="00C04384" w:rsidP="007A69FE">
            <w:pPr>
              <w:pStyle w:val="tabletext"/>
              <w:rPr>
                <w:color w:val="C00000"/>
              </w:rPr>
            </w:pPr>
            <w:r>
              <w:rPr>
                <w:color w:val="C00000"/>
              </w:rPr>
              <w:t>P</w:t>
            </w:r>
            <w:r w:rsidR="00385D94" w:rsidRPr="00456B33">
              <w:rPr>
                <w:color w:val="C00000"/>
              </w:rPr>
              <w:t xml:space="preserve">rovides the </w:t>
            </w:r>
            <w:r w:rsidR="00372EAF">
              <w:rPr>
                <w:color w:val="C00000"/>
              </w:rPr>
              <w:t xml:space="preserve">detected </w:t>
            </w:r>
            <w:r>
              <w:rPr>
                <w:color w:val="C00000"/>
              </w:rPr>
              <w:t>status vector on the resources assigned by the trigger frame. The</w:t>
            </w:r>
            <w:r w:rsidR="006C62CC">
              <w:rPr>
                <w:color w:val="C00000"/>
              </w:rPr>
              <w:t xml:space="preserve"> vector has</w:t>
            </w:r>
            <w:r>
              <w:rPr>
                <w:color w:val="C00000"/>
              </w:rPr>
              <w:t xml:space="preserve"> </w:t>
            </w:r>
            <w:r w:rsidRPr="00C04384">
              <w:rPr>
                <w:i/>
                <w:color w:val="C00000"/>
              </w:rPr>
              <w:t>N</w:t>
            </w:r>
            <w:r w:rsidRPr="00C04384">
              <w:rPr>
                <w:i/>
                <w:color w:val="C00000"/>
                <w:vertAlign w:val="subscript"/>
              </w:rPr>
              <w:t>STA</w:t>
            </w:r>
            <w:r>
              <w:rPr>
                <w:color w:val="C00000"/>
              </w:rPr>
              <w:t xml:space="preserve"> entries </w:t>
            </w:r>
            <w:r w:rsidR="00831798">
              <w:rPr>
                <w:color w:val="C00000"/>
              </w:rPr>
              <w:t>(</w:t>
            </w:r>
            <w:r w:rsidR="00831798" w:rsidRPr="00831798">
              <w:rPr>
                <w:i/>
                <w:color w:val="C00000"/>
              </w:rPr>
              <w:t>N</w:t>
            </w:r>
            <w:r w:rsidR="00831798" w:rsidRPr="00831798">
              <w:rPr>
                <w:i/>
                <w:color w:val="C00000"/>
                <w:vertAlign w:val="subscript"/>
              </w:rPr>
              <w:t>STA</w:t>
            </w:r>
            <w:r w:rsidR="00831798">
              <w:rPr>
                <w:color w:val="C00000"/>
              </w:rPr>
              <w:t xml:space="preserve"> is defined in 27.5.5.2) </w:t>
            </w:r>
            <w:r>
              <w:rPr>
                <w:color w:val="C00000"/>
              </w:rPr>
              <w:t xml:space="preserve">and each entry </w:t>
            </w:r>
            <w:r w:rsidR="00831798">
              <w:rPr>
                <w:color w:val="C00000"/>
              </w:rPr>
              <w:t>could equal to</w:t>
            </w:r>
            <w:r>
              <w:rPr>
                <w:color w:val="C00000"/>
              </w:rPr>
              <w:t>:</w:t>
            </w:r>
          </w:p>
          <w:p w:rsidR="00372EAF" w:rsidRDefault="00372EAF" w:rsidP="007A69FE">
            <w:pPr>
              <w:pStyle w:val="tabletext"/>
              <w:rPr>
                <w:color w:val="C00000"/>
              </w:rPr>
            </w:pPr>
            <w:r>
              <w:rPr>
                <w:color w:val="C00000"/>
              </w:rPr>
              <w:t xml:space="preserve">1 if </w:t>
            </w:r>
            <w:r w:rsidR="00726F70">
              <w:rPr>
                <w:color w:val="C00000"/>
              </w:rPr>
              <w:t>transmission is</w:t>
            </w:r>
            <w:r>
              <w:rPr>
                <w:color w:val="C00000"/>
              </w:rPr>
              <w:t xml:space="preserve"> detected on the first group of the tone set;</w:t>
            </w:r>
          </w:p>
          <w:p w:rsidR="00372EAF" w:rsidRDefault="00372EAF" w:rsidP="007A69FE">
            <w:pPr>
              <w:pStyle w:val="tabletext"/>
              <w:rPr>
                <w:color w:val="C00000"/>
              </w:rPr>
            </w:pPr>
            <w:r>
              <w:rPr>
                <w:color w:val="C00000"/>
              </w:rPr>
              <w:t xml:space="preserve">0 if </w:t>
            </w:r>
            <w:r w:rsidR="00726F70">
              <w:rPr>
                <w:color w:val="C00000"/>
              </w:rPr>
              <w:t>transmission is</w:t>
            </w:r>
            <w:r>
              <w:rPr>
                <w:color w:val="C00000"/>
              </w:rPr>
              <w:t xml:space="preserve"> detected on the second group of the tone set;</w:t>
            </w:r>
          </w:p>
          <w:p w:rsidR="00372EAF" w:rsidRPr="00456B33" w:rsidRDefault="00831798" w:rsidP="007A69FE">
            <w:pPr>
              <w:pStyle w:val="tabletext"/>
              <w:rPr>
                <w:color w:val="C00000"/>
              </w:rPr>
            </w:pPr>
            <w:r>
              <w:rPr>
                <w:color w:val="C00000"/>
              </w:rPr>
              <w:t>NONE</w:t>
            </w:r>
            <w:r w:rsidR="00C04384">
              <w:rPr>
                <w:color w:val="C00000"/>
              </w:rPr>
              <w:t xml:space="preserve"> </w:t>
            </w:r>
            <w:r w:rsidR="00372EAF">
              <w:rPr>
                <w:color w:val="C00000"/>
              </w:rPr>
              <w:t xml:space="preserve">if </w:t>
            </w:r>
            <w:r w:rsidR="00726F70">
              <w:rPr>
                <w:color w:val="C00000"/>
              </w:rPr>
              <w:t>transmission</w:t>
            </w:r>
            <w:r w:rsidR="00372EAF">
              <w:rPr>
                <w:color w:val="C00000"/>
              </w:rPr>
              <w:t xml:space="preserve"> is not detected on either group of the tone set.</w:t>
            </w:r>
          </w:p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 </w:t>
            </w:r>
          </w:p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 </w:t>
            </w: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Y</w:t>
            </w:r>
          </w:p>
        </w:tc>
      </w:tr>
      <w:tr w:rsidR="00456B33" w:rsidRPr="00456B33" w:rsidTr="00A66DA6">
        <w:trPr>
          <w:trHeight w:val="35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456B33" w:rsidRDefault="00385D94" w:rsidP="007A69FE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rFonts w:ascii="Calibri" w:hAnsi="Calibri"/>
                <w:color w:val="C0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  <w:tr w:rsidR="00A66DA6" w:rsidRPr="00A66DA6" w:rsidTr="00A66DA6">
        <w:trPr>
          <w:trHeight w:val="992"/>
          <w:jc w:val="center"/>
        </w:trPr>
        <w:tc>
          <w:tcPr>
            <w:tcW w:w="21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cellbody"/>
              <w:spacing w:line="240" w:lineRule="auto"/>
              <w:jc w:val="center"/>
              <w:rPr>
                <w:color w:val="FF0000"/>
              </w:rPr>
            </w:pPr>
            <w:r w:rsidRPr="00A66DA6">
              <w:rPr>
                <w:color w:val="FF0000"/>
              </w:rPr>
              <w:t>FEEDBACK_STATUS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 xml:space="preserve">FORMAT is HE_TRIG and APEP_LENGTH = 0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 xml:space="preserve">Indicates the value of the </w:t>
            </w:r>
            <w:r w:rsidR="00831798">
              <w:rPr>
                <w:color w:val="FF0000"/>
              </w:rPr>
              <w:t xml:space="preserve">one </w:t>
            </w:r>
            <w:r w:rsidRPr="00A66DA6">
              <w:rPr>
                <w:color w:val="FF0000"/>
              </w:rPr>
              <w:t xml:space="preserve">bit used to </w:t>
            </w:r>
            <w:r w:rsidR="00831798">
              <w:rPr>
                <w:color w:val="FF0000"/>
              </w:rPr>
              <w:t>modulate the tones in each tone set</w:t>
            </w:r>
            <w:r w:rsidRPr="00A66DA6">
              <w:rPr>
                <w:color w:val="FF0000"/>
              </w:rPr>
              <w:t>.</w:t>
            </w:r>
          </w:p>
          <w:p w:rsidR="00831798" w:rsidRDefault="00831798" w:rsidP="007A69FE">
            <w:pPr>
              <w:pStyle w:val="tabletext"/>
              <w:rPr>
                <w:color w:val="FF0000"/>
              </w:rPr>
            </w:pPr>
          </w:p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Details in 28.3.17 HE TB NDP feedback PPDU and 27.5.5 NDP feedback report procedure.</w:t>
            </w:r>
          </w:p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</w:tr>
      <w:tr w:rsidR="00A66DA6" w:rsidRPr="00A66DA6" w:rsidTr="00A66DA6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A66DA6" w:rsidRDefault="00385D94" w:rsidP="007A69F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A66DA6" w:rsidRDefault="00385D94" w:rsidP="007A69FE">
            <w:pPr>
              <w:pStyle w:val="tabletext"/>
              <w:rPr>
                <w:color w:val="FF0000"/>
              </w:rPr>
            </w:pPr>
            <w:r w:rsidRPr="00A66DA6">
              <w:rPr>
                <w:color w:val="FF0000"/>
              </w:rPr>
              <w:t>N</w:t>
            </w:r>
          </w:p>
        </w:tc>
      </w:tr>
      <w:tr w:rsidR="00456B33" w:rsidRPr="00456B33" w:rsidTr="00A66DA6">
        <w:trPr>
          <w:trHeight w:val="821"/>
          <w:jc w:val="center"/>
        </w:trPr>
        <w:tc>
          <w:tcPr>
            <w:tcW w:w="21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cellbody"/>
              <w:spacing w:line="240" w:lineRule="auto"/>
              <w:jc w:val="center"/>
              <w:rPr>
                <w:color w:val="C00000"/>
              </w:rPr>
            </w:pPr>
            <w:r w:rsidRPr="00456B33">
              <w:rPr>
                <w:color w:val="C00000"/>
              </w:rPr>
              <w:t>RU_TONE_SET_INDEX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FORMAT is HE_TRIG and APEP_LENGTH = 0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 xml:space="preserve">Indicates the RU tone set used for an </w:t>
            </w:r>
            <w:r w:rsidR="001E7BC8" w:rsidRPr="00456B33">
              <w:rPr>
                <w:color w:val="C00000"/>
              </w:rPr>
              <w:t xml:space="preserve">HE TB </w:t>
            </w:r>
            <w:r w:rsidRPr="00456B33">
              <w:rPr>
                <w:color w:val="C00000"/>
              </w:rPr>
              <w:t>NDP feedback report PPDU.</w:t>
            </w:r>
          </w:p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Details in 28.3.17 HE TB NDP feedback PPDU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  <w:tr w:rsidR="00456B33" w:rsidRPr="00456B33" w:rsidTr="00A66DA6">
        <w:trPr>
          <w:trHeight w:val="86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5D94" w:rsidRPr="00456B33" w:rsidRDefault="00385D94" w:rsidP="007A69FE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Otherwise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Not present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:rsidR="00385D94" w:rsidRPr="00456B33" w:rsidRDefault="00385D94" w:rsidP="007A69FE">
            <w:pPr>
              <w:pStyle w:val="tabletext"/>
              <w:rPr>
                <w:color w:val="C00000"/>
              </w:rPr>
            </w:pPr>
            <w:r w:rsidRPr="00456B33">
              <w:rPr>
                <w:color w:val="C00000"/>
              </w:rPr>
              <w:t>N</w:t>
            </w:r>
          </w:p>
        </w:tc>
      </w:tr>
    </w:tbl>
    <w:p w:rsidR="00385D94" w:rsidRDefault="00385D94" w:rsidP="00A66DA6">
      <w:pPr>
        <w:rPr>
          <w:i/>
          <w:szCs w:val="22"/>
          <w:highlight w:val="yellow"/>
        </w:rPr>
      </w:pPr>
      <w:r>
        <w:lastRenderedPageBreak/>
        <w:t> </w:t>
      </w:r>
    </w:p>
    <w:p w:rsidR="009554BF" w:rsidRDefault="009554BF" w:rsidP="00A803E5">
      <w:pPr>
        <w:spacing w:after="160" w:line="259" w:lineRule="auto"/>
        <w:rPr>
          <w:rFonts w:ascii="Arial-BoldMT" w:hAnsi="Arial-BoldMT"/>
          <w:b/>
          <w:bCs/>
          <w:color w:val="000000"/>
          <w:sz w:val="20"/>
        </w:rPr>
      </w:pPr>
    </w:p>
    <w:p w:rsidR="009554BF" w:rsidRPr="009554BF" w:rsidRDefault="009554BF" w:rsidP="00A803E5">
      <w:pPr>
        <w:spacing w:after="160" w:line="259" w:lineRule="auto"/>
        <w:rPr>
          <w:rFonts w:ascii="Arial-BoldMT" w:hAnsi="Arial-BoldMT"/>
          <w:b/>
          <w:bCs/>
          <w:i/>
          <w:color w:val="000000"/>
          <w:sz w:val="24"/>
        </w:rPr>
      </w:pPr>
      <w:r w:rsidRPr="009554BF">
        <w:rPr>
          <w:rFonts w:ascii="Arial-BoldMT" w:hAnsi="Arial-BoldMT"/>
          <w:b/>
          <w:bCs/>
          <w:i/>
          <w:color w:val="000000"/>
          <w:sz w:val="24"/>
          <w:highlight w:val="yellow"/>
        </w:rPr>
        <w:t>In addition, modify the paragraph on P.L. 240.60 as below:</w:t>
      </w:r>
    </w:p>
    <w:p w:rsidR="00F444EF" w:rsidRPr="00710346" w:rsidRDefault="006F7A49" w:rsidP="00A803E5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6F7A49">
        <w:rPr>
          <w:rFonts w:ascii="Arial-BoldMT" w:hAnsi="Arial-BoldMT"/>
          <w:b/>
          <w:bCs/>
          <w:color w:val="000000"/>
          <w:sz w:val="20"/>
        </w:rPr>
        <w:t>27.5.5.3.1 Reception of NDP feedback report responses</w:t>
      </w:r>
      <w:r w:rsidRPr="006F7A49">
        <w:rPr>
          <w:rFonts w:ascii="Arial-BoldMT" w:hAnsi="Arial-BoldMT"/>
          <w:b/>
          <w:bCs/>
          <w:color w:val="000000"/>
          <w:sz w:val="20"/>
        </w:rPr>
        <w:br/>
      </w:r>
      <w:r w:rsidRPr="006F7A49">
        <w:rPr>
          <w:rFonts w:ascii="TimesNewRomanPSMT" w:hAnsi="TimesNewRomanPSMT"/>
          <w:color w:val="000000"/>
          <w:sz w:val="20"/>
        </w:rPr>
        <w:t>Following the transmission from an AP of an NDP Feedback Report Poll Trigger frame, multiple STAs may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F7A49">
        <w:rPr>
          <w:rFonts w:ascii="TimesNewRomanPSMT" w:hAnsi="TimesNewRomanPSMT"/>
          <w:color w:val="000000"/>
          <w:sz w:val="20"/>
        </w:rPr>
        <w:t>simultaneously send NDP feedback report responses to the AP. Based on the RXVECTOR parameter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F7A49">
        <w:rPr>
          <w:rFonts w:ascii="TimesNewRomanPSMT" w:hAnsi="TimesNewRomanPSMT"/>
          <w:color w:val="000000"/>
          <w:sz w:val="20"/>
        </w:rPr>
        <w:t>NDP_REPORT, which provides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444EF" w:rsidRPr="00F444EF">
        <w:rPr>
          <w:rFonts w:ascii="TimesNewRomanPSMT" w:hAnsi="TimesNewRomanPSMT"/>
          <w:color w:val="FF0000"/>
          <w:sz w:val="20"/>
        </w:rPr>
        <w:t xml:space="preserve">detected status </w:t>
      </w:r>
      <w:r w:rsidRPr="006F7A49">
        <w:rPr>
          <w:rFonts w:ascii="TimesNewRomanPSMT" w:hAnsi="TimesNewRomanPSMT"/>
          <w:color w:val="000000"/>
          <w:sz w:val="20"/>
        </w:rPr>
        <w:t xml:space="preserve">vector </w:t>
      </w:r>
      <w:r w:rsidRPr="00A97531">
        <w:rPr>
          <w:rFonts w:ascii="TimesNewRomanPSMT" w:hAnsi="TimesNewRomanPSMT"/>
          <w:strike/>
          <w:color w:val="C00000"/>
          <w:sz w:val="20"/>
        </w:rPr>
        <w:t xml:space="preserve">of </w:t>
      </w:r>
      <w:r w:rsidRPr="00F444EF">
        <w:rPr>
          <w:rFonts w:ascii="TimesNewRomanPSMT" w:hAnsi="TimesNewRomanPSMT"/>
          <w:strike/>
          <w:color w:val="C00000"/>
          <w:sz w:val="20"/>
        </w:rPr>
        <w:t>the detected bits</w:t>
      </w:r>
      <w:r w:rsidR="00A97531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A97531">
        <w:rPr>
          <w:rFonts w:ascii="TimesNewRomanPSMT" w:hAnsi="TimesNewRomanPSMT"/>
          <w:sz w:val="20"/>
        </w:rPr>
        <w:t>for</w:t>
      </w:r>
      <w:r w:rsidRPr="00A97531">
        <w:rPr>
          <w:rFonts w:ascii="TimesNewRomanPSMT" w:hAnsi="TimesNewRomanPSMT"/>
          <w:color w:val="C00000"/>
          <w:sz w:val="20"/>
        </w:rPr>
        <w:t xml:space="preserve"> </w:t>
      </w:r>
      <w:r w:rsidR="00A97531">
        <w:rPr>
          <w:rFonts w:ascii="TimesNewRomanPSMT" w:hAnsi="TimesNewRomanPSMT"/>
          <w:color w:val="FF0000"/>
          <w:sz w:val="20"/>
        </w:rPr>
        <w:t>the resources of</w:t>
      </w:r>
      <w:r w:rsidR="00F444EF">
        <w:rPr>
          <w:rFonts w:ascii="TimesNewRomanPSMT" w:hAnsi="TimesNewRomanPSMT"/>
          <w:color w:val="FF0000"/>
          <w:sz w:val="20"/>
        </w:rPr>
        <w:t xml:space="preserve"> </w:t>
      </w:r>
      <w:r w:rsidRPr="006F7A49">
        <w:rPr>
          <w:rFonts w:ascii="TimesNewRomanPSMT" w:hAnsi="TimesNewRomanPSMT"/>
          <w:color w:val="000000"/>
          <w:sz w:val="20"/>
        </w:rPr>
        <w:t xml:space="preserve">each </w:t>
      </w:r>
      <w:r w:rsidR="006250A9" w:rsidRPr="006250A9">
        <w:rPr>
          <w:rFonts w:ascii="TimesNewRomanPSMT" w:hAnsi="TimesNewRomanPSMT"/>
          <w:color w:val="FF0000"/>
          <w:sz w:val="20"/>
        </w:rPr>
        <w:t xml:space="preserve">spatial stream </w:t>
      </w:r>
      <w:r w:rsidR="006250A9">
        <w:rPr>
          <w:rFonts w:ascii="TimesNewRomanPSMT" w:hAnsi="TimesNewRomanPSMT"/>
          <w:color w:val="FF0000"/>
          <w:sz w:val="20"/>
        </w:rPr>
        <w:t xml:space="preserve">and tone set </w:t>
      </w:r>
      <w:r w:rsidRPr="006250A9">
        <w:rPr>
          <w:rFonts w:ascii="TimesNewRomanPSMT" w:hAnsi="TimesNewRomanPSMT"/>
          <w:strike/>
          <w:color w:val="C00000"/>
          <w:sz w:val="20"/>
        </w:rPr>
        <w:t>P-matrix code on each</w:t>
      </w:r>
      <w:r w:rsidRPr="006250A9">
        <w:rPr>
          <w:rFonts w:ascii="TimesNewRomanPSMT" w:hAnsi="TimesNewRomanPSMT"/>
          <w:color w:val="C00000"/>
          <w:sz w:val="20"/>
        </w:rPr>
        <w:t xml:space="preserve"> </w:t>
      </w:r>
      <w:r w:rsidRPr="006250A9">
        <w:rPr>
          <w:rFonts w:ascii="TimesNewRomanPSMT" w:hAnsi="TimesNewRomanPSMT"/>
          <w:strike/>
          <w:color w:val="C00000"/>
          <w:sz w:val="20"/>
        </w:rPr>
        <w:t>RU_TONE_SET of each RU</w:t>
      </w:r>
      <w:r w:rsidR="00F444EF">
        <w:rPr>
          <w:rFonts w:ascii="TimesNewRomanPSMT" w:hAnsi="TimesNewRomanPSMT"/>
          <w:color w:val="000000"/>
          <w:sz w:val="20"/>
        </w:rPr>
        <w:t xml:space="preserve"> </w:t>
      </w:r>
      <w:r w:rsidR="006250A9" w:rsidRPr="006250A9">
        <w:rPr>
          <w:rFonts w:ascii="TimesNewRomanPSMT" w:hAnsi="TimesNewRomanPSMT"/>
          <w:color w:val="FF0000"/>
          <w:sz w:val="20"/>
        </w:rPr>
        <w:t>assigned by the trigger frame</w:t>
      </w:r>
      <w:r w:rsidR="00B0715F" w:rsidRPr="00B0715F">
        <w:rPr>
          <w:rFonts w:ascii="TimesNewRomanPSMT" w:hAnsi="TimesNewRomanPSMT"/>
          <w:sz w:val="20"/>
        </w:rPr>
        <w:t>,</w:t>
      </w:r>
      <w:r w:rsidRPr="006F7A49">
        <w:rPr>
          <w:rFonts w:ascii="TimesNewRomanPSMT" w:hAnsi="TimesNewRomanPSMT"/>
          <w:color w:val="000000"/>
          <w:sz w:val="20"/>
        </w:rPr>
        <w:t xml:space="preserve"> </w:t>
      </w:r>
      <w:r w:rsidRPr="00B0715F">
        <w:rPr>
          <w:rFonts w:ascii="TimesNewRomanPSMT" w:hAnsi="TimesNewRomanPSMT"/>
          <w:sz w:val="20"/>
        </w:rPr>
        <w:t>the</w:t>
      </w:r>
      <w:r w:rsidRPr="006F7A49">
        <w:rPr>
          <w:rFonts w:ascii="TimesNewRomanPSMT" w:hAnsi="TimesNewRomanPSMT"/>
          <w:color w:val="000000"/>
          <w:sz w:val="20"/>
        </w:rPr>
        <w:t xml:space="preserve"> </w:t>
      </w:r>
      <w:bookmarkStart w:id="0" w:name="_GoBack"/>
      <w:bookmarkEnd w:id="0"/>
      <w:r w:rsidRPr="006F7A49">
        <w:rPr>
          <w:rFonts w:ascii="TimesNewRomanPSMT" w:hAnsi="TimesNewRomanPSMT"/>
          <w:color w:val="000000"/>
          <w:sz w:val="20"/>
        </w:rPr>
        <w:t xml:space="preserve">AP can derive the list of AIDs </w:t>
      </w:r>
      <w:r w:rsidRPr="006250A9">
        <w:rPr>
          <w:rFonts w:ascii="TimesNewRomanPSMT" w:hAnsi="TimesNewRomanPSMT"/>
          <w:strike/>
          <w:color w:val="C00000"/>
          <w:sz w:val="20"/>
        </w:rPr>
        <w:t>for</w:t>
      </w:r>
      <w:r w:rsidRPr="006F7A49">
        <w:rPr>
          <w:rFonts w:ascii="TimesNewRomanPSMT" w:hAnsi="TimesNewRomanPSMT"/>
          <w:color w:val="000000"/>
          <w:sz w:val="20"/>
        </w:rPr>
        <w:t xml:space="preserve"> </w:t>
      </w:r>
      <w:r w:rsidR="006250A9" w:rsidRPr="006250A9">
        <w:rPr>
          <w:rFonts w:ascii="TimesNewRomanPSMT" w:hAnsi="TimesNewRomanPSMT"/>
          <w:color w:val="FF0000"/>
          <w:sz w:val="20"/>
        </w:rPr>
        <w:t xml:space="preserve">from </w:t>
      </w:r>
      <w:r w:rsidR="00C57C34">
        <w:rPr>
          <w:rFonts w:ascii="TimesNewRomanPSMT" w:hAnsi="TimesNewRomanPSMT"/>
          <w:color w:val="FF0000"/>
          <w:sz w:val="20"/>
        </w:rPr>
        <w:t xml:space="preserve">the resources of </w:t>
      </w:r>
      <w:r w:rsidRPr="006F7A49">
        <w:rPr>
          <w:rFonts w:ascii="TimesNewRomanPSMT" w:hAnsi="TimesNewRomanPSMT"/>
          <w:color w:val="000000"/>
          <w:sz w:val="20"/>
        </w:rPr>
        <w:t>which an NDP feedback report response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F7A49">
        <w:rPr>
          <w:rFonts w:ascii="TimesNewRomanPSMT" w:hAnsi="TimesNewRomanPSMT"/>
          <w:color w:val="000000"/>
          <w:sz w:val="20"/>
        </w:rPr>
        <w:t>was sent, and their response.</w:t>
      </w:r>
    </w:p>
    <w:sectPr w:rsidR="00F444EF" w:rsidRPr="00710346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AA" w:rsidRDefault="00BF66AA">
      <w:r>
        <w:separator/>
      </w:r>
    </w:p>
  </w:endnote>
  <w:endnote w:type="continuationSeparator" w:id="0">
    <w:p w:rsidR="00BF66AA" w:rsidRDefault="00BF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E" w:rsidRPr="00EF1A28" w:rsidRDefault="007A69FE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B0715F">
      <w:rPr>
        <w:noProof/>
        <w:lang w:val="fr-FR"/>
      </w:rPr>
      <w:t>3</w:t>
    </w:r>
    <w:r>
      <w:fldChar w:fldCharType="end"/>
    </w:r>
    <w:r>
      <w:rPr>
        <w:lang w:val="fr-FR"/>
      </w:rPr>
      <w:tab/>
    </w:r>
    <w:r>
      <w:rPr>
        <w:lang w:val="fr-FR" w:eastAsia="zh-CN"/>
      </w:rPr>
      <w:t>Xiaogang Chen (Intel)</w:t>
    </w:r>
  </w:p>
  <w:p w:rsidR="007A69FE" w:rsidRPr="00EF1A28" w:rsidRDefault="007A69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AA" w:rsidRDefault="00BF66AA">
      <w:r>
        <w:separator/>
      </w:r>
    </w:p>
  </w:footnote>
  <w:footnote w:type="continuationSeparator" w:id="0">
    <w:p w:rsidR="00BF66AA" w:rsidRDefault="00BF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E" w:rsidRDefault="007A69FE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Sep.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802.11-17/1307</w:t>
      </w:r>
      <w:r>
        <w:rPr>
          <w:lang w:eastAsia="ko-KR"/>
        </w:rPr>
        <w:t>r</w:t>
      </w:r>
    </w:fldSimple>
    <w:r w:rsidR="002C661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E7BC8"/>
    <w:rsid w:val="001F041F"/>
    <w:rsid w:val="001F0B2F"/>
    <w:rsid w:val="001F1AB9"/>
    <w:rsid w:val="001F222A"/>
    <w:rsid w:val="001F263E"/>
    <w:rsid w:val="001F286D"/>
    <w:rsid w:val="001F2C02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618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EAF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5D94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5A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6B33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2B3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5D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0A9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2CC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A49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3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6F70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9FE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798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52E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4BF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2B0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818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AB9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6DA6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3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15F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0E20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37E87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66AA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384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57C34"/>
    <w:rsid w:val="00C6065B"/>
    <w:rsid w:val="00C60D7C"/>
    <w:rsid w:val="00C61BCF"/>
    <w:rsid w:val="00C6209D"/>
    <w:rsid w:val="00C6325F"/>
    <w:rsid w:val="00C63793"/>
    <w:rsid w:val="00C638AB"/>
    <w:rsid w:val="00C63A79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1260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410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297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132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4EF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CFCAD2B-2BF1-434F-BF0C-0D4B1C5E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764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3236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25</cp:revision>
  <cp:lastPrinted>2013-12-02T17:26:00Z</cp:lastPrinted>
  <dcterms:created xsi:type="dcterms:W3CDTF">2017-08-28T17:48:00Z</dcterms:created>
  <dcterms:modified xsi:type="dcterms:W3CDTF">2017-09-12T20:51:00Z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