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251"/>
        <w:gridCol w:w="2111"/>
      </w:tblGrid>
      <w:tr w:rsidR="00CA09B2" w:rsidTr="00C6451E">
        <w:trPr>
          <w:trHeight w:val="485"/>
          <w:jc w:val="center"/>
        </w:trPr>
        <w:tc>
          <w:tcPr>
            <w:tcW w:w="9576" w:type="dxa"/>
            <w:gridSpan w:val="5"/>
            <w:vAlign w:val="center"/>
          </w:tcPr>
          <w:p w:rsidR="00CA09B2" w:rsidRDefault="006A6394">
            <w:pPr>
              <w:pStyle w:val="T2"/>
            </w:pPr>
            <w:r w:rsidRPr="006A6394">
              <w:t>DMG coexistence with non-IEEE-802.11 systems</w:t>
            </w:r>
          </w:p>
        </w:tc>
      </w:tr>
      <w:tr w:rsidR="00CA09B2" w:rsidTr="00C6451E">
        <w:trPr>
          <w:trHeight w:val="359"/>
          <w:jc w:val="center"/>
        </w:trPr>
        <w:tc>
          <w:tcPr>
            <w:tcW w:w="9576" w:type="dxa"/>
            <w:gridSpan w:val="5"/>
            <w:vAlign w:val="center"/>
          </w:tcPr>
          <w:p w:rsidR="00CA09B2" w:rsidRDefault="00CA09B2" w:rsidP="006A6394">
            <w:pPr>
              <w:pStyle w:val="T2"/>
              <w:ind w:left="0"/>
              <w:rPr>
                <w:sz w:val="20"/>
              </w:rPr>
            </w:pPr>
            <w:r>
              <w:rPr>
                <w:sz w:val="20"/>
              </w:rPr>
              <w:t>Date:</w:t>
            </w:r>
            <w:r>
              <w:rPr>
                <w:b w:val="0"/>
                <w:sz w:val="20"/>
              </w:rPr>
              <w:t xml:space="preserve">  </w:t>
            </w:r>
            <w:r w:rsidR="006A6394">
              <w:rPr>
                <w:b w:val="0"/>
                <w:sz w:val="20"/>
              </w:rPr>
              <w:t>2017</w:t>
            </w:r>
            <w:r>
              <w:rPr>
                <w:b w:val="0"/>
                <w:sz w:val="20"/>
              </w:rPr>
              <w:t>-</w:t>
            </w:r>
            <w:r w:rsidR="006A6394">
              <w:rPr>
                <w:b w:val="0"/>
                <w:sz w:val="20"/>
              </w:rPr>
              <w:t>09</w:t>
            </w:r>
            <w:r>
              <w:rPr>
                <w:b w:val="0"/>
                <w:sz w:val="20"/>
              </w:rPr>
              <w:t>-</w:t>
            </w:r>
            <w:r w:rsidR="006A6394">
              <w:rPr>
                <w:b w:val="0"/>
                <w:sz w:val="20"/>
              </w:rPr>
              <w:t>11</w:t>
            </w:r>
          </w:p>
        </w:tc>
      </w:tr>
      <w:tr w:rsidR="00CA09B2" w:rsidTr="00C6451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451E">
        <w:trPr>
          <w:jc w:val="center"/>
        </w:trPr>
        <w:tc>
          <w:tcPr>
            <w:tcW w:w="1705" w:type="dxa"/>
            <w:vAlign w:val="center"/>
          </w:tcPr>
          <w:p w:rsidR="00CA09B2" w:rsidRDefault="00CA09B2">
            <w:pPr>
              <w:pStyle w:val="T2"/>
              <w:spacing w:after="0"/>
              <w:ind w:left="0" w:right="0"/>
              <w:jc w:val="left"/>
              <w:rPr>
                <w:sz w:val="20"/>
              </w:rPr>
            </w:pPr>
            <w:r>
              <w:rPr>
                <w:sz w:val="20"/>
              </w:rPr>
              <w:t>Name</w:t>
            </w:r>
          </w:p>
        </w:tc>
        <w:tc>
          <w:tcPr>
            <w:tcW w:w="169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51" w:type="dxa"/>
            <w:vAlign w:val="center"/>
          </w:tcPr>
          <w:p w:rsidR="00CA09B2" w:rsidRDefault="00CA09B2">
            <w:pPr>
              <w:pStyle w:val="T2"/>
              <w:spacing w:after="0"/>
              <w:ind w:left="0" w:right="0"/>
              <w:jc w:val="left"/>
              <w:rPr>
                <w:sz w:val="20"/>
              </w:rPr>
            </w:pPr>
            <w:r>
              <w:rPr>
                <w:sz w:val="20"/>
              </w:rPr>
              <w:t>Phone</w:t>
            </w:r>
          </w:p>
        </w:tc>
        <w:tc>
          <w:tcPr>
            <w:tcW w:w="2111" w:type="dxa"/>
            <w:vAlign w:val="center"/>
          </w:tcPr>
          <w:p w:rsidR="00CA09B2" w:rsidRDefault="00CA09B2">
            <w:pPr>
              <w:pStyle w:val="T2"/>
              <w:spacing w:after="0"/>
              <w:ind w:left="0" w:right="0"/>
              <w:jc w:val="left"/>
              <w:rPr>
                <w:sz w:val="20"/>
              </w:rPr>
            </w:pPr>
            <w:r>
              <w:rPr>
                <w:sz w:val="20"/>
              </w:rPr>
              <w:t>email</w:t>
            </w:r>
          </w:p>
        </w:tc>
      </w:tr>
      <w:tr w:rsidR="00CA09B2" w:rsidTr="00C6451E">
        <w:trPr>
          <w:jc w:val="center"/>
        </w:trPr>
        <w:tc>
          <w:tcPr>
            <w:tcW w:w="1705" w:type="dxa"/>
            <w:vAlign w:val="center"/>
          </w:tcPr>
          <w:p w:rsidR="00CA09B2" w:rsidRDefault="00C6451E">
            <w:pPr>
              <w:pStyle w:val="T2"/>
              <w:spacing w:after="0"/>
              <w:ind w:left="0" w:right="0"/>
              <w:rPr>
                <w:b w:val="0"/>
                <w:sz w:val="20"/>
              </w:rPr>
            </w:pPr>
            <w:r>
              <w:rPr>
                <w:b w:val="0"/>
                <w:sz w:val="20"/>
              </w:rPr>
              <w:t>Claudio da Silva</w:t>
            </w:r>
          </w:p>
        </w:tc>
        <w:tc>
          <w:tcPr>
            <w:tcW w:w="1695" w:type="dxa"/>
            <w:vAlign w:val="center"/>
          </w:tcPr>
          <w:p w:rsidR="00CA09B2" w:rsidRDefault="00C6451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251" w:type="dxa"/>
            <w:vAlign w:val="center"/>
          </w:tcPr>
          <w:p w:rsidR="00CA09B2" w:rsidRDefault="00CA09B2">
            <w:pPr>
              <w:pStyle w:val="T2"/>
              <w:spacing w:after="0"/>
              <w:ind w:left="0" w:right="0"/>
              <w:rPr>
                <w:b w:val="0"/>
                <w:sz w:val="20"/>
              </w:rPr>
            </w:pPr>
          </w:p>
        </w:tc>
        <w:tc>
          <w:tcPr>
            <w:tcW w:w="2111" w:type="dxa"/>
            <w:vAlign w:val="center"/>
          </w:tcPr>
          <w:p w:rsidR="00CA09B2" w:rsidRDefault="00C6451E">
            <w:pPr>
              <w:pStyle w:val="T2"/>
              <w:spacing w:after="0"/>
              <w:ind w:left="0" w:right="0"/>
              <w:rPr>
                <w:b w:val="0"/>
                <w:sz w:val="16"/>
              </w:rPr>
            </w:pPr>
            <w:r>
              <w:rPr>
                <w:b w:val="0"/>
                <w:sz w:val="16"/>
              </w:rPr>
              <w:t>claudio.da.silva@intel.com</w:t>
            </w:r>
          </w:p>
        </w:tc>
      </w:tr>
      <w:tr w:rsidR="00CA09B2" w:rsidTr="00C6451E">
        <w:trPr>
          <w:jc w:val="center"/>
        </w:trPr>
        <w:tc>
          <w:tcPr>
            <w:tcW w:w="1705" w:type="dxa"/>
            <w:vAlign w:val="center"/>
          </w:tcPr>
          <w:p w:rsidR="00CA09B2" w:rsidRDefault="00CA09B2">
            <w:pPr>
              <w:pStyle w:val="T2"/>
              <w:spacing w:after="0"/>
              <w:ind w:left="0" w:right="0"/>
              <w:rPr>
                <w:b w:val="0"/>
                <w:sz w:val="20"/>
              </w:rPr>
            </w:pPr>
          </w:p>
        </w:tc>
        <w:tc>
          <w:tcPr>
            <w:tcW w:w="169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251" w:type="dxa"/>
            <w:vAlign w:val="center"/>
          </w:tcPr>
          <w:p w:rsidR="00CA09B2" w:rsidRDefault="00CA09B2">
            <w:pPr>
              <w:pStyle w:val="T2"/>
              <w:spacing w:after="0"/>
              <w:ind w:left="0" w:right="0"/>
              <w:rPr>
                <w:b w:val="0"/>
                <w:sz w:val="20"/>
              </w:rPr>
            </w:pPr>
          </w:p>
        </w:tc>
        <w:tc>
          <w:tcPr>
            <w:tcW w:w="2111" w:type="dxa"/>
            <w:vAlign w:val="center"/>
          </w:tcPr>
          <w:p w:rsidR="00CA09B2" w:rsidRDefault="00CA09B2">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E7744">
                            <w:pPr>
                              <w:jc w:val="both"/>
                            </w:pPr>
                            <w:r>
                              <w:t>This document proposes text that establishes normative behaviour for DMG STAs necessary to enable their coexistence with non-IEEE-802.11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E7744">
                      <w:pPr>
                        <w:jc w:val="both"/>
                      </w:pPr>
                      <w:r>
                        <w:t xml:space="preserve">This document proposes text that establishes normative behaviour for </w:t>
                      </w:r>
                      <w:bookmarkStart w:id="1" w:name="_GoBack"/>
                      <w:bookmarkEnd w:id="1"/>
                      <w:r>
                        <w:t>DMG STAs necessary to enable their coexistence with non-IEEE-802.11 systems.</w:t>
                      </w:r>
                    </w:p>
                  </w:txbxContent>
                </v:textbox>
              </v:shape>
            </w:pict>
          </mc:Fallback>
        </mc:AlternateContent>
      </w:r>
    </w:p>
    <w:p w:rsidR="00E54D91" w:rsidRDefault="00CA09B2" w:rsidP="00E54D91">
      <w:r>
        <w:br w:type="page"/>
      </w:r>
    </w:p>
    <w:p w:rsidR="006718BD" w:rsidRPr="00570DA1" w:rsidRDefault="006718BD" w:rsidP="006718BD">
      <w:pPr>
        <w:rPr>
          <w:i/>
        </w:rPr>
      </w:pPr>
      <w:r>
        <w:rPr>
          <w:i/>
        </w:rPr>
        <w:lastRenderedPageBreak/>
        <w:t>Modify</w:t>
      </w:r>
      <w:r w:rsidRPr="00570DA1">
        <w:rPr>
          <w:i/>
        </w:rPr>
        <w:t xml:space="preserve"> </w:t>
      </w:r>
      <w:proofErr w:type="spellStart"/>
      <w:r w:rsidRPr="00570DA1">
        <w:rPr>
          <w:i/>
        </w:rPr>
        <w:t>subclause</w:t>
      </w:r>
      <w:proofErr w:type="spellEnd"/>
      <w:r>
        <w:rPr>
          <w:i/>
        </w:rPr>
        <w:t xml:space="preserve"> 11.35 </w:t>
      </w:r>
      <w:r w:rsidR="00C7676D">
        <w:rPr>
          <w:i/>
        </w:rPr>
        <w:t xml:space="preserve">of 802.11-2016 </w:t>
      </w:r>
      <w:r>
        <w:rPr>
          <w:i/>
        </w:rPr>
        <w:t>as follows</w:t>
      </w:r>
    </w:p>
    <w:p w:rsidR="00E679C6" w:rsidRPr="002E73FA" w:rsidRDefault="00E679C6">
      <w:pPr>
        <w:rPr>
          <w:szCs w:val="22"/>
        </w:rPr>
      </w:pPr>
    </w:p>
    <w:p w:rsidR="002E73FA" w:rsidRDefault="002E73FA">
      <w:pPr>
        <w:rPr>
          <w:b/>
          <w:bCs/>
          <w:color w:val="000000"/>
          <w:szCs w:val="22"/>
        </w:rPr>
      </w:pPr>
      <w:r w:rsidRPr="002E73FA">
        <w:rPr>
          <w:b/>
          <w:bCs/>
          <w:color w:val="000000"/>
          <w:szCs w:val="22"/>
        </w:rPr>
        <w:t>11.35 DMG coexistence with non-IEEE-802.11 systems</w:t>
      </w:r>
    </w:p>
    <w:p w:rsidR="002E73FA" w:rsidRPr="00EB53B0" w:rsidRDefault="002E73FA">
      <w:pPr>
        <w:rPr>
          <w:bCs/>
          <w:color w:val="000000"/>
          <w:szCs w:val="22"/>
        </w:rPr>
      </w:pPr>
    </w:p>
    <w:p w:rsidR="002E73FA" w:rsidRDefault="002E73FA">
      <w:pPr>
        <w:rPr>
          <w:color w:val="000000"/>
          <w:szCs w:val="22"/>
        </w:rPr>
      </w:pPr>
      <w:r w:rsidRPr="002E73FA">
        <w:rPr>
          <w:color w:val="000000"/>
          <w:szCs w:val="22"/>
        </w:rPr>
        <w:t xml:space="preserve">This </w:t>
      </w:r>
      <w:proofErr w:type="spellStart"/>
      <w:r w:rsidRPr="002E73FA">
        <w:rPr>
          <w:color w:val="000000"/>
          <w:szCs w:val="22"/>
        </w:rPr>
        <w:t>subclause</w:t>
      </w:r>
      <w:proofErr w:type="spellEnd"/>
      <w:r w:rsidRPr="002E73FA">
        <w:rPr>
          <w:color w:val="000000"/>
          <w:szCs w:val="22"/>
        </w:rPr>
        <w:t xml:space="preserve"> describes the features available in this standard to improve coexistence</w:t>
      </w:r>
      <w:r w:rsidR="00C9333A">
        <w:rPr>
          <w:color w:val="000000"/>
          <w:szCs w:val="22"/>
        </w:rPr>
        <w:t xml:space="preserve"> </w:t>
      </w:r>
      <w:r w:rsidR="00C9333A">
        <w:rPr>
          <w:color w:val="000000"/>
          <w:szCs w:val="22"/>
          <w:u w:val="single"/>
        </w:rPr>
        <w:t>of DMG systems</w:t>
      </w:r>
      <w:r w:rsidRPr="002E73FA">
        <w:rPr>
          <w:color w:val="000000"/>
          <w:szCs w:val="22"/>
        </w:rPr>
        <w:t xml:space="preserve"> with </w:t>
      </w:r>
      <w:r w:rsidRPr="00C9333A">
        <w:rPr>
          <w:strike/>
          <w:color w:val="000000"/>
          <w:szCs w:val="22"/>
        </w:rPr>
        <w:t>other DMG systems</w:t>
      </w:r>
      <w:r w:rsidR="00C9333A">
        <w:rPr>
          <w:color w:val="000000"/>
          <w:szCs w:val="22"/>
        </w:rPr>
        <w:t xml:space="preserve"> </w:t>
      </w:r>
      <w:r w:rsidR="00C9333A">
        <w:rPr>
          <w:color w:val="000000"/>
          <w:szCs w:val="22"/>
          <w:u w:val="single"/>
        </w:rPr>
        <w:t xml:space="preserve">others </w:t>
      </w:r>
      <w:r w:rsidR="00C9333A" w:rsidRPr="006718BD">
        <w:rPr>
          <w:u w:val="single"/>
        </w:rPr>
        <w:t xml:space="preserve">that </w:t>
      </w:r>
      <w:r w:rsidR="00C9333A" w:rsidRPr="00410DD4">
        <w:rPr>
          <w:u w:val="single"/>
        </w:rPr>
        <w:t xml:space="preserve">operate in </w:t>
      </w:r>
      <w:r w:rsidR="00C240C5">
        <w:rPr>
          <w:u w:val="single"/>
        </w:rPr>
        <w:t>the 60 GHz band</w:t>
      </w:r>
      <w:r w:rsidRPr="002E73FA">
        <w:rPr>
          <w:color w:val="000000"/>
          <w:szCs w:val="22"/>
        </w:rPr>
        <w:t xml:space="preserve">, including IEEE </w:t>
      </w:r>
      <w:proofErr w:type="spellStart"/>
      <w:r w:rsidRPr="002E73FA">
        <w:rPr>
          <w:color w:val="000000"/>
          <w:szCs w:val="22"/>
        </w:rPr>
        <w:t>Std</w:t>
      </w:r>
      <w:proofErr w:type="spellEnd"/>
      <w:r w:rsidRPr="002E73FA">
        <w:rPr>
          <w:color w:val="000000"/>
          <w:szCs w:val="22"/>
        </w:rPr>
        <w:t xml:space="preserve"> 802.15</w:t>
      </w:r>
      <w:r w:rsidRPr="00C9333A">
        <w:rPr>
          <w:strike/>
          <w:color w:val="000000"/>
          <w:szCs w:val="22"/>
        </w:rPr>
        <w:t>.3c™</w:t>
      </w:r>
      <w:r w:rsidR="00C9333A">
        <w:rPr>
          <w:color w:val="000000"/>
          <w:szCs w:val="22"/>
        </w:rPr>
        <w:t xml:space="preserve"> </w:t>
      </w:r>
      <w:r w:rsidR="00C9333A">
        <w:rPr>
          <w:color w:val="000000"/>
          <w:szCs w:val="22"/>
          <w:u w:val="single"/>
        </w:rPr>
        <w:t>systems</w:t>
      </w:r>
      <w:r w:rsidRPr="002E73FA">
        <w:rPr>
          <w:color w:val="000000"/>
          <w:szCs w:val="22"/>
        </w:rPr>
        <w:t>.</w:t>
      </w:r>
    </w:p>
    <w:p w:rsidR="002E73FA" w:rsidRDefault="002E73FA">
      <w:pPr>
        <w:rPr>
          <w:color w:val="000000"/>
          <w:szCs w:val="22"/>
        </w:rPr>
      </w:pPr>
    </w:p>
    <w:p w:rsidR="00CA2701" w:rsidRDefault="00C752BA" w:rsidP="00CA2701">
      <w:pPr>
        <w:rPr>
          <w:color w:val="000000"/>
          <w:szCs w:val="22"/>
        </w:rPr>
      </w:pPr>
      <w:r>
        <w:t xml:space="preserve">The same common channelization that is defined in other </w:t>
      </w:r>
      <w:r w:rsidRPr="00C752BA">
        <w:rPr>
          <w:strike/>
        </w:rPr>
        <w:t>DMG standards and</w:t>
      </w:r>
      <w:r>
        <w:t xml:space="preserve"> specifications </w:t>
      </w:r>
      <w:r w:rsidRPr="00BF1231">
        <w:rPr>
          <w:u w:val="single"/>
        </w:rPr>
        <w:t>for s</w:t>
      </w:r>
      <w:r w:rsidRPr="006718BD">
        <w:rPr>
          <w:u w:val="single"/>
        </w:rPr>
        <w:t xml:space="preserve">ystems that </w:t>
      </w:r>
      <w:r w:rsidRPr="00410DD4">
        <w:rPr>
          <w:u w:val="single"/>
        </w:rPr>
        <w:t xml:space="preserve">operate in </w:t>
      </w:r>
      <w:r w:rsidR="00DA2913">
        <w:rPr>
          <w:u w:val="single"/>
        </w:rPr>
        <w:t>the 60 GHz band</w:t>
      </w:r>
      <w:r>
        <w:rPr>
          <w:u w:val="single"/>
        </w:rPr>
        <w:t xml:space="preserve"> </w:t>
      </w:r>
      <w:r>
        <w:t xml:space="preserve">is adopted </w:t>
      </w:r>
      <w:r w:rsidRPr="00F44505">
        <w:rPr>
          <w:u w:val="single"/>
        </w:rPr>
        <w:t>by</w:t>
      </w:r>
      <w:r w:rsidRPr="00F44505">
        <w:rPr>
          <w:noProof/>
          <w:u w:val="single"/>
          <w:lang w:val="en-US"/>
        </w:rPr>
        <w:t xml:space="preserve"> the DMG PHY specification</w:t>
      </w:r>
      <w:r>
        <w:t xml:space="preserve"> (20.3.1 </w:t>
      </w:r>
      <w:r>
        <w:rPr>
          <w:u w:val="single"/>
        </w:rPr>
        <w:t>and 30.3.4</w:t>
      </w:r>
      <w:r>
        <w:t xml:space="preserve">) </w:t>
      </w:r>
      <w:r w:rsidRPr="000154D7">
        <w:rPr>
          <w:noProof/>
          <w:u w:val="single"/>
          <w:lang w:val="en-US"/>
        </w:rPr>
        <w:t>for 2.16 GHz channels</w:t>
      </w:r>
      <w:r>
        <w:t xml:space="preserve">. </w:t>
      </w:r>
      <w:r w:rsidR="00CA2701" w:rsidRPr="00C961F7">
        <w:rPr>
          <w:color w:val="000000"/>
          <w:szCs w:val="22"/>
        </w:rPr>
        <w:t>In regulatory domains where 2 or more channels are defined, a DMG STA should support at least 2 channels.</w:t>
      </w:r>
    </w:p>
    <w:p w:rsidR="00C752BA" w:rsidRDefault="00C752BA" w:rsidP="00C752BA"/>
    <w:p w:rsidR="002E73FA" w:rsidRPr="00C961F7" w:rsidRDefault="002E73FA">
      <w:pPr>
        <w:rPr>
          <w:szCs w:val="22"/>
        </w:rPr>
      </w:pPr>
      <w:r w:rsidRPr="00C961F7">
        <w:rPr>
          <w:color w:val="000000"/>
          <w:szCs w:val="22"/>
        </w:rPr>
        <w:t xml:space="preserve">An AP should not start an infrastructure BSS on a channel where the signal level is at or above </w:t>
      </w:r>
      <w:proofErr w:type="spellStart"/>
      <w:r w:rsidRPr="00C961F7">
        <w:rPr>
          <w:color w:val="000000"/>
          <w:szCs w:val="22"/>
        </w:rPr>
        <w:t>aDMGDetectionThres</w:t>
      </w:r>
      <w:proofErr w:type="spellEnd"/>
      <w:r w:rsidRPr="00C961F7">
        <w:rPr>
          <w:color w:val="000000"/>
          <w:szCs w:val="22"/>
        </w:rPr>
        <w:t xml:space="preserve"> or upon detecting a valid IEEE 802.15.3c™ CMS preamble at a receive level greater than or equal to –60 </w:t>
      </w:r>
      <w:proofErr w:type="spellStart"/>
      <w:r w:rsidRPr="00C961F7">
        <w:rPr>
          <w:color w:val="000000"/>
          <w:szCs w:val="22"/>
        </w:rPr>
        <w:t>dBm</w:t>
      </w:r>
      <w:proofErr w:type="spellEnd"/>
      <w:r w:rsidRPr="00C961F7">
        <w:rPr>
          <w:color w:val="000000"/>
          <w:szCs w:val="22"/>
        </w:rPr>
        <w:t>.</w:t>
      </w:r>
    </w:p>
    <w:p w:rsidR="002E73FA" w:rsidRPr="00C961F7" w:rsidRDefault="002E73FA">
      <w:pPr>
        <w:rPr>
          <w:szCs w:val="22"/>
        </w:rPr>
      </w:pPr>
    </w:p>
    <w:p w:rsidR="00C961F7" w:rsidRPr="00C961F7" w:rsidRDefault="00C961F7">
      <w:pPr>
        <w:rPr>
          <w:color w:val="000000"/>
          <w:szCs w:val="22"/>
        </w:rPr>
      </w:pPr>
      <w:r w:rsidRPr="00C961F7">
        <w:rPr>
          <w:color w:val="000000"/>
          <w:szCs w:val="22"/>
        </w:rPr>
        <w:t>If a DMG STA is capable of performing directional channel measurements (11.32) to detect non-IEEE-Std-802.11 transmissions on a channel, it can report the results of the measurements to the STA’s AP or PCP.</w:t>
      </w:r>
    </w:p>
    <w:p w:rsidR="00C961F7" w:rsidRDefault="00C961F7">
      <w:pPr>
        <w:rPr>
          <w:color w:val="000000"/>
          <w:szCs w:val="22"/>
        </w:rPr>
      </w:pPr>
    </w:p>
    <w:p w:rsidR="00C961F7" w:rsidRDefault="00C961F7">
      <w:pPr>
        <w:rPr>
          <w:color w:val="000000"/>
          <w:szCs w:val="22"/>
        </w:rPr>
      </w:pPr>
      <w:r w:rsidRPr="00C961F7">
        <w:rPr>
          <w:color w:val="000000"/>
          <w:szCs w:val="22"/>
        </w:rPr>
        <w:t>If a DMG STA detects a non-IEEE-802.11 transmission on its channel or if the AP or PCP receives a report</w:t>
      </w:r>
      <w:r>
        <w:rPr>
          <w:color w:val="000000"/>
          <w:szCs w:val="22"/>
        </w:rPr>
        <w:t xml:space="preserve"> </w:t>
      </w:r>
      <w:r w:rsidRPr="00C961F7">
        <w:rPr>
          <w:color w:val="000000"/>
          <w:szCs w:val="22"/>
        </w:rPr>
        <w:t>(11.11) from a DMG STA on a non-IEEE-802.11 transmission, the following mechanisms might be used to</w:t>
      </w:r>
      <w:r>
        <w:rPr>
          <w:color w:val="000000"/>
          <w:szCs w:val="22"/>
        </w:rPr>
        <w:t xml:space="preserve"> </w:t>
      </w:r>
      <w:r w:rsidRPr="00C961F7">
        <w:rPr>
          <w:color w:val="000000"/>
          <w:szCs w:val="22"/>
        </w:rPr>
        <w:t>mitigate interference:</w:t>
      </w:r>
      <w:r>
        <w:rPr>
          <w:color w:val="000000"/>
          <w:szCs w:val="22"/>
        </w:rPr>
        <w:t xml:space="preserve"> </w:t>
      </w:r>
    </w:p>
    <w:p w:rsidR="00C961F7" w:rsidRPr="00C961F7" w:rsidRDefault="00C961F7" w:rsidP="00C961F7">
      <w:pPr>
        <w:pStyle w:val="ListParagraph"/>
        <w:numPr>
          <w:ilvl w:val="0"/>
          <w:numId w:val="2"/>
        </w:numPr>
        <w:rPr>
          <w:color w:val="000000"/>
          <w:szCs w:val="22"/>
        </w:rPr>
      </w:pPr>
      <w:r w:rsidRPr="00C961F7">
        <w:rPr>
          <w:color w:val="000000"/>
          <w:szCs w:val="22"/>
        </w:rPr>
        <w:t>Change operating channel (11.9)</w:t>
      </w:r>
    </w:p>
    <w:p w:rsidR="00C961F7" w:rsidRPr="00C961F7" w:rsidRDefault="00C961F7" w:rsidP="00C961F7">
      <w:pPr>
        <w:pStyle w:val="ListParagraph"/>
        <w:numPr>
          <w:ilvl w:val="0"/>
          <w:numId w:val="2"/>
        </w:numPr>
        <w:rPr>
          <w:color w:val="000000"/>
          <w:szCs w:val="22"/>
        </w:rPr>
      </w:pPr>
      <w:r w:rsidRPr="00C961F7">
        <w:rPr>
          <w:color w:val="000000"/>
          <w:szCs w:val="22"/>
        </w:rPr>
        <w:t>Beamforming (10.38)</w:t>
      </w:r>
    </w:p>
    <w:p w:rsidR="00C961F7" w:rsidRPr="00C961F7" w:rsidRDefault="00C961F7" w:rsidP="00C961F7">
      <w:pPr>
        <w:pStyle w:val="ListParagraph"/>
        <w:numPr>
          <w:ilvl w:val="0"/>
          <w:numId w:val="2"/>
        </w:numPr>
        <w:rPr>
          <w:color w:val="000000"/>
          <w:szCs w:val="22"/>
        </w:rPr>
      </w:pPr>
      <w:r w:rsidRPr="00C961F7">
        <w:rPr>
          <w:color w:val="000000"/>
          <w:szCs w:val="22"/>
        </w:rPr>
        <w:t>Reduce transmit power (11.8)</w:t>
      </w:r>
    </w:p>
    <w:p w:rsidR="00C961F7" w:rsidRPr="00C961F7" w:rsidRDefault="00C961F7" w:rsidP="00C961F7">
      <w:pPr>
        <w:pStyle w:val="ListParagraph"/>
        <w:numPr>
          <w:ilvl w:val="0"/>
          <w:numId w:val="2"/>
        </w:numPr>
        <w:rPr>
          <w:color w:val="000000"/>
          <w:szCs w:val="22"/>
        </w:rPr>
      </w:pPr>
      <w:r w:rsidRPr="00C961F7">
        <w:rPr>
          <w:color w:val="000000"/>
          <w:szCs w:val="22"/>
        </w:rPr>
        <w:t>Perform FST (11.33)</w:t>
      </w:r>
    </w:p>
    <w:p w:rsidR="00C961F7" w:rsidRPr="00C961F7" w:rsidRDefault="00C961F7" w:rsidP="00C961F7">
      <w:pPr>
        <w:pStyle w:val="ListParagraph"/>
        <w:numPr>
          <w:ilvl w:val="0"/>
          <w:numId w:val="2"/>
        </w:numPr>
        <w:rPr>
          <w:color w:val="000000"/>
          <w:szCs w:val="22"/>
        </w:rPr>
      </w:pPr>
      <w:r w:rsidRPr="00C961F7">
        <w:rPr>
          <w:color w:val="000000"/>
          <w:szCs w:val="22"/>
        </w:rPr>
        <w:t>Move the TBTT (11.31.2), and thus the beacon interval, in the case of an AP or PCP</w:t>
      </w:r>
    </w:p>
    <w:p w:rsidR="00C961F7" w:rsidRPr="00C961F7" w:rsidRDefault="00C961F7" w:rsidP="00C961F7">
      <w:pPr>
        <w:pStyle w:val="ListParagraph"/>
        <w:numPr>
          <w:ilvl w:val="0"/>
          <w:numId w:val="2"/>
        </w:numPr>
        <w:rPr>
          <w:color w:val="000000"/>
          <w:szCs w:val="22"/>
        </w:rPr>
      </w:pPr>
      <w:r w:rsidRPr="00C961F7">
        <w:rPr>
          <w:color w:val="000000"/>
          <w:szCs w:val="22"/>
        </w:rPr>
        <w:t>Change the schedule of SPs and CBAPs in the beacon interval (9.4.2.132) in the case of an AP or PCP</w:t>
      </w:r>
    </w:p>
    <w:p w:rsidR="00C961F7" w:rsidRPr="00C961F7" w:rsidRDefault="00C961F7" w:rsidP="00C961F7">
      <w:pPr>
        <w:pStyle w:val="ListParagraph"/>
        <w:numPr>
          <w:ilvl w:val="0"/>
          <w:numId w:val="2"/>
        </w:numPr>
        <w:rPr>
          <w:color w:val="000000"/>
          <w:szCs w:val="22"/>
        </w:rPr>
      </w:pPr>
      <w:r w:rsidRPr="00C961F7">
        <w:rPr>
          <w:color w:val="000000"/>
          <w:szCs w:val="22"/>
        </w:rPr>
        <w:t>Defer transmission for a later time</w:t>
      </w:r>
    </w:p>
    <w:p w:rsidR="00C961F7" w:rsidRPr="000A7166" w:rsidRDefault="00C961F7" w:rsidP="00C961F7">
      <w:pPr>
        <w:pStyle w:val="ListParagraph"/>
        <w:numPr>
          <w:ilvl w:val="0"/>
          <w:numId w:val="2"/>
        </w:numPr>
        <w:rPr>
          <w:szCs w:val="22"/>
        </w:rPr>
      </w:pPr>
      <w:r w:rsidRPr="00C961F7">
        <w:rPr>
          <w:color w:val="000000"/>
          <w:szCs w:val="22"/>
        </w:rPr>
        <w:t>For periods of time in the beacon interval where the STA experiences poor channel quality, the STA can use the Traffic Scheduling Constraint Set field within the DMG TSPEC element (9.4.2.134) to request its AP or PCP to avoid scheduling an SP for that DMG STA during those periods of time in the beacon interval.</w:t>
      </w:r>
    </w:p>
    <w:p w:rsidR="00FE62B9" w:rsidRPr="00FE62B9" w:rsidRDefault="000A7166" w:rsidP="00FE62B9">
      <w:pPr>
        <w:pStyle w:val="ListParagraph"/>
        <w:numPr>
          <w:ilvl w:val="0"/>
          <w:numId w:val="2"/>
        </w:numPr>
        <w:rPr>
          <w:szCs w:val="22"/>
          <w:u w:val="single"/>
        </w:rPr>
      </w:pPr>
      <w:r w:rsidRPr="00FE62B9">
        <w:rPr>
          <w:color w:val="000000"/>
          <w:szCs w:val="22"/>
          <w:u w:val="single"/>
        </w:rPr>
        <w:t>In an EDMG BSS</w:t>
      </w:r>
      <w:r w:rsidR="00FE62B9" w:rsidRPr="00FE62B9">
        <w:rPr>
          <w:color w:val="000000"/>
          <w:szCs w:val="22"/>
          <w:u w:val="single"/>
        </w:rPr>
        <w:t xml:space="preserve">, </w:t>
      </w:r>
      <w:r w:rsidR="00FE62B9">
        <w:rPr>
          <w:color w:val="000000"/>
          <w:szCs w:val="22"/>
          <w:u w:val="single"/>
        </w:rPr>
        <w:t>when operating over multiple channels</w:t>
      </w:r>
      <w:r w:rsidR="00FE62B9" w:rsidRPr="00FE62B9">
        <w:rPr>
          <w:color w:val="000000"/>
          <w:szCs w:val="22"/>
          <w:u w:val="single"/>
        </w:rPr>
        <w:t xml:space="preserve">, the occupied bandwidth </w:t>
      </w:r>
      <w:r w:rsidR="00FE62B9" w:rsidRPr="00FE62B9">
        <w:rPr>
          <w:szCs w:val="22"/>
          <w:u w:val="single"/>
        </w:rPr>
        <w:t>of a PPDU transmitted by a TXOP holder may be smaller than the occupied bandwidth of the last PPDU</w:t>
      </w:r>
      <w:r w:rsidR="00FE62B9">
        <w:rPr>
          <w:szCs w:val="22"/>
          <w:u w:val="single"/>
        </w:rPr>
        <w:t xml:space="preserve"> (</w:t>
      </w:r>
      <w:r w:rsidR="00FE62B9" w:rsidRPr="00FE62B9">
        <w:rPr>
          <w:szCs w:val="22"/>
          <w:u w:val="single"/>
        </w:rPr>
        <w:t>10.36.11.2</w:t>
      </w:r>
      <w:r w:rsidR="00FE62B9">
        <w:rPr>
          <w:szCs w:val="22"/>
          <w:u w:val="single"/>
        </w:rPr>
        <w:t>).</w:t>
      </w:r>
    </w:p>
    <w:p w:rsidR="00C961F7" w:rsidRDefault="00C961F7">
      <w:pPr>
        <w:rPr>
          <w:szCs w:val="22"/>
        </w:rPr>
      </w:pPr>
    </w:p>
    <w:p w:rsidR="00643437" w:rsidRDefault="00643437">
      <w:pPr>
        <w:rPr>
          <w:szCs w:val="22"/>
        </w:rPr>
      </w:pPr>
    </w:p>
    <w:p w:rsidR="00AB5635" w:rsidRPr="00AB5635" w:rsidRDefault="00AB5635">
      <w:pPr>
        <w:rPr>
          <w:b/>
          <w:szCs w:val="22"/>
        </w:rPr>
      </w:pPr>
      <w:r w:rsidRPr="00AB5635">
        <w:rPr>
          <w:b/>
          <w:szCs w:val="22"/>
        </w:rPr>
        <w:t xml:space="preserve">SP/M: </w:t>
      </w:r>
      <w:bookmarkStart w:id="0" w:name="_GoBack"/>
      <w:r w:rsidRPr="00AB5635">
        <w:rPr>
          <w:b/>
          <w:szCs w:val="22"/>
        </w:rPr>
        <w:t>Do you agree to include the text proposed in 17/1289r0 (</w:t>
      </w:r>
      <w:r w:rsidR="00643437" w:rsidRPr="00643437">
        <w:rPr>
          <w:b/>
          <w:szCs w:val="22"/>
        </w:rPr>
        <w:t>DMG coexistence with non-IEEE-802.11 systems</w:t>
      </w:r>
      <w:r w:rsidRPr="00AB5635">
        <w:rPr>
          <w:b/>
          <w:szCs w:val="22"/>
        </w:rPr>
        <w:t>) into the 802.11ay draft spec?</w:t>
      </w:r>
      <w:bookmarkEnd w:id="0"/>
    </w:p>
    <w:p w:rsidR="002E73FA" w:rsidRDefault="002E73FA">
      <w:r>
        <w:br w:type="page"/>
      </w:r>
    </w:p>
    <w:p w:rsidR="00CA09B2" w:rsidRDefault="00CA09B2">
      <w:pPr>
        <w:rPr>
          <w:b/>
          <w:sz w:val="24"/>
        </w:rPr>
      </w:pP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D81" w:rsidRDefault="00EE5D81">
      <w:r>
        <w:separator/>
      </w:r>
    </w:p>
  </w:endnote>
  <w:endnote w:type="continuationSeparator" w:id="0">
    <w:p w:rsidR="00EE5D81" w:rsidRDefault="00EE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02EF4">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643437">
      <w:rPr>
        <w:noProof/>
      </w:rPr>
      <w:t>3</w:t>
    </w:r>
    <w:r w:rsidR="0029020B">
      <w:fldChar w:fldCharType="end"/>
    </w:r>
    <w:r w:rsidR="0029020B">
      <w:tab/>
    </w:r>
    <w:fldSimple w:instr=" COMMENTS  \* MERGEFORMAT ">
      <w:r w:rsidR="003E28D3">
        <w:t>Claudio da Silva,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D81" w:rsidRDefault="00EE5D81">
      <w:r>
        <w:separator/>
      </w:r>
    </w:p>
  </w:footnote>
  <w:footnote w:type="continuationSeparator" w:id="0">
    <w:p w:rsidR="00EE5D81" w:rsidRDefault="00EE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02EF4">
    <w:pPr>
      <w:pStyle w:val="Header"/>
      <w:tabs>
        <w:tab w:val="clear" w:pos="6480"/>
        <w:tab w:val="center" w:pos="4680"/>
        <w:tab w:val="right" w:pos="9360"/>
      </w:tabs>
    </w:pPr>
    <w:fldSimple w:instr=" KEYWORDS  \* MERGEFORMAT ">
      <w:r w:rsidR="006A6394">
        <w:t>September 2017</w:t>
      </w:r>
    </w:fldSimple>
    <w:r w:rsidR="0029020B">
      <w:tab/>
    </w:r>
    <w:r w:rsidR="0029020B">
      <w:tab/>
    </w:r>
    <w:fldSimple w:instr=" TITLE  \* MERGEFORMAT ">
      <w:r w:rsidR="006A5A9A">
        <w:t>doc.: IEEE 802.11-</w:t>
      </w:r>
      <w:r w:rsidR="00C6451E">
        <w:t>17</w:t>
      </w:r>
      <w:r w:rsidR="006A5A9A">
        <w:t>/</w:t>
      </w:r>
      <w:r w:rsidR="00C6451E">
        <w:t>1289</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60959"/>
    <w:multiLevelType w:val="hybridMultilevel"/>
    <w:tmpl w:val="BEC8A96A"/>
    <w:lvl w:ilvl="0" w:tplc="CAFE1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53491"/>
    <w:multiLevelType w:val="hybridMultilevel"/>
    <w:tmpl w:val="07908B06"/>
    <w:lvl w:ilvl="0" w:tplc="801C5366">
      <w:start w:val="30"/>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B08"/>
    <w:rsid w:val="000154D7"/>
    <w:rsid w:val="000567BA"/>
    <w:rsid w:val="000A7166"/>
    <w:rsid w:val="000C3257"/>
    <w:rsid w:val="000C702B"/>
    <w:rsid w:val="000E7EE5"/>
    <w:rsid w:val="000F4BB0"/>
    <w:rsid w:val="00117544"/>
    <w:rsid w:val="001278AA"/>
    <w:rsid w:val="00150EFD"/>
    <w:rsid w:val="001A56CB"/>
    <w:rsid w:val="001D723B"/>
    <w:rsid w:val="002213A0"/>
    <w:rsid w:val="00243D55"/>
    <w:rsid w:val="0029020B"/>
    <w:rsid w:val="002C11C0"/>
    <w:rsid w:val="002D44BE"/>
    <w:rsid w:val="002E73FA"/>
    <w:rsid w:val="00342192"/>
    <w:rsid w:val="003E1F36"/>
    <w:rsid w:val="003E28D3"/>
    <w:rsid w:val="00410DD4"/>
    <w:rsid w:val="00442037"/>
    <w:rsid w:val="00477855"/>
    <w:rsid w:val="004A2665"/>
    <w:rsid w:val="004B064B"/>
    <w:rsid w:val="004C0007"/>
    <w:rsid w:val="004D3FD7"/>
    <w:rsid w:val="0050219E"/>
    <w:rsid w:val="005A64A2"/>
    <w:rsid w:val="005C1E19"/>
    <w:rsid w:val="005E36E0"/>
    <w:rsid w:val="00604358"/>
    <w:rsid w:val="0062440B"/>
    <w:rsid w:val="00643437"/>
    <w:rsid w:val="0065638F"/>
    <w:rsid w:val="006718BD"/>
    <w:rsid w:val="00686E93"/>
    <w:rsid w:val="006A5A9A"/>
    <w:rsid w:val="006A6394"/>
    <w:rsid w:val="006A701F"/>
    <w:rsid w:val="006C0727"/>
    <w:rsid w:val="006E145F"/>
    <w:rsid w:val="006E5A26"/>
    <w:rsid w:val="00770572"/>
    <w:rsid w:val="007D1039"/>
    <w:rsid w:val="00856356"/>
    <w:rsid w:val="0087645D"/>
    <w:rsid w:val="00880ED4"/>
    <w:rsid w:val="008A73F0"/>
    <w:rsid w:val="008C6EC5"/>
    <w:rsid w:val="00902EF4"/>
    <w:rsid w:val="00926C8D"/>
    <w:rsid w:val="00974704"/>
    <w:rsid w:val="009F2FBC"/>
    <w:rsid w:val="00A87E90"/>
    <w:rsid w:val="00AA427C"/>
    <w:rsid w:val="00AB5635"/>
    <w:rsid w:val="00AF7AF0"/>
    <w:rsid w:val="00B130B5"/>
    <w:rsid w:val="00BA11C8"/>
    <w:rsid w:val="00BE68C2"/>
    <w:rsid w:val="00BF1231"/>
    <w:rsid w:val="00C070F5"/>
    <w:rsid w:val="00C240C5"/>
    <w:rsid w:val="00C6451E"/>
    <w:rsid w:val="00C752BA"/>
    <w:rsid w:val="00C7676D"/>
    <w:rsid w:val="00C77A73"/>
    <w:rsid w:val="00C9333A"/>
    <w:rsid w:val="00C961F7"/>
    <w:rsid w:val="00CA09B2"/>
    <w:rsid w:val="00CA2701"/>
    <w:rsid w:val="00CE7744"/>
    <w:rsid w:val="00D76DA4"/>
    <w:rsid w:val="00DA2913"/>
    <w:rsid w:val="00DC5A7B"/>
    <w:rsid w:val="00E54D91"/>
    <w:rsid w:val="00E679C6"/>
    <w:rsid w:val="00EA3CAC"/>
    <w:rsid w:val="00EB53B0"/>
    <w:rsid w:val="00EE5D81"/>
    <w:rsid w:val="00EF32A6"/>
    <w:rsid w:val="00F35945"/>
    <w:rsid w:val="00F44505"/>
    <w:rsid w:val="00FE2AF5"/>
    <w:rsid w:val="00FE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E679C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477855"/>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0C3257"/>
    <w:pPr>
      <w:ind w:left="720"/>
      <w:contextualSpacing/>
    </w:pPr>
  </w:style>
  <w:style w:type="character" w:styleId="CommentReference">
    <w:name w:val="annotation reference"/>
    <w:basedOn w:val="DefaultParagraphFont"/>
    <w:rsid w:val="00604358"/>
    <w:rPr>
      <w:sz w:val="16"/>
      <w:szCs w:val="16"/>
    </w:rPr>
  </w:style>
  <w:style w:type="paragraph" w:styleId="CommentText">
    <w:name w:val="annotation text"/>
    <w:basedOn w:val="Normal"/>
    <w:link w:val="CommentTextChar"/>
    <w:rsid w:val="00604358"/>
    <w:rPr>
      <w:sz w:val="20"/>
    </w:rPr>
  </w:style>
  <w:style w:type="character" w:customStyle="1" w:styleId="CommentTextChar">
    <w:name w:val="Comment Text Char"/>
    <w:basedOn w:val="DefaultParagraphFont"/>
    <w:link w:val="CommentText"/>
    <w:rsid w:val="00604358"/>
    <w:rPr>
      <w:lang w:val="en-GB"/>
    </w:rPr>
  </w:style>
  <w:style w:type="paragraph" w:styleId="CommentSubject">
    <w:name w:val="annotation subject"/>
    <w:basedOn w:val="CommentText"/>
    <w:next w:val="CommentText"/>
    <w:link w:val="CommentSubjectChar"/>
    <w:rsid w:val="00604358"/>
    <w:rPr>
      <w:b/>
      <w:bCs/>
    </w:rPr>
  </w:style>
  <w:style w:type="character" w:customStyle="1" w:styleId="CommentSubjectChar">
    <w:name w:val="Comment Subject Char"/>
    <w:basedOn w:val="CommentTextChar"/>
    <w:link w:val="CommentSubject"/>
    <w:rsid w:val="00604358"/>
    <w:rPr>
      <w:b/>
      <w:bCs/>
      <w:lang w:val="en-GB"/>
    </w:rPr>
  </w:style>
  <w:style w:type="paragraph" w:styleId="BalloonText">
    <w:name w:val="Balloon Text"/>
    <w:basedOn w:val="Normal"/>
    <w:link w:val="BalloonTextChar"/>
    <w:rsid w:val="00604358"/>
    <w:rPr>
      <w:rFonts w:ascii="Segoe UI" w:hAnsi="Segoe UI" w:cs="Segoe UI"/>
      <w:sz w:val="18"/>
      <w:szCs w:val="18"/>
    </w:rPr>
  </w:style>
  <w:style w:type="character" w:customStyle="1" w:styleId="BalloonTextChar">
    <w:name w:val="Balloon Text Char"/>
    <w:basedOn w:val="DefaultParagraphFont"/>
    <w:link w:val="BalloonText"/>
    <w:rsid w:val="0060435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4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166</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802.11-17/1289r0</dc:title>
  <dc:subject>Submission</dc:subject>
  <dc:creator>Da Silva, Claudio</dc:creator>
  <cp:keywords>September 2017</cp:keywords>
  <dc:description>Claudio da Silva, Intel</dc:description>
  <cp:lastModifiedBy>Da Silva, Claudio</cp:lastModifiedBy>
  <cp:revision>61</cp:revision>
  <cp:lastPrinted>2017-02-23T01:37:00Z</cp:lastPrinted>
  <dcterms:created xsi:type="dcterms:W3CDTF">2017-02-23T01:37:00Z</dcterms:created>
  <dcterms:modified xsi:type="dcterms:W3CDTF">2017-09-05T21:11:00Z</dcterms:modified>
</cp:coreProperties>
</file>