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F336C3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 w:rsidR="00F336C3">
              <w:rPr>
                <w:lang w:eastAsia="ko-KR"/>
              </w:rPr>
              <w:t xml:space="preserve">9.7.3 </w:t>
            </w:r>
            <w:r w:rsidR="00453193">
              <w:rPr>
                <w:lang w:eastAsia="ko-KR"/>
              </w:rPr>
              <w:t xml:space="preserve">CID </w:t>
            </w:r>
            <w:r w:rsidR="00F336C3">
              <w:rPr>
                <w:lang w:eastAsia="ko-KR"/>
              </w:rPr>
              <w:t>9389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2141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214117">
              <w:rPr>
                <w:b w:val="0"/>
                <w:sz w:val="20"/>
                <w:lang w:eastAsia="ko-KR"/>
              </w:rPr>
              <w:t>9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A7246">
              <w:rPr>
                <w:b w:val="0"/>
                <w:sz w:val="20"/>
                <w:lang w:eastAsia="ko-KR"/>
              </w:rPr>
              <w:t>1</w:t>
            </w:r>
            <w:r w:rsidR="00214117">
              <w:rPr>
                <w:b w:val="0"/>
                <w:sz w:val="20"/>
                <w:lang w:eastAsia="ko-KR"/>
              </w:rPr>
              <w:t>0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28571C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LB225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1.</w:t>
                            </w:r>
                            <w:r w:rsidR="00214117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BA7246" w:rsidRDefault="00BA7246" w:rsidP="00FA69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F336C3">
                              <w:rPr>
                                <w:lang w:eastAsia="ko-KR"/>
                              </w:rPr>
                              <w:t>9389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CID) </w:t>
                            </w:r>
                          </w:p>
                          <w:p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LB225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1.</w:t>
                      </w:r>
                      <w:r w:rsidR="00214117"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BA7246" w:rsidRDefault="00BA7246" w:rsidP="00FA69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F336C3">
                        <w:rPr>
                          <w:lang w:eastAsia="ko-KR"/>
                        </w:rPr>
                        <w:t>9389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CID) </w:t>
                      </w:r>
                    </w:p>
                    <w:p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F336C3" w:rsidRPr="00BB14B1" w:rsidTr="00BA7246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336C3" w:rsidRPr="00BB14B1" w:rsidRDefault="00F336C3" w:rsidP="00F336C3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9389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336C3" w:rsidRDefault="00F336C3" w:rsidP="00F336C3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111.03</w:t>
            </w:r>
          </w:p>
          <w:p w:rsidR="00F336C3" w:rsidRPr="00214117" w:rsidRDefault="00F336C3" w:rsidP="00F336C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336C3" w:rsidRPr="00214117" w:rsidRDefault="00F336C3" w:rsidP="00F336C3">
            <w:pPr>
              <w:rPr>
                <w:rFonts w:ascii="Arial" w:hAnsi="Arial" w:cs="Arial"/>
                <w:sz w:val="20"/>
                <w:lang w:eastAsia="ko-KR"/>
              </w:rPr>
            </w:pPr>
            <w:r w:rsidRPr="00F336C3">
              <w:t>9.7.3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336C3" w:rsidRPr="00214117" w:rsidRDefault="00F336C3" w:rsidP="00F336C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 xml:space="preserve">In data enabled no immediate response context, Data frames without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agreement from multiple different TIDs can be aggregated.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336C3" w:rsidRPr="00214117" w:rsidRDefault="00F336C3" w:rsidP="00F336C3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Change to: </w:t>
            </w:r>
            <w:proofErr w:type="spellStart"/>
            <w:r>
              <w:rPr>
                <w:rFonts w:ascii="Arial" w:hAnsi="Arial" w:cs="Arial"/>
                <w:sz w:val="20"/>
              </w:rPr>
              <w:t>QoS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frames with multiple TIDs that does not correspond to a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agreement.</w:t>
            </w:r>
            <w:r>
              <w:rPr>
                <w:rFonts w:ascii="Arial" w:hAnsi="Arial" w:cs="Arial"/>
                <w:sz w:val="20"/>
              </w:rPr>
              <w:br/>
              <w:t xml:space="preserve">These have the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Policy field equal to No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A-MSDU Present subfield equal to 0.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336C3" w:rsidRDefault="00F336C3" w:rsidP="00F336C3">
            <w:r w:rsidRPr="00214117">
              <w:t>Re</w:t>
            </w:r>
            <w:r>
              <w:t xml:space="preserve">vised- </w:t>
            </w:r>
          </w:p>
          <w:p w:rsidR="00F336C3" w:rsidRDefault="00B12B50" w:rsidP="00F336C3">
            <w:r>
              <w:t>Basically, t</w:t>
            </w:r>
            <w:r w:rsidRPr="00B12B50">
              <w:t>he proposed change is same as the original text.</w:t>
            </w:r>
          </w:p>
          <w:p w:rsidR="00F336C3" w:rsidRDefault="00F336C3" w:rsidP="00F336C3">
            <w:pPr>
              <w:rPr>
                <w:lang w:eastAsia="ko-KR"/>
              </w:rPr>
            </w:pPr>
          </w:p>
          <w:p w:rsidR="008D4617" w:rsidRDefault="00B12B50" w:rsidP="00F336C3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But, </w:t>
            </w:r>
            <w:r w:rsidRPr="00B12B50">
              <w:rPr>
                <w:lang w:eastAsia="ko-KR"/>
              </w:rPr>
              <w:t>in the data enabled immediate response context</w:t>
            </w:r>
            <w:r w:rsidR="004201B4">
              <w:rPr>
                <w:lang w:eastAsia="ko-KR"/>
              </w:rPr>
              <w:t xml:space="preserve"> of current </w:t>
            </w:r>
            <w:proofErr w:type="spellStart"/>
            <w:r w:rsidR="004201B4">
              <w:rPr>
                <w:lang w:eastAsia="ko-KR"/>
              </w:rPr>
              <w:t>TGax</w:t>
            </w:r>
            <w:proofErr w:type="spellEnd"/>
            <w:r w:rsidR="004201B4">
              <w:rPr>
                <w:lang w:eastAsia="ko-KR"/>
              </w:rPr>
              <w:t xml:space="preserve"> Draft 1.4</w:t>
            </w:r>
            <w:r>
              <w:rPr>
                <w:lang w:eastAsia="ko-KR"/>
              </w:rPr>
              <w:t xml:space="preserve">, </w:t>
            </w:r>
            <w:proofErr w:type="spellStart"/>
            <w:r w:rsidRPr="00B12B50">
              <w:rPr>
                <w:lang w:eastAsia="ko-KR"/>
              </w:rPr>
              <w:t>QoS</w:t>
            </w:r>
            <w:proofErr w:type="spellEnd"/>
            <w:r w:rsidRPr="00B12B50">
              <w:rPr>
                <w:lang w:eastAsia="ko-KR"/>
              </w:rPr>
              <w:t xml:space="preserve"> Data frames which have no HT-immediate block </w:t>
            </w:r>
            <w:proofErr w:type="spellStart"/>
            <w:r w:rsidRPr="00B12B50">
              <w:rPr>
                <w:lang w:eastAsia="ko-KR"/>
              </w:rPr>
              <w:t>ack</w:t>
            </w:r>
            <w:proofErr w:type="spellEnd"/>
            <w:r w:rsidRPr="00B12B50">
              <w:rPr>
                <w:lang w:eastAsia="ko-KR"/>
              </w:rPr>
              <w:t xml:space="preserve"> agreement</w:t>
            </w:r>
            <w:r>
              <w:rPr>
                <w:lang w:eastAsia="ko-KR"/>
              </w:rPr>
              <w:t xml:space="preserve"> do not include single TID case. That made to be </w:t>
            </w:r>
            <w:r w:rsidRPr="00B12B50">
              <w:rPr>
                <w:lang w:eastAsia="ko-KR"/>
              </w:rPr>
              <w:t>misunderstood.</w:t>
            </w:r>
          </w:p>
          <w:p w:rsidR="00B12B50" w:rsidRDefault="00B12B50" w:rsidP="00F336C3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So, suggest to change “multiple TIDs” to “one or more TIDs”. </w:t>
            </w:r>
          </w:p>
          <w:p w:rsidR="00B12B50" w:rsidRDefault="00B12B50" w:rsidP="00F336C3">
            <w:pPr>
              <w:rPr>
                <w:lang w:eastAsia="ko-KR"/>
              </w:rPr>
            </w:pPr>
          </w:p>
          <w:p w:rsidR="00B12B50" w:rsidRPr="00B12B50" w:rsidRDefault="00B12B50" w:rsidP="00F336C3">
            <w:pPr>
              <w:rPr>
                <w:szCs w:val="22"/>
              </w:rPr>
            </w:pPr>
            <w:r>
              <w:rPr>
                <w:szCs w:val="22"/>
              </w:rPr>
              <w:t xml:space="preserve">Meanwhile, for A-MSDU support of </w:t>
            </w:r>
            <w:proofErr w:type="spellStart"/>
            <w:r w:rsidR="004201B4">
              <w:rPr>
                <w:szCs w:val="22"/>
              </w:rPr>
              <w:t>QoS</w:t>
            </w:r>
            <w:proofErr w:type="spellEnd"/>
            <w:r w:rsidR="004201B4">
              <w:rPr>
                <w:szCs w:val="22"/>
              </w:rPr>
              <w:t xml:space="preserve"> D</w:t>
            </w:r>
            <w:r w:rsidRPr="00B12B50">
              <w:rPr>
                <w:szCs w:val="22"/>
              </w:rPr>
              <w:t xml:space="preserve">ata </w:t>
            </w:r>
            <w:r>
              <w:rPr>
                <w:szCs w:val="22"/>
              </w:rPr>
              <w:t xml:space="preserve">frames </w:t>
            </w:r>
            <w:r w:rsidRPr="00B12B50">
              <w:rPr>
                <w:szCs w:val="22"/>
              </w:rPr>
              <w:t xml:space="preserve">without a block </w:t>
            </w:r>
            <w:proofErr w:type="spellStart"/>
            <w:r w:rsidRPr="00B12B50">
              <w:rPr>
                <w:szCs w:val="22"/>
              </w:rPr>
              <w:t>ack</w:t>
            </w:r>
            <w:proofErr w:type="spellEnd"/>
            <w:r w:rsidRPr="00B12B50">
              <w:rPr>
                <w:szCs w:val="22"/>
              </w:rPr>
              <w:t xml:space="preserve"> agreement</w:t>
            </w:r>
            <w:r>
              <w:rPr>
                <w:szCs w:val="22"/>
              </w:rPr>
              <w:t>, additional discussion and text change are necessary. Please see the discussion part in 11-17/</w:t>
            </w:r>
            <w:r w:rsidR="00E93A0E">
              <w:rPr>
                <w:szCs w:val="22"/>
              </w:rPr>
              <w:t>1271</w:t>
            </w:r>
            <w:r>
              <w:rPr>
                <w:szCs w:val="22"/>
              </w:rPr>
              <w:t xml:space="preserve">r0. </w:t>
            </w:r>
          </w:p>
          <w:p w:rsidR="00F336C3" w:rsidRPr="00DA1207" w:rsidRDefault="00F336C3" w:rsidP="00F336C3">
            <w:pPr>
              <w:rPr>
                <w:rFonts w:eastAsia="Gulim"/>
                <w:szCs w:val="22"/>
                <w:lang w:eastAsia="ko-KR"/>
              </w:rPr>
            </w:pPr>
          </w:p>
          <w:p w:rsidR="00F336C3" w:rsidRPr="00214117" w:rsidRDefault="00F336C3" w:rsidP="004161C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B02F74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B02F74">
              <w:rPr>
                <w:rFonts w:eastAsia="Gulim"/>
                <w:szCs w:val="22"/>
                <w:lang w:val="en-US" w:eastAsia="ko-KR"/>
              </w:rPr>
              <w:t xml:space="preserve"> editor makes changes as shown in the as specified in 11-17/</w:t>
            </w:r>
            <w:r w:rsidR="00E93A0E">
              <w:rPr>
                <w:rFonts w:eastAsia="Gulim"/>
                <w:szCs w:val="22"/>
                <w:lang w:val="en-US" w:eastAsia="ko-KR"/>
              </w:rPr>
              <w:t>1271</w:t>
            </w:r>
            <w:r w:rsidRPr="00B02F74">
              <w:rPr>
                <w:rFonts w:eastAsia="Gulim"/>
                <w:szCs w:val="22"/>
                <w:lang w:val="en-US" w:eastAsia="ko-KR"/>
              </w:rPr>
              <w:t>r0.</w:t>
            </w:r>
            <w:r w:rsidRPr="00B02F74">
              <w:rPr>
                <w:szCs w:val="22"/>
                <w:lang w:val="en-US"/>
              </w:rPr>
              <w:t xml:space="preserve"> </w:t>
            </w:r>
          </w:p>
        </w:tc>
      </w:tr>
    </w:tbl>
    <w:p w:rsidR="00B02F74" w:rsidRDefault="00B02F74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B02F74" w:rsidRDefault="00B02F74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30609A" w:rsidRPr="0030609A" w:rsidRDefault="0030609A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  <w:r w:rsidRPr="0030609A">
        <w:rPr>
          <w:b/>
          <w:bCs/>
          <w:iCs/>
          <w:lang w:val="en-US" w:eastAsia="ko-KR"/>
        </w:rPr>
        <w:t xml:space="preserve">Discussion: </w:t>
      </w:r>
    </w:p>
    <w:p w:rsidR="00B35539" w:rsidRPr="00961912" w:rsidRDefault="00B35539" w:rsidP="00ED4EAB">
      <w:pPr>
        <w:pStyle w:val="ListParagraph"/>
        <w:ind w:leftChars="0" w:left="0"/>
        <w:rPr>
          <w:bCs/>
          <w:iCs/>
          <w:u w:val="single"/>
          <w:lang w:val="en-US" w:eastAsia="ko-KR"/>
        </w:rPr>
      </w:pPr>
      <w:r w:rsidRPr="00961912">
        <w:rPr>
          <w:bCs/>
          <w:iCs/>
          <w:u w:val="single"/>
          <w:lang w:val="en-US" w:eastAsia="ko-KR"/>
        </w:rPr>
        <w:t xml:space="preserve">In IEEE 802.11n and 802.11ac, a support of an A-MSDU in A-MPDU is as the following: </w:t>
      </w:r>
    </w:p>
    <w:p w:rsidR="00B35539" w:rsidRDefault="00B35539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B35539" w:rsidRDefault="00B35539" w:rsidP="00961912">
      <w:pPr>
        <w:rPr>
          <w:bCs/>
          <w:iCs/>
          <w:lang w:val="en-US" w:eastAsia="ko-KR"/>
        </w:rPr>
      </w:pPr>
      <w:r w:rsidRPr="00961912">
        <w:rPr>
          <w:bCs/>
          <w:iCs/>
          <w:lang w:val="en-US" w:eastAsia="ko-KR"/>
        </w:rPr>
        <w:t xml:space="preserve">In </w:t>
      </w:r>
      <w:r w:rsidR="001767B5" w:rsidRPr="00961912">
        <w:rPr>
          <w:bCs/>
          <w:iCs/>
          <w:lang w:val="en-US" w:eastAsia="ko-KR"/>
        </w:rPr>
        <w:t>the data enabled immediate response context</w:t>
      </w:r>
      <w:r>
        <w:rPr>
          <w:bCs/>
          <w:iCs/>
          <w:lang w:val="en-US" w:eastAsia="ko-KR"/>
        </w:rPr>
        <w:t xml:space="preserve">, an </w:t>
      </w:r>
      <w:r w:rsidRPr="00961912">
        <w:rPr>
          <w:bCs/>
          <w:iCs/>
          <w:lang w:val="en-US" w:eastAsia="ko-KR"/>
        </w:rPr>
        <w:t xml:space="preserve">A-MSDU in A-MPDU is an optional support. </w:t>
      </w:r>
    </w:p>
    <w:p w:rsidR="00B35539" w:rsidRDefault="008D4617" w:rsidP="00B35539">
      <w:pPr>
        <w:pStyle w:val="ListParagraph"/>
        <w:numPr>
          <w:ilvl w:val="0"/>
          <w:numId w:val="27"/>
        </w:numPr>
        <w:ind w:leftChars="0"/>
        <w:rPr>
          <w:bCs/>
          <w:iCs/>
          <w:lang w:val="en-US" w:eastAsia="ko-KR"/>
        </w:rPr>
      </w:pPr>
      <w:proofErr w:type="gramStart"/>
      <w:r>
        <w:rPr>
          <w:bCs/>
          <w:iCs/>
          <w:lang w:val="en-US" w:eastAsia="ko-KR"/>
        </w:rPr>
        <w:lastRenderedPageBreak/>
        <w:t xml:space="preserve">An </w:t>
      </w:r>
      <w:r w:rsidR="00B35539" w:rsidRPr="007D448E">
        <w:rPr>
          <w:bCs/>
          <w:iCs/>
          <w:lang w:val="en-US" w:eastAsia="ko-KR"/>
        </w:rPr>
        <w:t>A</w:t>
      </w:r>
      <w:proofErr w:type="gramEnd"/>
      <w:r w:rsidR="00B35539" w:rsidRPr="007D448E">
        <w:rPr>
          <w:bCs/>
          <w:iCs/>
          <w:lang w:val="en-US" w:eastAsia="ko-KR"/>
        </w:rPr>
        <w:t xml:space="preserve">-MSDU can be carried in </w:t>
      </w:r>
      <w:r w:rsidR="00B35539">
        <w:rPr>
          <w:bCs/>
          <w:iCs/>
          <w:lang w:val="en-US" w:eastAsia="ko-KR"/>
        </w:rPr>
        <w:t xml:space="preserve">a </w:t>
      </w:r>
      <w:proofErr w:type="spellStart"/>
      <w:r w:rsidR="00B35539">
        <w:rPr>
          <w:bCs/>
          <w:iCs/>
          <w:lang w:val="en-US" w:eastAsia="ko-KR"/>
        </w:rPr>
        <w:t>QoS</w:t>
      </w:r>
      <w:proofErr w:type="spellEnd"/>
      <w:r w:rsidR="00B35539">
        <w:rPr>
          <w:bCs/>
          <w:iCs/>
          <w:lang w:val="en-US" w:eastAsia="ko-KR"/>
        </w:rPr>
        <w:t xml:space="preserve"> d</w:t>
      </w:r>
      <w:r w:rsidR="00B35539" w:rsidRPr="007D448E">
        <w:rPr>
          <w:bCs/>
          <w:iCs/>
          <w:lang w:val="en-US" w:eastAsia="ko-KR"/>
        </w:rPr>
        <w:t>ata frame if the recipient indicates the support of an A-MSDU.</w:t>
      </w:r>
    </w:p>
    <w:p w:rsidR="00B35539" w:rsidRPr="00776054" w:rsidRDefault="00B35539" w:rsidP="00B35539">
      <w:pPr>
        <w:pStyle w:val="ListParagraph"/>
        <w:numPr>
          <w:ilvl w:val="1"/>
          <w:numId w:val="27"/>
        </w:numPr>
        <w:ind w:leftChars="0"/>
        <w:rPr>
          <w:bCs/>
          <w:iCs/>
          <w:lang w:val="en-US" w:eastAsia="ko-KR"/>
        </w:rPr>
      </w:pPr>
      <w:r w:rsidRPr="00776054">
        <w:rPr>
          <w:bCs/>
          <w:iCs/>
          <w:lang w:val="en-US" w:eastAsia="ko-KR"/>
        </w:rPr>
        <w:t xml:space="preserve">The A-MSDU Supported subfield of </w:t>
      </w:r>
      <w:r w:rsidR="004201B4" w:rsidRPr="00776054">
        <w:rPr>
          <w:bCs/>
          <w:iCs/>
          <w:lang w:val="en-US" w:eastAsia="ko-KR"/>
        </w:rPr>
        <w:t>t</w:t>
      </w:r>
      <w:r w:rsidRPr="00776054">
        <w:rPr>
          <w:bCs/>
          <w:iCs/>
          <w:lang w:val="en-US" w:eastAsia="ko-KR"/>
        </w:rPr>
        <w:t xml:space="preserve">he Block </w:t>
      </w:r>
      <w:proofErr w:type="spellStart"/>
      <w:r w:rsidRPr="00776054">
        <w:rPr>
          <w:bCs/>
          <w:iCs/>
          <w:lang w:val="en-US" w:eastAsia="ko-KR"/>
        </w:rPr>
        <w:t>Ack</w:t>
      </w:r>
      <w:proofErr w:type="spellEnd"/>
      <w:r w:rsidRPr="00776054">
        <w:rPr>
          <w:bCs/>
          <w:iCs/>
          <w:lang w:val="en-US" w:eastAsia="ko-KR"/>
        </w:rPr>
        <w:t xml:space="preserve"> Parameter Set field is set to 1 by a STA to indicate that it supports an A-MSDU carried in a </w:t>
      </w:r>
      <w:proofErr w:type="spellStart"/>
      <w:r w:rsidRPr="00776054">
        <w:rPr>
          <w:bCs/>
          <w:iCs/>
          <w:lang w:val="en-US" w:eastAsia="ko-KR"/>
        </w:rPr>
        <w:t>QoS</w:t>
      </w:r>
      <w:proofErr w:type="spellEnd"/>
      <w:r w:rsidRPr="00776054">
        <w:rPr>
          <w:bCs/>
          <w:iCs/>
          <w:lang w:val="en-US" w:eastAsia="ko-KR"/>
        </w:rPr>
        <w:t xml:space="preserve"> Data frame sent under this block </w:t>
      </w:r>
      <w:proofErr w:type="spellStart"/>
      <w:r w:rsidRPr="00776054">
        <w:rPr>
          <w:bCs/>
          <w:iCs/>
          <w:lang w:val="en-US" w:eastAsia="ko-KR"/>
        </w:rPr>
        <w:t>ack</w:t>
      </w:r>
      <w:proofErr w:type="spellEnd"/>
      <w:r w:rsidRPr="00776054">
        <w:rPr>
          <w:bCs/>
          <w:iCs/>
          <w:lang w:val="en-US" w:eastAsia="ko-KR"/>
        </w:rPr>
        <w:t xml:space="preserve"> agreement. It is set to 0 otherwise</w:t>
      </w:r>
      <w:r w:rsidR="008D4617" w:rsidRPr="00776054">
        <w:rPr>
          <w:bCs/>
          <w:iCs/>
          <w:lang w:val="en-US" w:eastAsia="ko-KR"/>
        </w:rPr>
        <w:t>.</w:t>
      </w:r>
      <w:r w:rsidR="00776054" w:rsidRPr="00776054">
        <w:rPr>
          <w:bCs/>
          <w:iCs/>
          <w:lang w:val="en-US" w:eastAsia="ko-KR"/>
        </w:rPr>
        <w:t xml:space="preserve"> (from IEEE 802.11-2016 spec) </w:t>
      </w:r>
    </w:p>
    <w:p w:rsidR="00B35539" w:rsidRPr="00961912" w:rsidRDefault="00B35539" w:rsidP="00961912">
      <w:pPr>
        <w:rPr>
          <w:bCs/>
          <w:iCs/>
          <w:lang w:val="en-US" w:eastAsia="ko-KR"/>
        </w:rPr>
      </w:pPr>
    </w:p>
    <w:p w:rsidR="00B35539" w:rsidRDefault="00B35539" w:rsidP="00961912">
      <w:pPr>
        <w:tabs>
          <w:tab w:val="num" w:pos="1440"/>
        </w:tabs>
        <w:rPr>
          <w:bCs/>
          <w:iCs/>
          <w:lang w:val="en-US" w:eastAsia="ko-KR"/>
        </w:rPr>
      </w:pPr>
      <w:r w:rsidRPr="00C835B4">
        <w:rPr>
          <w:bCs/>
          <w:iCs/>
          <w:lang w:val="en-US" w:eastAsia="ko-KR"/>
        </w:rPr>
        <w:t>In the data enable</w:t>
      </w:r>
      <w:r>
        <w:rPr>
          <w:bCs/>
          <w:iCs/>
          <w:lang w:val="en-US" w:eastAsia="ko-KR"/>
        </w:rPr>
        <w:t>d no immediate response context</w:t>
      </w:r>
      <w:r w:rsidRPr="00C835B4">
        <w:rPr>
          <w:bCs/>
          <w:iCs/>
          <w:lang w:val="en-US" w:eastAsia="ko-KR"/>
        </w:rPr>
        <w:t xml:space="preserve">, </w:t>
      </w:r>
      <w:r>
        <w:rPr>
          <w:bCs/>
          <w:iCs/>
          <w:lang w:val="en-US" w:eastAsia="ko-KR"/>
        </w:rPr>
        <w:t xml:space="preserve">an </w:t>
      </w:r>
      <w:r w:rsidRPr="004A7624">
        <w:rPr>
          <w:bCs/>
          <w:iCs/>
          <w:lang w:val="en-US" w:eastAsia="ko-KR"/>
        </w:rPr>
        <w:t>A-MSDU in A-MPDU</w:t>
      </w:r>
      <w:r w:rsidRPr="00C835B4">
        <w:rPr>
          <w:bCs/>
          <w:iCs/>
          <w:lang w:val="en-US" w:eastAsia="ko-KR"/>
        </w:rPr>
        <w:t xml:space="preserve"> is not supported.</w:t>
      </w:r>
    </w:p>
    <w:p w:rsidR="00B35539" w:rsidRPr="00961912" w:rsidRDefault="008D4617" w:rsidP="00961912">
      <w:pPr>
        <w:pStyle w:val="ListParagraph"/>
        <w:numPr>
          <w:ilvl w:val="0"/>
          <w:numId w:val="27"/>
        </w:numPr>
        <w:ind w:leftChars="0"/>
        <w:rPr>
          <w:bCs/>
          <w:iCs/>
          <w:lang w:val="en-US" w:eastAsia="ko-KR"/>
        </w:rPr>
      </w:pPr>
      <w:proofErr w:type="gramStart"/>
      <w:r>
        <w:rPr>
          <w:bCs/>
          <w:iCs/>
          <w:lang w:val="en-US" w:eastAsia="ko-KR"/>
        </w:rPr>
        <w:t xml:space="preserve">An </w:t>
      </w:r>
      <w:r w:rsidR="00B35539" w:rsidRPr="007D448E">
        <w:rPr>
          <w:bCs/>
          <w:iCs/>
          <w:lang w:val="en-US" w:eastAsia="ko-KR"/>
        </w:rPr>
        <w:t>A</w:t>
      </w:r>
      <w:proofErr w:type="gramEnd"/>
      <w:r w:rsidR="00B35539" w:rsidRPr="007D448E">
        <w:rPr>
          <w:bCs/>
          <w:iCs/>
          <w:lang w:val="en-US" w:eastAsia="ko-KR"/>
        </w:rPr>
        <w:t xml:space="preserve">-MSDU can’t be carried in </w:t>
      </w:r>
      <w:r w:rsidR="00B35539">
        <w:rPr>
          <w:bCs/>
          <w:iCs/>
          <w:lang w:val="en-US" w:eastAsia="ko-KR"/>
        </w:rPr>
        <w:t xml:space="preserve">a </w:t>
      </w:r>
      <w:proofErr w:type="spellStart"/>
      <w:r w:rsidR="00B35539">
        <w:rPr>
          <w:bCs/>
          <w:iCs/>
          <w:lang w:val="en-US" w:eastAsia="ko-KR"/>
        </w:rPr>
        <w:t>QoS</w:t>
      </w:r>
      <w:proofErr w:type="spellEnd"/>
      <w:r w:rsidR="00B35539">
        <w:rPr>
          <w:bCs/>
          <w:iCs/>
          <w:lang w:val="en-US" w:eastAsia="ko-KR"/>
        </w:rPr>
        <w:t xml:space="preserve"> d</w:t>
      </w:r>
      <w:r w:rsidR="00B35539" w:rsidRPr="007D448E">
        <w:rPr>
          <w:bCs/>
          <w:iCs/>
          <w:lang w:val="en-US" w:eastAsia="ko-KR"/>
        </w:rPr>
        <w:t xml:space="preserve">ata frame because the A-MSDU Present subfield </w:t>
      </w:r>
      <w:r w:rsidR="00B35539">
        <w:rPr>
          <w:bCs/>
          <w:iCs/>
          <w:lang w:val="en-US" w:eastAsia="ko-KR"/>
        </w:rPr>
        <w:t xml:space="preserve">of a </w:t>
      </w:r>
      <w:proofErr w:type="spellStart"/>
      <w:r w:rsidR="00B35539">
        <w:rPr>
          <w:bCs/>
          <w:iCs/>
          <w:lang w:val="en-US" w:eastAsia="ko-KR"/>
        </w:rPr>
        <w:t>QoS</w:t>
      </w:r>
      <w:proofErr w:type="spellEnd"/>
      <w:r w:rsidR="00B35539">
        <w:rPr>
          <w:bCs/>
          <w:iCs/>
          <w:lang w:val="en-US" w:eastAsia="ko-KR"/>
        </w:rPr>
        <w:t xml:space="preserve"> d</w:t>
      </w:r>
      <w:r w:rsidR="00B35539" w:rsidRPr="007D448E">
        <w:rPr>
          <w:bCs/>
          <w:iCs/>
          <w:lang w:val="en-US" w:eastAsia="ko-KR"/>
        </w:rPr>
        <w:t xml:space="preserve">ata </w:t>
      </w:r>
      <w:r w:rsidR="00B35539">
        <w:rPr>
          <w:bCs/>
          <w:iCs/>
          <w:lang w:val="en-US" w:eastAsia="ko-KR"/>
        </w:rPr>
        <w:t xml:space="preserve">frames </w:t>
      </w:r>
      <w:r w:rsidR="00B35539" w:rsidRPr="007D448E">
        <w:rPr>
          <w:bCs/>
          <w:iCs/>
          <w:lang w:val="en-US" w:eastAsia="ko-KR"/>
        </w:rPr>
        <w:t xml:space="preserve">without a block </w:t>
      </w:r>
      <w:proofErr w:type="spellStart"/>
      <w:r w:rsidR="00B35539" w:rsidRPr="007D448E">
        <w:rPr>
          <w:bCs/>
          <w:iCs/>
          <w:lang w:val="en-US" w:eastAsia="ko-KR"/>
        </w:rPr>
        <w:t>ack</w:t>
      </w:r>
      <w:proofErr w:type="spellEnd"/>
      <w:r w:rsidR="00B35539" w:rsidRPr="007D448E">
        <w:rPr>
          <w:bCs/>
          <w:iCs/>
          <w:lang w:val="en-US" w:eastAsia="ko-KR"/>
        </w:rPr>
        <w:t xml:space="preserve"> agreement is constrained to 0 in the baseline spec.</w:t>
      </w:r>
    </w:p>
    <w:p w:rsidR="00B35539" w:rsidRDefault="00B35539" w:rsidP="00961912">
      <w:pPr>
        <w:tabs>
          <w:tab w:val="num" w:pos="1440"/>
        </w:tabs>
        <w:rPr>
          <w:bCs/>
          <w:iCs/>
          <w:lang w:val="en-US" w:eastAsia="ko-KR"/>
        </w:rPr>
      </w:pPr>
    </w:p>
    <w:p w:rsidR="008D4617" w:rsidRDefault="00B35539" w:rsidP="00961912">
      <w:pPr>
        <w:tabs>
          <w:tab w:val="num" w:pos="1440"/>
        </w:tabs>
        <w:rPr>
          <w:bCs/>
          <w:iCs/>
          <w:lang w:val="en-US" w:eastAsia="ko-KR"/>
        </w:rPr>
      </w:pPr>
      <w:r w:rsidRPr="00C835B4">
        <w:rPr>
          <w:bCs/>
          <w:iCs/>
          <w:lang w:val="en-US" w:eastAsia="ko-KR"/>
        </w:rPr>
        <w:t xml:space="preserve">In </w:t>
      </w:r>
      <w:r>
        <w:rPr>
          <w:bCs/>
          <w:iCs/>
          <w:lang w:val="en-US" w:eastAsia="ko-KR"/>
        </w:rPr>
        <w:t>the S-MPDU context</w:t>
      </w:r>
      <w:r w:rsidRPr="00C835B4">
        <w:rPr>
          <w:bCs/>
          <w:iCs/>
          <w:lang w:val="en-US" w:eastAsia="ko-KR"/>
        </w:rPr>
        <w:t xml:space="preserve">, </w:t>
      </w:r>
      <w:r>
        <w:rPr>
          <w:bCs/>
          <w:iCs/>
          <w:lang w:val="en-US" w:eastAsia="ko-KR"/>
        </w:rPr>
        <w:t xml:space="preserve">an </w:t>
      </w:r>
      <w:r w:rsidRPr="004A7624">
        <w:rPr>
          <w:bCs/>
          <w:iCs/>
          <w:lang w:val="en-US" w:eastAsia="ko-KR"/>
        </w:rPr>
        <w:t>A-MSDU in A-MPDU</w:t>
      </w:r>
      <w:r w:rsidRPr="00C835B4">
        <w:rPr>
          <w:bCs/>
          <w:iCs/>
          <w:lang w:val="en-US" w:eastAsia="ko-KR"/>
        </w:rPr>
        <w:t xml:space="preserve"> is</w:t>
      </w:r>
      <w:r w:rsidR="008D4617">
        <w:rPr>
          <w:bCs/>
          <w:iCs/>
          <w:lang w:val="en-US" w:eastAsia="ko-KR"/>
        </w:rPr>
        <w:t xml:space="preserve"> </w:t>
      </w:r>
      <w:r w:rsidR="008D4617" w:rsidRPr="00C835B4">
        <w:rPr>
          <w:bCs/>
          <w:iCs/>
          <w:lang w:val="en-US" w:eastAsia="ko-KR"/>
        </w:rPr>
        <w:t>a mandatory suppor</w:t>
      </w:r>
      <w:r w:rsidR="008D4617">
        <w:rPr>
          <w:bCs/>
          <w:iCs/>
          <w:lang w:val="en-US" w:eastAsia="ko-KR"/>
        </w:rPr>
        <w:t xml:space="preserve">t when a </w:t>
      </w:r>
      <w:proofErr w:type="spellStart"/>
      <w:r w:rsidR="008D4617">
        <w:rPr>
          <w:bCs/>
          <w:iCs/>
          <w:lang w:val="en-US" w:eastAsia="ko-KR"/>
        </w:rPr>
        <w:t>QoS</w:t>
      </w:r>
      <w:proofErr w:type="spellEnd"/>
      <w:r w:rsidR="008D4617">
        <w:rPr>
          <w:bCs/>
          <w:iCs/>
          <w:lang w:val="en-US" w:eastAsia="ko-KR"/>
        </w:rPr>
        <w:t xml:space="preserve"> d</w:t>
      </w:r>
      <w:r w:rsidR="008D4617" w:rsidRPr="007D448E">
        <w:rPr>
          <w:bCs/>
          <w:iCs/>
          <w:lang w:val="en-US" w:eastAsia="ko-KR"/>
        </w:rPr>
        <w:t xml:space="preserve">ata </w:t>
      </w:r>
      <w:r w:rsidR="008D4617">
        <w:rPr>
          <w:bCs/>
          <w:iCs/>
          <w:lang w:val="en-US" w:eastAsia="ko-KR"/>
        </w:rPr>
        <w:t xml:space="preserve">frame does not have a </w:t>
      </w:r>
      <w:r w:rsidR="008D4617" w:rsidRPr="007D448E">
        <w:rPr>
          <w:bCs/>
          <w:iCs/>
          <w:lang w:val="en-US" w:eastAsia="ko-KR"/>
        </w:rPr>
        <w:t xml:space="preserve">block </w:t>
      </w:r>
      <w:proofErr w:type="spellStart"/>
      <w:r w:rsidR="008D4617" w:rsidRPr="007D448E">
        <w:rPr>
          <w:bCs/>
          <w:iCs/>
          <w:lang w:val="en-US" w:eastAsia="ko-KR"/>
        </w:rPr>
        <w:t>ack</w:t>
      </w:r>
      <w:proofErr w:type="spellEnd"/>
      <w:r w:rsidR="008D4617" w:rsidRPr="007D448E">
        <w:rPr>
          <w:bCs/>
          <w:iCs/>
          <w:lang w:val="en-US" w:eastAsia="ko-KR"/>
        </w:rPr>
        <w:t xml:space="preserve"> agreement</w:t>
      </w:r>
      <w:r w:rsidR="008D4617">
        <w:rPr>
          <w:bCs/>
          <w:iCs/>
          <w:lang w:val="en-US" w:eastAsia="ko-KR"/>
        </w:rPr>
        <w:t xml:space="preserve"> and it is an optional support when a </w:t>
      </w:r>
      <w:proofErr w:type="spellStart"/>
      <w:r w:rsidR="008D4617">
        <w:rPr>
          <w:bCs/>
          <w:iCs/>
          <w:lang w:val="en-US" w:eastAsia="ko-KR"/>
        </w:rPr>
        <w:t>QoS</w:t>
      </w:r>
      <w:proofErr w:type="spellEnd"/>
      <w:r w:rsidR="008D4617">
        <w:rPr>
          <w:bCs/>
          <w:iCs/>
          <w:lang w:val="en-US" w:eastAsia="ko-KR"/>
        </w:rPr>
        <w:t xml:space="preserve"> d</w:t>
      </w:r>
      <w:r w:rsidR="008D4617" w:rsidRPr="007D448E">
        <w:rPr>
          <w:bCs/>
          <w:iCs/>
          <w:lang w:val="en-US" w:eastAsia="ko-KR"/>
        </w:rPr>
        <w:t xml:space="preserve">ata </w:t>
      </w:r>
      <w:r w:rsidR="008D4617">
        <w:rPr>
          <w:bCs/>
          <w:iCs/>
          <w:lang w:val="en-US" w:eastAsia="ko-KR"/>
        </w:rPr>
        <w:t xml:space="preserve">frame has a </w:t>
      </w:r>
      <w:r w:rsidR="008D4617" w:rsidRPr="007D448E">
        <w:rPr>
          <w:bCs/>
          <w:iCs/>
          <w:lang w:val="en-US" w:eastAsia="ko-KR"/>
        </w:rPr>
        <w:t xml:space="preserve">block </w:t>
      </w:r>
      <w:proofErr w:type="spellStart"/>
      <w:r w:rsidR="008D4617" w:rsidRPr="007D448E">
        <w:rPr>
          <w:bCs/>
          <w:iCs/>
          <w:lang w:val="en-US" w:eastAsia="ko-KR"/>
        </w:rPr>
        <w:t>ack</w:t>
      </w:r>
      <w:proofErr w:type="spellEnd"/>
      <w:r w:rsidR="008D4617" w:rsidRPr="007D448E">
        <w:rPr>
          <w:bCs/>
          <w:iCs/>
          <w:lang w:val="en-US" w:eastAsia="ko-KR"/>
        </w:rPr>
        <w:t xml:space="preserve"> agreement</w:t>
      </w:r>
      <w:r w:rsidR="008D4617">
        <w:rPr>
          <w:bCs/>
          <w:iCs/>
          <w:lang w:val="en-US" w:eastAsia="ko-KR"/>
        </w:rPr>
        <w:t>.</w:t>
      </w:r>
    </w:p>
    <w:p w:rsidR="00B35539" w:rsidRDefault="00B35539" w:rsidP="00961912">
      <w:pPr>
        <w:pStyle w:val="ListParagraph"/>
        <w:numPr>
          <w:ilvl w:val="0"/>
          <w:numId w:val="27"/>
        </w:numPr>
        <w:ind w:leftChars="0"/>
        <w:rPr>
          <w:bCs/>
          <w:iCs/>
          <w:lang w:val="en-US" w:eastAsia="ko-KR"/>
        </w:rPr>
      </w:pPr>
      <w:r w:rsidRPr="00961912">
        <w:rPr>
          <w:bCs/>
          <w:iCs/>
          <w:lang w:val="en-US" w:eastAsia="ko-KR"/>
        </w:rPr>
        <w:t xml:space="preserve">A STA shall support the reception of an A-MSDU, where the A-MSDU is carried in a </w:t>
      </w:r>
      <w:proofErr w:type="spellStart"/>
      <w:r w:rsidRPr="00961912">
        <w:rPr>
          <w:bCs/>
          <w:iCs/>
          <w:lang w:val="en-US" w:eastAsia="ko-KR"/>
        </w:rPr>
        <w:t>QoS</w:t>
      </w:r>
      <w:proofErr w:type="spellEnd"/>
      <w:r w:rsidRPr="00961912">
        <w:rPr>
          <w:bCs/>
          <w:iCs/>
          <w:lang w:val="en-US" w:eastAsia="ko-KR"/>
        </w:rPr>
        <w:t xml:space="preserve"> Data frame with </w:t>
      </w:r>
      <w:proofErr w:type="spellStart"/>
      <w:r w:rsidRPr="00961912">
        <w:rPr>
          <w:bCs/>
          <w:iCs/>
          <w:lang w:val="en-US" w:eastAsia="ko-KR"/>
        </w:rPr>
        <w:t>Ack</w:t>
      </w:r>
      <w:proofErr w:type="spellEnd"/>
      <w:r w:rsidRPr="00961912">
        <w:rPr>
          <w:bCs/>
          <w:iCs/>
          <w:lang w:val="en-US" w:eastAsia="ko-KR"/>
        </w:rPr>
        <w:t xml:space="preserve"> Policy equal to Normal </w:t>
      </w:r>
      <w:proofErr w:type="spellStart"/>
      <w:r w:rsidRPr="00961912">
        <w:rPr>
          <w:bCs/>
          <w:iCs/>
          <w:lang w:val="en-US" w:eastAsia="ko-KR"/>
        </w:rPr>
        <w:t>Ack</w:t>
      </w:r>
      <w:proofErr w:type="spellEnd"/>
      <w:r w:rsidRPr="00961912">
        <w:rPr>
          <w:bCs/>
          <w:iCs/>
          <w:lang w:val="en-US" w:eastAsia="ko-KR"/>
        </w:rPr>
        <w:t xml:space="preserve"> in the following cases:</w:t>
      </w:r>
    </w:p>
    <w:p w:rsidR="00B35539" w:rsidRDefault="00B35539" w:rsidP="00961912">
      <w:pPr>
        <w:pStyle w:val="ListParagraph"/>
        <w:numPr>
          <w:ilvl w:val="1"/>
          <w:numId w:val="27"/>
        </w:numPr>
        <w:ind w:leftChars="0"/>
        <w:rPr>
          <w:bCs/>
          <w:iCs/>
          <w:lang w:val="en-US" w:eastAsia="ko-KR"/>
        </w:rPr>
      </w:pPr>
      <w:r w:rsidRPr="00961912">
        <w:rPr>
          <w:bCs/>
          <w:iCs/>
          <w:lang w:val="en-US" w:eastAsia="ko-KR"/>
        </w:rPr>
        <w:t>By an HT STA when the A-MSDU is not aggregated within an A-MPDU.</w:t>
      </w:r>
    </w:p>
    <w:p w:rsidR="00B35539" w:rsidRDefault="00B35539" w:rsidP="00961912">
      <w:pPr>
        <w:pStyle w:val="ListParagraph"/>
        <w:numPr>
          <w:ilvl w:val="1"/>
          <w:numId w:val="27"/>
        </w:numPr>
        <w:ind w:leftChars="0"/>
        <w:rPr>
          <w:bCs/>
          <w:iCs/>
          <w:lang w:val="en-US" w:eastAsia="ko-KR"/>
        </w:rPr>
      </w:pPr>
      <w:r w:rsidRPr="00961912">
        <w:rPr>
          <w:bCs/>
          <w:iCs/>
          <w:lang w:val="en-US" w:eastAsia="ko-KR"/>
        </w:rPr>
        <w:t>By a VHT STA when the A-MSDU is sent as an S-MPDU.</w:t>
      </w:r>
    </w:p>
    <w:p w:rsidR="00B35539" w:rsidRDefault="00B35539" w:rsidP="00961912">
      <w:pPr>
        <w:pStyle w:val="ListParagraph"/>
        <w:numPr>
          <w:ilvl w:val="0"/>
          <w:numId w:val="27"/>
        </w:numPr>
        <w:ind w:leftChars="0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But, </w:t>
      </w:r>
      <w:r w:rsidRPr="004A7624">
        <w:rPr>
          <w:bCs/>
          <w:iCs/>
          <w:lang w:val="en-US" w:eastAsia="ko-KR"/>
        </w:rPr>
        <w:t xml:space="preserve">a </w:t>
      </w:r>
      <w:proofErr w:type="spellStart"/>
      <w:r w:rsidRPr="004A7624">
        <w:rPr>
          <w:bCs/>
          <w:iCs/>
          <w:lang w:val="en-US" w:eastAsia="ko-KR"/>
        </w:rPr>
        <w:t>QoS</w:t>
      </w:r>
      <w:proofErr w:type="spellEnd"/>
      <w:r w:rsidRPr="004A7624">
        <w:rPr>
          <w:bCs/>
          <w:iCs/>
          <w:lang w:val="en-US" w:eastAsia="ko-KR"/>
        </w:rPr>
        <w:t xml:space="preserve"> Data frame with </w:t>
      </w:r>
      <w:proofErr w:type="spellStart"/>
      <w:r w:rsidRPr="004A7624">
        <w:rPr>
          <w:bCs/>
          <w:iCs/>
          <w:lang w:val="en-US" w:eastAsia="ko-KR"/>
        </w:rPr>
        <w:t>Ack</w:t>
      </w:r>
      <w:proofErr w:type="spellEnd"/>
      <w:r w:rsidRPr="004A7624">
        <w:rPr>
          <w:bCs/>
          <w:iCs/>
          <w:lang w:val="en-US" w:eastAsia="ko-KR"/>
        </w:rPr>
        <w:t xml:space="preserve"> Policy equal to </w:t>
      </w:r>
      <w:r w:rsidRPr="00B35539">
        <w:rPr>
          <w:bCs/>
          <w:iCs/>
          <w:lang w:val="en-US" w:eastAsia="ko-KR"/>
        </w:rPr>
        <w:t xml:space="preserve">Implicit Block </w:t>
      </w:r>
      <w:proofErr w:type="spellStart"/>
      <w:r w:rsidRPr="00B35539">
        <w:rPr>
          <w:bCs/>
          <w:iCs/>
          <w:lang w:val="en-US" w:eastAsia="ko-KR"/>
        </w:rPr>
        <w:t>Ack</w:t>
      </w:r>
      <w:proofErr w:type="spellEnd"/>
      <w:r w:rsidRPr="00B35539">
        <w:rPr>
          <w:bCs/>
          <w:iCs/>
          <w:lang w:val="en-US" w:eastAsia="ko-KR"/>
        </w:rPr>
        <w:t xml:space="preserve"> Request</w:t>
      </w:r>
      <w:r>
        <w:rPr>
          <w:bCs/>
          <w:iCs/>
          <w:lang w:val="en-US" w:eastAsia="ko-KR"/>
        </w:rPr>
        <w:t xml:space="preserve"> is still optionally supported </w:t>
      </w:r>
      <w:r w:rsidRPr="007D448E">
        <w:rPr>
          <w:bCs/>
          <w:iCs/>
          <w:lang w:val="en-US" w:eastAsia="ko-KR"/>
        </w:rPr>
        <w:t>if the recipient indicates the support of an A-MSDU.</w:t>
      </w:r>
    </w:p>
    <w:p w:rsidR="00B35539" w:rsidRDefault="00B35539" w:rsidP="00961912">
      <w:pPr>
        <w:rPr>
          <w:bCs/>
          <w:iCs/>
          <w:lang w:val="en-US" w:eastAsia="ko-KR"/>
        </w:rPr>
      </w:pPr>
    </w:p>
    <w:p w:rsidR="00776054" w:rsidRDefault="00776054" w:rsidP="00961912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For 802.11n/ac, t</w:t>
      </w:r>
      <w:r w:rsidRPr="00776054">
        <w:rPr>
          <w:bCs/>
          <w:iCs/>
          <w:lang w:val="en-US" w:eastAsia="ko-KR"/>
        </w:rPr>
        <w:t>he following table summarizes when the A-MSDU in A-MPDU is supported.</w:t>
      </w:r>
    </w:p>
    <w:p w:rsidR="00776054" w:rsidRDefault="00776054" w:rsidP="00961912">
      <w:pPr>
        <w:rPr>
          <w:bCs/>
          <w:iCs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27"/>
        <w:gridCol w:w="3328"/>
      </w:tblGrid>
      <w:tr w:rsidR="00776054" w:rsidTr="00272C54">
        <w:tc>
          <w:tcPr>
            <w:tcW w:w="2695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A-MPDU context</w:t>
            </w:r>
          </w:p>
        </w:tc>
        <w:tc>
          <w:tcPr>
            <w:tcW w:w="3327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A-MSDU in </w:t>
            </w:r>
            <w:proofErr w:type="spellStart"/>
            <w:r w:rsidRPr="00961912">
              <w:rPr>
                <w:bCs/>
                <w:iCs/>
                <w:lang w:val="en-US" w:eastAsia="ko-KR"/>
              </w:rPr>
              <w:t>QoS</w:t>
            </w:r>
            <w:proofErr w:type="spellEnd"/>
            <w:r w:rsidRPr="00961912">
              <w:rPr>
                <w:bCs/>
                <w:iCs/>
                <w:lang w:val="en-US" w:eastAsia="ko-KR"/>
              </w:rPr>
              <w:t xml:space="preserve"> d</w:t>
            </w:r>
            <w:r w:rsidRPr="007D448E">
              <w:rPr>
                <w:lang w:val="en-US" w:eastAsia="ko-KR"/>
              </w:rPr>
              <w:t xml:space="preserve">ata frame with HT-immediate block </w:t>
            </w:r>
            <w:proofErr w:type="spellStart"/>
            <w:r w:rsidRPr="007D448E">
              <w:rPr>
                <w:lang w:val="en-US" w:eastAsia="ko-KR"/>
              </w:rPr>
              <w:t>ack</w:t>
            </w:r>
            <w:proofErr w:type="spellEnd"/>
            <w:r w:rsidRPr="007D448E">
              <w:rPr>
                <w:lang w:val="en-US" w:eastAsia="ko-KR"/>
              </w:rPr>
              <w:t xml:space="preserve"> agreement</w:t>
            </w:r>
          </w:p>
        </w:tc>
        <w:tc>
          <w:tcPr>
            <w:tcW w:w="3328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A-MSDU in </w:t>
            </w:r>
            <w:proofErr w:type="spellStart"/>
            <w:r w:rsidRPr="00961912">
              <w:rPr>
                <w:bCs/>
                <w:iCs/>
                <w:lang w:val="en-US" w:eastAsia="ko-KR"/>
              </w:rPr>
              <w:t>QoS</w:t>
            </w:r>
            <w:proofErr w:type="spellEnd"/>
            <w:r w:rsidRPr="00961912">
              <w:rPr>
                <w:bCs/>
                <w:iCs/>
                <w:lang w:val="en-US" w:eastAsia="ko-KR"/>
              </w:rPr>
              <w:t xml:space="preserve"> d</w:t>
            </w:r>
            <w:r w:rsidRPr="007D448E">
              <w:rPr>
                <w:lang w:val="en-US" w:eastAsia="ko-KR"/>
              </w:rPr>
              <w:t xml:space="preserve">ata frame without HT-immediate block </w:t>
            </w:r>
            <w:proofErr w:type="spellStart"/>
            <w:r w:rsidRPr="007D448E">
              <w:rPr>
                <w:lang w:val="en-US" w:eastAsia="ko-KR"/>
              </w:rPr>
              <w:t>ack</w:t>
            </w:r>
            <w:proofErr w:type="spellEnd"/>
            <w:r w:rsidRPr="007D448E">
              <w:rPr>
                <w:lang w:val="en-US" w:eastAsia="ko-KR"/>
              </w:rPr>
              <w:t xml:space="preserve"> agreement</w:t>
            </w:r>
          </w:p>
        </w:tc>
        <w:bookmarkStart w:id="0" w:name="_GoBack"/>
        <w:bookmarkEnd w:id="0"/>
      </w:tr>
      <w:tr w:rsidR="00776054" w:rsidTr="00272C54">
        <w:tc>
          <w:tcPr>
            <w:tcW w:w="2695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D</w:t>
            </w:r>
            <w:r w:rsidRPr="00961912">
              <w:rPr>
                <w:bCs/>
                <w:iCs/>
                <w:lang w:val="en-US" w:eastAsia="ko-KR"/>
              </w:rPr>
              <w:t>ata enabled immediate response context</w:t>
            </w:r>
          </w:p>
        </w:tc>
        <w:tc>
          <w:tcPr>
            <w:tcW w:w="3327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11n/ac: Optional  </w:t>
            </w:r>
          </w:p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  </w:t>
            </w:r>
          </w:p>
        </w:tc>
        <w:tc>
          <w:tcPr>
            <w:tcW w:w="3328" w:type="dxa"/>
          </w:tcPr>
          <w:p w:rsidR="00776054" w:rsidRPr="008D1A0B" w:rsidRDefault="00776054" w:rsidP="00272C54">
            <w:pPr>
              <w:tabs>
                <w:tab w:val="num" w:pos="1440"/>
              </w:tabs>
              <w:rPr>
                <w:bCs/>
                <w:iCs/>
                <w:highlight w:val="yellow"/>
                <w:lang w:val="en-US" w:eastAsia="ko-KR"/>
              </w:rPr>
            </w:pPr>
            <w:r w:rsidRPr="008D1A0B">
              <w:rPr>
                <w:bCs/>
                <w:iCs/>
                <w:highlight w:val="yellow"/>
                <w:lang w:val="en-US" w:eastAsia="ko-KR"/>
              </w:rPr>
              <w:t>11n/ac: N/A</w:t>
            </w:r>
          </w:p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</w:p>
        </w:tc>
      </w:tr>
      <w:tr w:rsidR="00776054" w:rsidTr="00272C54">
        <w:tc>
          <w:tcPr>
            <w:tcW w:w="2695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D</w:t>
            </w:r>
            <w:r w:rsidRPr="00C835B4">
              <w:rPr>
                <w:bCs/>
                <w:iCs/>
                <w:lang w:val="en-US" w:eastAsia="ko-KR"/>
              </w:rPr>
              <w:t>ata enable</w:t>
            </w:r>
            <w:r>
              <w:rPr>
                <w:bCs/>
                <w:iCs/>
                <w:lang w:val="en-US" w:eastAsia="ko-KR"/>
              </w:rPr>
              <w:t>d no immediate response context</w:t>
            </w:r>
          </w:p>
        </w:tc>
        <w:tc>
          <w:tcPr>
            <w:tcW w:w="3327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11n/ac: N/A</w:t>
            </w:r>
          </w:p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</w:p>
        </w:tc>
        <w:tc>
          <w:tcPr>
            <w:tcW w:w="3328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11n/ac: N/A</w:t>
            </w:r>
          </w:p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</w:p>
        </w:tc>
      </w:tr>
      <w:tr w:rsidR="00776054" w:rsidTr="00272C54">
        <w:tc>
          <w:tcPr>
            <w:tcW w:w="2695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S-MPDU context</w:t>
            </w:r>
          </w:p>
        </w:tc>
        <w:tc>
          <w:tcPr>
            <w:tcW w:w="3327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11n/ac: Optional  </w:t>
            </w:r>
          </w:p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  </w:t>
            </w:r>
          </w:p>
        </w:tc>
        <w:tc>
          <w:tcPr>
            <w:tcW w:w="3328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11n/ac: Mandatory</w:t>
            </w:r>
          </w:p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</w:p>
        </w:tc>
      </w:tr>
    </w:tbl>
    <w:p w:rsidR="00776054" w:rsidRDefault="00776054" w:rsidP="00961912">
      <w:pPr>
        <w:rPr>
          <w:bCs/>
          <w:iCs/>
          <w:lang w:val="en-US" w:eastAsia="ko-KR"/>
        </w:rPr>
      </w:pPr>
    </w:p>
    <w:p w:rsidR="008D4617" w:rsidRDefault="00B35539" w:rsidP="00C835B4">
      <w:pPr>
        <w:tabs>
          <w:tab w:val="num" w:pos="1440"/>
        </w:tabs>
        <w:rPr>
          <w:bCs/>
          <w:iCs/>
          <w:u w:val="single"/>
          <w:lang w:val="en-US" w:eastAsia="ko-KR"/>
        </w:rPr>
      </w:pPr>
      <w:r w:rsidRPr="00961912">
        <w:rPr>
          <w:bCs/>
          <w:iCs/>
          <w:u w:val="single"/>
          <w:lang w:val="en-US" w:eastAsia="ko-KR"/>
        </w:rPr>
        <w:t xml:space="preserve">In 802.11ax, a support of an A-MSDU in A-MPDU </w:t>
      </w:r>
      <w:r>
        <w:rPr>
          <w:bCs/>
          <w:iCs/>
          <w:u w:val="single"/>
          <w:lang w:val="en-US" w:eastAsia="ko-KR"/>
        </w:rPr>
        <w:t xml:space="preserve">has the following issue. </w:t>
      </w:r>
    </w:p>
    <w:p w:rsidR="00B35539" w:rsidRDefault="00B35539" w:rsidP="00C835B4">
      <w:pPr>
        <w:tabs>
          <w:tab w:val="num" w:pos="1440"/>
        </w:tabs>
        <w:rPr>
          <w:bCs/>
          <w:iCs/>
          <w:lang w:val="en-US" w:eastAsia="ko-KR"/>
        </w:rPr>
      </w:pPr>
    </w:p>
    <w:p w:rsidR="00776054" w:rsidRDefault="00776054" w:rsidP="00C835B4">
      <w:pPr>
        <w:tabs>
          <w:tab w:val="num" w:pos="1440"/>
        </w:tabs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The following combinations have been newly supported in </w:t>
      </w:r>
      <w:r w:rsidRPr="00961912">
        <w:rPr>
          <w:bCs/>
          <w:iCs/>
          <w:lang w:val="en-US" w:eastAsia="ko-KR"/>
        </w:rPr>
        <w:t>the data enabled immediate response context</w:t>
      </w:r>
      <w:r>
        <w:rPr>
          <w:bCs/>
          <w:iCs/>
          <w:lang w:val="en-US" w:eastAsia="ko-KR"/>
        </w:rPr>
        <w:t xml:space="preserve"> from 802.11ax. (In the below figure, </w:t>
      </w:r>
      <w:r w:rsidRPr="00776054">
        <w:rPr>
          <w:bCs/>
          <w:iCs/>
          <w:lang w:val="en-US" w:eastAsia="ko-KR"/>
        </w:rPr>
        <w:t>TID0 and T</w:t>
      </w:r>
      <w:r>
        <w:rPr>
          <w:bCs/>
          <w:iCs/>
          <w:lang w:val="en-US" w:eastAsia="ko-KR"/>
        </w:rPr>
        <w:t xml:space="preserve">ID1 have no block </w:t>
      </w:r>
      <w:proofErr w:type="spellStart"/>
      <w:r>
        <w:rPr>
          <w:bCs/>
          <w:iCs/>
          <w:lang w:val="en-US" w:eastAsia="ko-KR"/>
        </w:rPr>
        <w:t>ack</w:t>
      </w:r>
      <w:proofErr w:type="spellEnd"/>
      <w:r>
        <w:rPr>
          <w:bCs/>
          <w:iCs/>
          <w:lang w:val="en-US" w:eastAsia="ko-KR"/>
        </w:rPr>
        <w:t xml:space="preserve"> agreement.)</w:t>
      </w:r>
    </w:p>
    <w:p w:rsidR="00776054" w:rsidRDefault="00776054" w:rsidP="00C835B4">
      <w:pPr>
        <w:tabs>
          <w:tab w:val="num" w:pos="1440"/>
        </w:tabs>
        <w:rPr>
          <w:bCs/>
          <w:iCs/>
          <w:lang w:val="en-US" w:eastAsia="ko-KR"/>
        </w:rPr>
      </w:pPr>
    </w:p>
    <w:p w:rsidR="00776054" w:rsidRDefault="00776054" w:rsidP="00C835B4">
      <w:pPr>
        <w:tabs>
          <w:tab w:val="num" w:pos="1440"/>
        </w:tabs>
        <w:rPr>
          <w:bCs/>
          <w:iCs/>
          <w:lang w:val="en-US" w:eastAsia="ko-KR"/>
        </w:rPr>
      </w:pPr>
      <w:r>
        <w:rPr>
          <w:bCs/>
          <w:iCs/>
          <w:noProof/>
          <w:lang w:val="en-US" w:eastAsia="ko-KR"/>
        </w:rPr>
        <w:drawing>
          <wp:inline distT="0" distB="0" distL="0" distR="0" wp14:anchorId="0C15C5F4">
            <wp:extent cx="5810075" cy="1003111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580" cy="1018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054" w:rsidRDefault="00776054" w:rsidP="00C835B4">
      <w:pPr>
        <w:tabs>
          <w:tab w:val="num" w:pos="1440"/>
        </w:tabs>
        <w:rPr>
          <w:bCs/>
          <w:iCs/>
          <w:lang w:val="en-US" w:eastAsia="ko-KR"/>
        </w:rPr>
      </w:pPr>
    </w:p>
    <w:p w:rsidR="00776054" w:rsidRPr="00776054" w:rsidRDefault="00776054" w:rsidP="00C835B4">
      <w:pPr>
        <w:tabs>
          <w:tab w:val="num" w:pos="1440"/>
        </w:tabs>
        <w:rPr>
          <w:bCs/>
          <w:iCs/>
          <w:szCs w:val="22"/>
          <w:lang w:val="en-US" w:eastAsia="ko-KR"/>
        </w:rPr>
      </w:pPr>
      <w:r w:rsidRPr="00776054">
        <w:rPr>
          <w:bCs/>
          <w:iCs/>
          <w:szCs w:val="22"/>
          <w:lang w:val="en-US" w:eastAsia="ko-KR"/>
        </w:rPr>
        <w:t xml:space="preserve">According to the definition of a multi-TID </w:t>
      </w:r>
      <w:proofErr w:type="gramStart"/>
      <w:r w:rsidRPr="00776054">
        <w:rPr>
          <w:bCs/>
          <w:iCs/>
          <w:szCs w:val="22"/>
          <w:lang w:val="en-US" w:eastAsia="ko-KR"/>
        </w:rPr>
        <w:t>A-</w:t>
      </w:r>
      <w:proofErr w:type="gramEnd"/>
      <w:r w:rsidRPr="00776054">
        <w:rPr>
          <w:bCs/>
          <w:iCs/>
          <w:szCs w:val="22"/>
          <w:lang w:val="en-US" w:eastAsia="ko-KR"/>
        </w:rPr>
        <w:t xml:space="preserve">MPDU is that first and second PPDUs are not a multi-TID A-MPDU. </w:t>
      </w:r>
    </w:p>
    <w:p w:rsidR="00776054" w:rsidRPr="00776054" w:rsidRDefault="00776054" w:rsidP="00776054">
      <w:pPr>
        <w:pStyle w:val="ListParagraph"/>
        <w:numPr>
          <w:ilvl w:val="0"/>
          <w:numId w:val="27"/>
        </w:numPr>
        <w:ind w:leftChars="0"/>
        <w:rPr>
          <w:bCs/>
          <w:iCs/>
          <w:szCs w:val="22"/>
          <w:lang w:val="en-US" w:eastAsia="ko-KR"/>
        </w:rPr>
      </w:pPr>
      <w:r w:rsidRPr="00776054">
        <w:rPr>
          <w:szCs w:val="22"/>
        </w:rPr>
        <w:t xml:space="preserve">A multi-TID A-MPDU is an A-MPDU that contains </w:t>
      </w:r>
      <w:proofErr w:type="spellStart"/>
      <w:r w:rsidRPr="00776054">
        <w:rPr>
          <w:szCs w:val="22"/>
        </w:rPr>
        <w:t>QoS</w:t>
      </w:r>
      <w:proofErr w:type="spellEnd"/>
      <w:r w:rsidRPr="00776054">
        <w:rPr>
          <w:szCs w:val="22"/>
        </w:rPr>
        <w:t xml:space="preserve"> Data frames with two or more different TID values.</w:t>
      </w:r>
      <w:r w:rsidRPr="00776054">
        <w:rPr>
          <w:bCs/>
          <w:iCs/>
          <w:lang w:val="en-US" w:eastAsia="ko-KR"/>
        </w:rPr>
        <w:t xml:space="preserve"> (from IEEE 802.11ax </w:t>
      </w:r>
      <w:r>
        <w:rPr>
          <w:bCs/>
          <w:iCs/>
          <w:lang w:val="en-US" w:eastAsia="ko-KR"/>
        </w:rPr>
        <w:t>D</w:t>
      </w:r>
      <w:r w:rsidRPr="00776054">
        <w:rPr>
          <w:bCs/>
          <w:iCs/>
          <w:lang w:val="en-US" w:eastAsia="ko-KR"/>
        </w:rPr>
        <w:t>raft</w:t>
      </w:r>
      <w:r>
        <w:rPr>
          <w:bCs/>
          <w:iCs/>
          <w:lang w:val="en-US" w:eastAsia="ko-KR"/>
        </w:rPr>
        <w:t xml:space="preserve"> 1.4</w:t>
      </w:r>
      <w:r w:rsidRPr="00776054">
        <w:rPr>
          <w:bCs/>
          <w:iCs/>
          <w:lang w:val="en-US" w:eastAsia="ko-KR"/>
        </w:rPr>
        <w:t>)</w:t>
      </w:r>
    </w:p>
    <w:p w:rsidR="00776054" w:rsidRPr="00776054" w:rsidRDefault="00776054" w:rsidP="00C835B4">
      <w:pPr>
        <w:tabs>
          <w:tab w:val="num" w:pos="1440"/>
        </w:tabs>
        <w:rPr>
          <w:bCs/>
          <w:iCs/>
          <w:szCs w:val="22"/>
          <w:lang w:val="en-US" w:eastAsia="ko-KR"/>
        </w:rPr>
      </w:pPr>
    </w:p>
    <w:p w:rsidR="00776054" w:rsidRPr="00776054" w:rsidRDefault="00776054" w:rsidP="00776054">
      <w:pPr>
        <w:tabs>
          <w:tab w:val="num" w:pos="1440"/>
        </w:tabs>
        <w:rPr>
          <w:bCs/>
          <w:iCs/>
          <w:szCs w:val="22"/>
          <w:lang w:val="en-US" w:eastAsia="ko-KR"/>
        </w:rPr>
      </w:pPr>
      <w:r w:rsidRPr="00776054">
        <w:rPr>
          <w:bCs/>
          <w:iCs/>
          <w:szCs w:val="22"/>
          <w:lang w:val="en-US" w:eastAsia="ko-KR"/>
        </w:rPr>
        <w:t xml:space="preserve">Current 802.11ax Draft 1.4 is ambiguous whether </w:t>
      </w:r>
      <w:r w:rsidRPr="00776054">
        <w:rPr>
          <w:szCs w:val="22"/>
        </w:rPr>
        <w:t xml:space="preserve">dot11MPDUAskedforAckInMultiTIDAMPDU shall be set to true for supporting above first and second PPDUs, </w:t>
      </w:r>
      <w:r>
        <w:rPr>
          <w:szCs w:val="22"/>
        </w:rPr>
        <w:t xml:space="preserve">because </w:t>
      </w:r>
      <w:r w:rsidRPr="00776054">
        <w:rPr>
          <w:bCs/>
          <w:iCs/>
          <w:szCs w:val="22"/>
          <w:lang w:val="en-US" w:eastAsia="ko-KR"/>
        </w:rPr>
        <w:t xml:space="preserve">first and second PPDUs are not a multi-TID A-MPDU. </w:t>
      </w:r>
    </w:p>
    <w:p w:rsidR="00776054" w:rsidRPr="00776054" w:rsidRDefault="00776054" w:rsidP="00776054">
      <w:pPr>
        <w:pStyle w:val="ListParagraph"/>
        <w:numPr>
          <w:ilvl w:val="0"/>
          <w:numId w:val="27"/>
        </w:numPr>
        <w:ind w:leftChars="0"/>
        <w:rPr>
          <w:bCs/>
          <w:iCs/>
          <w:szCs w:val="22"/>
          <w:lang w:val="en-US" w:eastAsia="ko-KR"/>
        </w:rPr>
      </w:pPr>
      <w:proofErr w:type="spellStart"/>
      <w:r w:rsidRPr="00776054">
        <w:rPr>
          <w:bCs/>
          <w:iCs/>
          <w:szCs w:val="22"/>
          <w:lang w:val="en-US" w:eastAsia="ko-KR"/>
        </w:rPr>
        <w:lastRenderedPageBreak/>
        <w:t>An</w:t>
      </w:r>
      <w:proofErr w:type="spellEnd"/>
      <w:r w:rsidRPr="00776054">
        <w:rPr>
          <w:bCs/>
          <w:iCs/>
          <w:szCs w:val="22"/>
          <w:lang w:val="en-US" w:eastAsia="ko-KR"/>
        </w:rPr>
        <w:t xml:space="preserve"> HE transmitter shall not aggregate MPDU that asks for </w:t>
      </w:r>
      <w:proofErr w:type="spellStart"/>
      <w:r w:rsidRPr="00776054">
        <w:rPr>
          <w:bCs/>
          <w:iCs/>
          <w:szCs w:val="22"/>
          <w:lang w:val="en-US" w:eastAsia="ko-KR"/>
        </w:rPr>
        <w:t>Ack</w:t>
      </w:r>
      <w:proofErr w:type="spellEnd"/>
      <w:r w:rsidRPr="00776054">
        <w:rPr>
          <w:bCs/>
          <w:iCs/>
          <w:szCs w:val="22"/>
          <w:lang w:val="en-US" w:eastAsia="ko-KR"/>
        </w:rPr>
        <w:t xml:space="preserve"> in a multiple-TID A-MPDU to the HE recipient unless the recipient sets </w:t>
      </w:r>
      <w:proofErr w:type="spellStart"/>
      <w:r w:rsidRPr="00776054">
        <w:rPr>
          <w:bCs/>
          <w:iCs/>
          <w:szCs w:val="22"/>
          <w:lang w:val="en-US" w:eastAsia="ko-KR"/>
        </w:rPr>
        <w:t>Ack</w:t>
      </w:r>
      <w:proofErr w:type="spellEnd"/>
      <w:r w:rsidRPr="00776054">
        <w:rPr>
          <w:bCs/>
          <w:iCs/>
          <w:szCs w:val="22"/>
          <w:lang w:val="en-US" w:eastAsia="ko-KR"/>
        </w:rPr>
        <w:t xml:space="preserve"> Enabled Multi-TID A-MPDU Support subfield to 1 in its announced HE Capabilities element. </w:t>
      </w:r>
      <w:r w:rsidRPr="00776054">
        <w:rPr>
          <w:bCs/>
          <w:iCs/>
          <w:lang w:val="en-US" w:eastAsia="ko-KR"/>
        </w:rPr>
        <w:t>(from IEEE 802.11ax Draft 1.4)</w:t>
      </w:r>
    </w:p>
    <w:p w:rsidR="00776054" w:rsidRDefault="00776054" w:rsidP="00C835B4">
      <w:pPr>
        <w:tabs>
          <w:tab w:val="num" w:pos="1440"/>
        </w:tabs>
        <w:rPr>
          <w:bCs/>
          <w:iCs/>
          <w:lang w:val="en-US" w:eastAsia="ko-KR"/>
        </w:rPr>
      </w:pPr>
    </w:p>
    <w:p w:rsidR="00B35539" w:rsidRDefault="00776054" w:rsidP="00776054">
      <w:pPr>
        <w:tabs>
          <w:tab w:val="num" w:pos="1440"/>
        </w:tabs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BTW, with those interpretation, i</w:t>
      </w:r>
      <w:r w:rsidR="00B35539" w:rsidRPr="00961912">
        <w:rPr>
          <w:bCs/>
          <w:iCs/>
          <w:lang w:val="en-US" w:eastAsia="ko-KR"/>
        </w:rPr>
        <w:t xml:space="preserve">n </w:t>
      </w:r>
      <w:r w:rsidR="001767B5" w:rsidRPr="00961912">
        <w:rPr>
          <w:bCs/>
          <w:iCs/>
          <w:lang w:val="en-US" w:eastAsia="ko-KR"/>
        </w:rPr>
        <w:t>the data enabled immediate response context</w:t>
      </w:r>
      <w:r w:rsidR="00B35539">
        <w:rPr>
          <w:bCs/>
          <w:iCs/>
          <w:lang w:val="en-US" w:eastAsia="ko-KR"/>
        </w:rPr>
        <w:t xml:space="preserve">, an </w:t>
      </w:r>
      <w:r w:rsidR="00B35539" w:rsidRPr="004A7624">
        <w:rPr>
          <w:bCs/>
          <w:iCs/>
          <w:lang w:val="en-US" w:eastAsia="ko-KR"/>
        </w:rPr>
        <w:t>A-MSDU in A-MPDU</w:t>
      </w:r>
      <w:r w:rsidR="00B35539">
        <w:rPr>
          <w:bCs/>
          <w:iCs/>
          <w:lang w:val="en-US" w:eastAsia="ko-KR"/>
        </w:rPr>
        <w:t xml:space="preserve"> is a mandatory support</w:t>
      </w:r>
      <w:r w:rsidR="008D4617">
        <w:rPr>
          <w:bCs/>
          <w:iCs/>
          <w:lang w:val="en-US" w:eastAsia="ko-KR"/>
        </w:rPr>
        <w:t xml:space="preserve"> when a </w:t>
      </w:r>
      <w:proofErr w:type="spellStart"/>
      <w:r w:rsidR="008D4617">
        <w:rPr>
          <w:bCs/>
          <w:iCs/>
          <w:lang w:val="en-US" w:eastAsia="ko-KR"/>
        </w:rPr>
        <w:t>QoS</w:t>
      </w:r>
      <w:proofErr w:type="spellEnd"/>
      <w:r w:rsidR="008D4617">
        <w:rPr>
          <w:bCs/>
          <w:iCs/>
          <w:lang w:val="en-US" w:eastAsia="ko-KR"/>
        </w:rPr>
        <w:t xml:space="preserve"> d</w:t>
      </w:r>
      <w:r w:rsidR="008D4617" w:rsidRPr="007D448E">
        <w:rPr>
          <w:bCs/>
          <w:iCs/>
          <w:lang w:val="en-US" w:eastAsia="ko-KR"/>
        </w:rPr>
        <w:t xml:space="preserve">ata </w:t>
      </w:r>
      <w:r w:rsidR="008D4617">
        <w:rPr>
          <w:bCs/>
          <w:iCs/>
          <w:lang w:val="en-US" w:eastAsia="ko-KR"/>
        </w:rPr>
        <w:t xml:space="preserve">frame does not have a </w:t>
      </w:r>
      <w:r w:rsidR="008D4617" w:rsidRPr="007D448E">
        <w:rPr>
          <w:bCs/>
          <w:iCs/>
          <w:lang w:val="en-US" w:eastAsia="ko-KR"/>
        </w:rPr>
        <w:t xml:space="preserve">block </w:t>
      </w:r>
      <w:proofErr w:type="spellStart"/>
      <w:r w:rsidR="008D4617" w:rsidRPr="007D448E">
        <w:rPr>
          <w:bCs/>
          <w:iCs/>
          <w:lang w:val="en-US" w:eastAsia="ko-KR"/>
        </w:rPr>
        <w:t>ack</w:t>
      </w:r>
      <w:proofErr w:type="spellEnd"/>
      <w:r w:rsidR="008D4617" w:rsidRPr="007D448E">
        <w:rPr>
          <w:bCs/>
          <w:iCs/>
          <w:lang w:val="en-US" w:eastAsia="ko-KR"/>
        </w:rPr>
        <w:t xml:space="preserve"> agreement</w:t>
      </w:r>
      <w:r w:rsidR="008D4617">
        <w:rPr>
          <w:bCs/>
          <w:iCs/>
          <w:lang w:val="en-US" w:eastAsia="ko-KR"/>
        </w:rPr>
        <w:t>.</w:t>
      </w:r>
    </w:p>
    <w:p w:rsidR="00B35539" w:rsidRDefault="00B35539" w:rsidP="00961912">
      <w:pPr>
        <w:pStyle w:val="ListParagraph"/>
        <w:numPr>
          <w:ilvl w:val="0"/>
          <w:numId w:val="27"/>
        </w:numPr>
        <w:ind w:leftChars="0"/>
        <w:rPr>
          <w:lang w:val="en-US" w:eastAsia="ko-KR"/>
        </w:rPr>
      </w:pPr>
      <w:r>
        <w:rPr>
          <w:bCs/>
          <w:iCs/>
          <w:lang w:val="en-US" w:eastAsia="ko-KR"/>
        </w:rPr>
        <w:t xml:space="preserve">A-MSDU can be carried in </w:t>
      </w:r>
      <w:r w:rsidRPr="00961912">
        <w:rPr>
          <w:bCs/>
          <w:iCs/>
          <w:lang w:val="en-US" w:eastAsia="ko-KR"/>
        </w:rPr>
        <w:t xml:space="preserve">a </w:t>
      </w:r>
      <w:proofErr w:type="spellStart"/>
      <w:r w:rsidRPr="00961912">
        <w:rPr>
          <w:bCs/>
          <w:iCs/>
          <w:lang w:val="en-US" w:eastAsia="ko-KR"/>
        </w:rPr>
        <w:t>QoS</w:t>
      </w:r>
      <w:proofErr w:type="spellEnd"/>
      <w:r w:rsidRPr="00961912">
        <w:rPr>
          <w:bCs/>
          <w:iCs/>
          <w:lang w:val="en-US" w:eastAsia="ko-KR"/>
        </w:rPr>
        <w:t xml:space="preserve"> d</w:t>
      </w:r>
      <w:r w:rsidR="001767B5" w:rsidRPr="007D448E">
        <w:rPr>
          <w:lang w:val="en-US" w:eastAsia="ko-KR"/>
        </w:rPr>
        <w:t xml:space="preserve">ata frame without HT-immediate block </w:t>
      </w:r>
      <w:proofErr w:type="spellStart"/>
      <w:r w:rsidR="001767B5" w:rsidRPr="007D448E">
        <w:rPr>
          <w:lang w:val="en-US" w:eastAsia="ko-KR"/>
        </w:rPr>
        <w:t>ack</w:t>
      </w:r>
      <w:proofErr w:type="spellEnd"/>
      <w:r w:rsidR="001767B5" w:rsidRPr="007D448E">
        <w:rPr>
          <w:lang w:val="en-US" w:eastAsia="ko-KR"/>
        </w:rPr>
        <w:t xml:space="preserve"> agreement</w:t>
      </w:r>
      <w:r>
        <w:rPr>
          <w:lang w:val="en-US" w:eastAsia="ko-KR"/>
        </w:rPr>
        <w:t xml:space="preserve">. </w:t>
      </w:r>
    </w:p>
    <w:p w:rsidR="00B35539" w:rsidRDefault="00776054" w:rsidP="00961912">
      <w:pPr>
        <w:pStyle w:val="ListParagraph"/>
        <w:numPr>
          <w:ilvl w:val="1"/>
          <w:numId w:val="27"/>
        </w:numPr>
        <w:ind w:leftChars="0"/>
        <w:rPr>
          <w:lang w:val="en-US" w:eastAsia="ko-KR"/>
        </w:rPr>
      </w:pPr>
      <w:r>
        <w:rPr>
          <w:lang w:val="en-US" w:eastAsia="ko-KR"/>
        </w:rPr>
        <w:t>B</w:t>
      </w:r>
      <w:r w:rsidR="00B35539" w:rsidRPr="00961912">
        <w:rPr>
          <w:lang w:val="en-US" w:eastAsia="ko-KR"/>
        </w:rPr>
        <w:t>ecause there is no signaling mechanism (</w:t>
      </w:r>
      <w:r w:rsidR="00B35539">
        <w:rPr>
          <w:lang w:val="en-US" w:eastAsia="ko-KR"/>
        </w:rPr>
        <w:t xml:space="preserve">e.g., block </w:t>
      </w:r>
      <w:proofErr w:type="spellStart"/>
      <w:r w:rsidR="00B35539">
        <w:rPr>
          <w:lang w:val="en-US" w:eastAsia="ko-KR"/>
        </w:rPr>
        <w:t>ack</w:t>
      </w:r>
      <w:proofErr w:type="spellEnd"/>
      <w:r w:rsidR="00B35539">
        <w:rPr>
          <w:lang w:val="en-US" w:eastAsia="ko-KR"/>
        </w:rPr>
        <w:t xml:space="preserve"> agreement) </w:t>
      </w:r>
      <w:r w:rsidR="00B35539" w:rsidRPr="00961912">
        <w:rPr>
          <w:lang w:val="en-US" w:eastAsia="ko-KR"/>
        </w:rPr>
        <w:t xml:space="preserve">to indicate whether the STA supports an A-MSDU in A-MPDU or not, it is a mandatory feature. </w:t>
      </w:r>
    </w:p>
    <w:p w:rsidR="00B35539" w:rsidRDefault="00B35539" w:rsidP="00961912">
      <w:pPr>
        <w:pStyle w:val="ListParagraph"/>
        <w:numPr>
          <w:ilvl w:val="1"/>
          <w:numId w:val="27"/>
        </w:numPr>
        <w:ind w:leftChars="0"/>
        <w:rPr>
          <w:lang w:val="en-US" w:eastAsia="ko-KR"/>
        </w:rPr>
      </w:pPr>
      <w:r w:rsidRPr="00961912">
        <w:rPr>
          <w:lang w:val="en-US" w:eastAsia="ko-KR"/>
        </w:rPr>
        <w:t xml:space="preserve">In Multi-TID A-MPDU, it is a mandatory support when the </w:t>
      </w:r>
      <w:proofErr w:type="spellStart"/>
      <w:r w:rsidRPr="00961912">
        <w:rPr>
          <w:lang w:val="en-US" w:eastAsia="ko-KR"/>
        </w:rPr>
        <w:t>Ack</w:t>
      </w:r>
      <w:proofErr w:type="spellEnd"/>
      <w:r w:rsidRPr="00961912">
        <w:rPr>
          <w:lang w:val="en-US" w:eastAsia="ko-KR"/>
        </w:rPr>
        <w:t xml:space="preserve"> Enabled Multi-TID A-MPDU Support subfield is equal to 1.</w:t>
      </w:r>
    </w:p>
    <w:p w:rsidR="00B35539" w:rsidRDefault="00B35539" w:rsidP="00C835B4">
      <w:pPr>
        <w:tabs>
          <w:tab w:val="num" w:pos="1440"/>
        </w:tabs>
        <w:rPr>
          <w:bCs/>
          <w:iCs/>
          <w:lang w:val="en-US" w:eastAsia="ko-KR"/>
        </w:rPr>
      </w:pPr>
    </w:p>
    <w:p w:rsidR="008D4617" w:rsidRDefault="00776054" w:rsidP="00C835B4">
      <w:pPr>
        <w:tabs>
          <w:tab w:val="num" w:pos="1440"/>
        </w:tabs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For 802.11ax, t</w:t>
      </w:r>
      <w:r w:rsidR="008D4617">
        <w:rPr>
          <w:bCs/>
          <w:iCs/>
          <w:lang w:val="en-US" w:eastAsia="ko-KR"/>
        </w:rPr>
        <w:t>he following table summarize</w:t>
      </w:r>
      <w:r w:rsidR="007F4FFE">
        <w:rPr>
          <w:bCs/>
          <w:iCs/>
          <w:lang w:val="en-US" w:eastAsia="ko-KR"/>
        </w:rPr>
        <w:t>s</w:t>
      </w:r>
      <w:r w:rsidR="008D4617">
        <w:rPr>
          <w:bCs/>
          <w:iCs/>
          <w:lang w:val="en-US" w:eastAsia="ko-KR"/>
        </w:rPr>
        <w:t xml:space="preserve"> when the A-MSDU in A-MPDU is supported.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27"/>
        <w:gridCol w:w="3328"/>
      </w:tblGrid>
      <w:tr w:rsidR="008D4617" w:rsidTr="008D1A0B">
        <w:tc>
          <w:tcPr>
            <w:tcW w:w="2695" w:type="dxa"/>
          </w:tcPr>
          <w:p w:rsidR="008D4617" w:rsidRDefault="008D4617" w:rsidP="00C835B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A-MPDU context</w:t>
            </w:r>
          </w:p>
        </w:tc>
        <w:tc>
          <w:tcPr>
            <w:tcW w:w="3327" w:type="dxa"/>
          </w:tcPr>
          <w:p w:rsidR="008D4617" w:rsidRDefault="008D4617" w:rsidP="008D1A0B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A-MSDU in </w:t>
            </w:r>
            <w:proofErr w:type="spellStart"/>
            <w:r w:rsidRPr="00961912">
              <w:rPr>
                <w:bCs/>
                <w:iCs/>
                <w:lang w:val="en-US" w:eastAsia="ko-KR"/>
              </w:rPr>
              <w:t>QoS</w:t>
            </w:r>
            <w:proofErr w:type="spellEnd"/>
            <w:r w:rsidRPr="00961912">
              <w:rPr>
                <w:bCs/>
                <w:iCs/>
                <w:lang w:val="en-US" w:eastAsia="ko-KR"/>
              </w:rPr>
              <w:t xml:space="preserve"> d</w:t>
            </w:r>
            <w:r w:rsidRPr="007D448E">
              <w:rPr>
                <w:lang w:val="en-US" w:eastAsia="ko-KR"/>
              </w:rPr>
              <w:t xml:space="preserve">ata frame with HT-immediate block </w:t>
            </w:r>
            <w:proofErr w:type="spellStart"/>
            <w:r w:rsidRPr="007D448E">
              <w:rPr>
                <w:lang w:val="en-US" w:eastAsia="ko-KR"/>
              </w:rPr>
              <w:t>ack</w:t>
            </w:r>
            <w:proofErr w:type="spellEnd"/>
            <w:r w:rsidRPr="007D448E">
              <w:rPr>
                <w:lang w:val="en-US" w:eastAsia="ko-KR"/>
              </w:rPr>
              <w:t xml:space="preserve"> agreement</w:t>
            </w:r>
          </w:p>
        </w:tc>
        <w:tc>
          <w:tcPr>
            <w:tcW w:w="3328" w:type="dxa"/>
          </w:tcPr>
          <w:p w:rsidR="008D4617" w:rsidRDefault="008D4617" w:rsidP="00C835B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A-MSDU in </w:t>
            </w:r>
            <w:proofErr w:type="spellStart"/>
            <w:r w:rsidRPr="00961912">
              <w:rPr>
                <w:bCs/>
                <w:iCs/>
                <w:lang w:val="en-US" w:eastAsia="ko-KR"/>
              </w:rPr>
              <w:t>QoS</w:t>
            </w:r>
            <w:proofErr w:type="spellEnd"/>
            <w:r w:rsidRPr="00961912">
              <w:rPr>
                <w:bCs/>
                <w:iCs/>
                <w:lang w:val="en-US" w:eastAsia="ko-KR"/>
              </w:rPr>
              <w:t xml:space="preserve"> d</w:t>
            </w:r>
            <w:r w:rsidRPr="007D448E">
              <w:rPr>
                <w:lang w:val="en-US" w:eastAsia="ko-KR"/>
              </w:rPr>
              <w:t xml:space="preserve">ata frame without HT-immediate block </w:t>
            </w:r>
            <w:proofErr w:type="spellStart"/>
            <w:r w:rsidRPr="007D448E">
              <w:rPr>
                <w:lang w:val="en-US" w:eastAsia="ko-KR"/>
              </w:rPr>
              <w:t>ack</w:t>
            </w:r>
            <w:proofErr w:type="spellEnd"/>
            <w:r w:rsidRPr="007D448E">
              <w:rPr>
                <w:lang w:val="en-US" w:eastAsia="ko-KR"/>
              </w:rPr>
              <w:t xml:space="preserve"> agreement</w:t>
            </w:r>
          </w:p>
        </w:tc>
      </w:tr>
      <w:tr w:rsidR="008D4617" w:rsidTr="008D1A0B">
        <w:tc>
          <w:tcPr>
            <w:tcW w:w="2695" w:type="dxa"/>
          </w:tcPr>
          <w:p w:rsidR="008D4617" w:rsidRDefault="008D4617" w:rsidP="00C835B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D</w:t>
            </w:r>
            <w:r w:rsidRPr="00961912">
              <w:rPr>
                <w:bCs/>
                <w:iCs/>
                <w:lang w:val="en-US" w:eastAsia="ko-KR"/>
              </w:rPr>
              <w:t>ata enabled immediate response context</w:t>
            </w:r>
          </w:p>
        </w:tc>
        <w:tc>
          <w:tcPr>
            <w:tcW w:w="3327" w:type="dxa"/>
          </w:tcPr>
          <w:p w:rsidR="008D4617" w:rsidRDefault="008D4617" w:rsidP="008D1A0B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11n/ac: Optional  </w:t>
            </w:r>
          </w:p>
          <w:p w:rsidR="008D4617" w:rsidRDefault="008D4617" w:rsidP="008D1A0B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11ax: Optional  </w:t>
            </w:r>
          </w:p>
        </w:tc>
        <w:tc>
          <w:tcPr>
            <w:tcW w:w="3328" w:type="dxa"/>
          </w:tcPr>
          <w:p w:rsidR="008D4617" w:rsidRPr="008D1A0B" w:rsidRDefault="008D4617" w:rsidP="008D4617">
            <w:pPr>
              <w:tabs>
                <w:tab w:val="num" w:pos="1440"/>
              </w:tabs>
              <w:rPr>
                <w:bCs/>
                <w:iCs/>
                <w:highlight w:val="yellow"/>
                <w:lang w:val="en-US" w:eastAsia="ko-KR"/>
              </w:rPr>
            </w:pPr>
            <w:r w:rsidRPr="008D1A0B">
              <w:rPr>
                <w:bCs/>
                <w:iCs/>
                <w:highlight w:val="yellow"/>
                <w:lang w:val="en-US" w:eastAsia="ko-KR"/>
              </w:rPr>
              <w:t>11n/ac: N/A</w:t>
            </w:r>
          </w:p>
          <w:p w:rsidR="008D4617" w:rsidRDefault="008D4617" w:rsidP="008D1A0B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 w:rsidRPr="008D1A0B">
              <w:rPr>
                <w:bCs/>
                <w:iCs/>
                <w:highlight w:val="yellow"/>
                <w:lang w:val="en-US" w:eastAsia="ko-KR"/>
              </w:rPr>
              <w:t>11ax: Mandatory</w:t>
            </w:r>
          </w:p>
        </w:tc>
      </w:tr>
      <w:tr w:rsidR="008D4617" w:rsidTr="008D1A0B">
        <w:tc>
          <w:tcPr>
            <w:tcW w:w="2695" w:type="dxa"/>
          </w:tcPr>
          <w:p w:rsidR="008D4617" w:rsidRDefault="008D4617" w:rsidP="00C835B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D</w:t>
            </w:r>
            <w:r w:rsidRPr="00C835B4">
              <w:rPr>
                <w:bCs/>
                <w:iCs/>
                <w:lang w:val="en-US" w:eastAsia="ko-KR"/>
              </w:rPr>
              <w:t>ata enable</w:t>
            </w:r>
            <w:r>
              <w:rPr>
                <w:bCs/>
                <w:iCs/>
                <w:lang w:val="en-US" w:eastAsia="ko-KR"/>
              </w:rPr>
              <w:t>d no immediate response context</w:t>
            </w:r>
          </w:p>
        </w:tc>
        <w:tc>
          <w:tcPr>
            <w:tcW w:w="3327" w:type="dxa"/>
          </w:tcPr>
          <w:p w:rsidR="008D4617" w:rsidRDefault="008D4617" w:rsidP="008D1A0B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11n/ac: N/A</w:t>
            </w:r>
          </w:p>
          <w:p w:rsidR="008D4617" w:rsidRDefault="008D4617" w:rsidP="008D1A0B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11ax: N/A</w:t>
            </w:r>
          </w:p>
        </w:tc>
        <w:tc>
          <w:tcPr>
            <w:tcW w:w="3328" w:type="dxa"/>
          </w:tcPr>
          <w:p w:rsidR="008D4617" w:rsidRDefault="008D4617" w:rsidP="008D4617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11n/ac: N/A</w:t>
            </w:r>
          </w:p>
          <w:p w:rsidR="008D4617" w:rsidRDefault="008D4617" w:rsidP="008D4617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11ax: N/A</w:t>
            </w:r>
          </w:p>
        </w:tc>
      </w:tr>
      <w:tr w:rsidR="008D4617" w:rsidTr="008D1A0B">
        <w:tc>
          <w:tcPr>
            <w:tcW w:w="2695" w:type="dxa"/>
          </w:tcPr>
          <w:p w:rsidR="008D4617" w:rsidRDefault="008D4617" w:rsidP="008D4617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S-MPDU context</w:t>
            </w:r>
          </w:p>
        </w:tc>
        <w:tc>
          <w:tcPr>
            <w:tcW w:w="3327" w:type="dxa"/>
          </w:tcPr>
          <w:p w:rsidR="008D4617" w:rsidRDefault="008D4617" w:rsidP="008D4617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11n/ac: Optional  </w:t>
            </w:r>
          </w:p>
          <w:p w:rsidR="008D4617" w:rsidRDefault="008D4617" w:rsidP="008D4617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11ax: Optional  </w:t>
            </w:r>
          </w:p>
        </w:tc>
        <w:tc>
          <w:tcPr>
            <w:tcW w:w="3328" w:type="dxa"/>
          </w:tcPr>
          <w:p w:rsidR="008D4617" w:rsidRDefault="008D4617" w:rsidP="008D4617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11n/ac: Mandatory</w:t>
            </w:r>
          </w:p>
          <w:p w:rsidR="008D4617" w:rsidRDefault="008D4617" w:rsidP="008D1A0B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11ax: Mandatory</w:t>
            </w:r>
          </w:p>
        </w:tc>
      </w:tr>
    </w:tbl>
    <w:p w:rsidR="008D4617" w:rsidRDefault="008D4617" w:rsidP="00C835B4">
      <w:pPr>
        <w:rPr>
          <w:lang w:val="en-US" w:eastAsia="ko-KR"/>
        </w:rPr>
      </w:pPr>
      <w:r>
        <w:rPr>
          <w:lang w:val="en-US" w:eastAsia="ko-KR"/>
        </w:rPr>
        <w:br/>
        <w:t>When considering an implement</w:t>
      </w:r>
      <w:r w:rsidR="00B43647">
        <w:rPr>
          <w:lang w:val="en-US" w:eastAsia="ko-KR"/>
        </w:rPr>
        <w:t>at</w:t>
      </w:r>
      <w:r>
        <w:rPr>
          <w:lang w:val="en-US" w:eastAsia="ko-KR"/>
        </w:rPr>
        <w:t xml:space="preserve">ion complexity, we prefer to keep an optional support </w:t>
      </w:r>
      <w:r w:rsidR="001767B5" w:rsidRPr="007D448E">
        <w:rPr>
          <w:lang w:val="en-US" w:eastAsia="ko-KR"/>
        </w:rPr>
        <w:t>of A-MSDU in A-MPDU</w:t>
      </w:r>
      <w:r>
        <w:rPr>
          <w:lang w:val="en-US" w:eastAsia="ko-KR"/>
        </w:rPr>
        <w:t xml:space="preserve">. </w:t>
      </w:r>
    </w:p>
    <w:p w:rsidR="00D551B5" w:rsidRPr="007D448E" w:rsidRDefault="008D4617" w:rsidP="008D1A0B">
      <w:pPr>
        <w:rPr>
          <w:bCs/>
          <w:iCs/>
          <w:lang w:val="en-US" w:eastAsia="ko-KR"/>
        </w:rPr>
      </w:pPr>
      <w:r>
        <w:rPr>
          <w:lang w:val="en-US" w:eastAsia="ko-KR"/>
        </w:rPr>
        <w:t xml:space="preserve">In that sense, our </w:t>
      </w:r>
      <w:r>
        <w:rPr>
          <w:bCs/>
          <w:iCs/>
          <w:lang w:val="en-US" w:eastAsia="ko-KR"/>
        </w:rPr>
        <w:t xml:space="preserve">proposal is to </w:t>
      </w:r>
      <w:r w:rsidR="007D448E">
        <w:rPr>
          <w:bCs/>
          <w:iCs/>
          <w:lang w:val="en-US" w:eastAsia="ko-KR"/>
        </w:rPr>
        <w:t>a</w:t>
      </w:r>
      <w:r w:rsidR="001767B5" w:rsidRPr="007D448E">
        <w:rPr>
          <w:bCs/>
          <w:iCs/>
          <w:lang w:val="en-US" w:eastAsia="ko-KR"/>
        </w:rPr>
        <w:t xml:space="preserve">dd a new A-MSDU </w:t>
      </w:r>
      <w:r>
        <w:rPr>
          <w:bCs/>
          <w:iCs/>
          <w:lang w:val="en-US" w:eastAsia="ko-KR"/>
        </w:rPr>
        <w:t>in A-MPDU Support field</w:t>
      </w:r>
      <w:r w:rsidR="001767B5" w:rsidRPr="007D448E">
        <w:rPr>
          <w:bCs/>
          <w:iCs/>
          <w:lang w:val="en-US" w:eastAsia="ko-KR"/>
        </w:rPr>
        <w:t xml:space="preserve"> in the HE MAC</w:t>
      </w:r>
      <w:r>
        <w:rPr>
          <w:bCs/>
          <w:iCs/>
          <w:lang w:val="en-US" w:eastAsia="ko-KR"/>
        </w:rPr>
        <w:t xml:space="preserve"> </w:t>
      </w:r>
      <w:r w:rsidR="001767B5" w:rsidRPr="007D448E">
        <w:rPr>
          <w:bCs/>
          <w:iCs/>
          <w:lang w:val="en-US" w:eastAsia="ko-KR"/>
        </w:rPr>
        <w:t xml:space="preserve">Capabilities Information field. </w:t>
      </w:r>
    </w:p>
    <w:p w:rsidR="00D551B5" w:rsidRPr="00C835B4" w:rsidRDefault="008D4617" w:rsidP="00C835B4">
      <w:pPr>
        <w:rPr>
          <w:bCs/>
          <w:iCs/>
          <w:lang w:val="en-US" w:eastAsia="ko-KR"/>
        </w:rPr>
      </w:pPr>
      <w:proofErr w:type="gramStart"/>
      <w:r>
        <w:rPr>
          <w:bCs/>
          <w:iCs/>
          <w:lang w:val="en-US" w:eastAsia="ko-KR"/>
        </w:rPr>
        <w:t xml:space="preserve">An </w:t>
      </w:r>
      <w:r w:rsidR="001767B5" w:rsidRPr="00C835B4">
        <w:rPr>
          <w:bCs/>
          <w:iCs/>
          <w:lang w:val="en-US" w:eastAsia="ko-KR"/>
        </w:rPr>
        <w:t>A</w:t>
      </w:r>
      <w:proofErr w:type="gramEnd"/>
      <w:r w:rsidR="001767B5" w:rsidRPr="00C835B4">
        <w:rPr>
          <w:bCs/>
          <w:iCs/>
          <w:lang w:val="en-US" w:eastAsia="ko-KR"/>
        </w:rPr>
        <w:t xml:space="preserve">-MSDU in A-MPDU Support field is set to 1 for indicating that </w:t>
      </w:r>
      <w:proofErr w:type="spellStart"/>
      <w:r>
        <w:rPr>
          <w:bCs/>
          <w:iCs/>
          <w:lang w:val="en-US" w:eastAsia="ko-KR"/>
        </w:rPr>
        <w:t>QoS</w:t>
      </w:r>
      <w:proofErr w:type="spellEnd"/>
      <w:r>
        <w:rPr>
          <w:bCs/>
          <w:iCs/>
          <w:lang w:val="en-US" w:eastAsia="ko-KR"/>
        </w:rPr>
        <w:t xml:space="preserve"> </w:t>
      </w:r>
      <w:r w:rsidR="001767B5" w:rsidRPr="00C835B4">
        <w:rPr>
          <w:bCs/>
          <w:iCs/>
          <w:lang w:val="en-US" w:eastAsia="ko-KR"/>
        </w:rPr>
        <w:t xml:space="preserve">Data frames without HT-immediate block </w:t>
      </w:r>
      <w:proofErr w:type="spellStart"/>
      <w:r w:rsidR="001767B5" w:rsidRPr="00C835B4">
        <w:rPr>
          <w:bCs/>
          <w:iCs/>
          <w:lang w:val="en-US" w:eastAsia="ko-KR"/>
        </w:rPr>
        <w:t>ack</w:t>
      </w:r>
      <w:proofErr w:type="spellEnd"/>
      <w:r w:rsidR="001767B5" w:rsidRPr="00C835B4">
        <w:rPr>
          <w:bCs/>
          <w:iCs/>
          <w:lang w:val="en-US" w:eastAsia="ko-KR"/>
        </w:rPr>
        <w:t xml:space="preserve"> agreement in A-MPDU can carry the A-MSDU. Otherwise it is set to 0. </w:t>
      </w:r>
    </w:p>
    <w:p w:rsidR="00776054" w:rsidRDefault="00776054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EA048A" w:rsidRDefault="00EA048A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EA048A" w:rsidRDefault="00EA048A" w:rsidP="00EA048A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2"/>
          <w:lang w:val="en-US" w:eastAsia="ko-KR"/>
        </w:rPr>
      </w:pPr>
      <w:r>
        <w:rPr>
          <w:rFonts w:ascii="Arial-BoldMT" w:hAnsi="Arial-BoldMT" w:cs="Arial-BoldMT"/>
          <w:b/>
          <w:bCs/>
          <w:szCs w:val="22"/>
          <w:lang w:val="en-US" w:eastAsia="ko-KR"/>
        </w:rPr>
        <w:t xml:space="preserve">9.7.3 </w:t>
      </w:r>
      <w:r w:rsidRPr="00EA048A">
        <w:rPr>
          <w:rFonts w:ascii="Arial-BoldMT" w:hAnsi="Arial-BoldMT" w:cs="Arial-BoldMT"/>
          <w:b/>
          <w:bCs/>
          <w:szCs w:val="22"/>
          <w:lang w:val="en-US" w:eastAsia="ko-KR"/>
        </w:rPr>
        <w:t>A-MPDU contents</w:t>
      </w:r>
    </w:p>
    <w:p w:rsidR="00EA048A" w:rsidRDefault="00EA048A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8D1A0B" w:rsidRDefault="008D1A0B" w:rsidP="008D1A0B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8D1A0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D1A0B">
        <w:rPr>
          <w:b/>
          <w:bCs/>
          <w:i/>
          <w:iCs/>
          <w:highlight w:val="yellow"/>
          <w:lang w:eastAsia="ko-KR"/>
        </w:rPr>
        <w:t xml:space="preserve"> editor: </w:t>
      </w:r>
      <w:r w:rsidRPr="00543190">
        <w:rPr>
          <w:b/>
          <w:bCs/>
          <w:i/>
          <w:iCs/>
          <w:highlight w:val="yellow"/>
          <w:lang w:eastAsia="ko-KR"/>
        </w:rPr>
        <w:t>change Table 9-425 and 9-426 as the following:</w:t>
      </w:r>
    </w:p>
    <w:p w:rsidR="00E83F43" w:rsidRDefault="00E83F43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E83F43" w:rsidRPr="00E83F43" w:rsidRDefault="00E83F43" w:rsidP="00E83F43">
      <w:pPr>
        <w:pStyle w:val="ListParagraph"/>
        <w:ind w:leftChars="0" w:left="0"/>
        <w:jc w:val="center"/>
        <w:rPr>
          <w:b/>
          <w:bCs/>
          <w:iCs/>
          <w:sz w:val="20"/>
          <w:lang w:val="en-US" w:eastAsia="ko-KR"/>
        </w:rPr>
      </w:pPr>
      <w:bookmarkStart w:id="1" w:name="RTF36383035383a205461626c65"/>
      <w:r w:rsidRPr="00E83F43">
        <w:rPr>
          <w:b/>
          <w:sz w:val="20"/>
        </w:rPr>
        <w:t>Table 9-425 A-MPDU contents in the data enabled im</w:t>
      </w:r>
      <w:bookmarkEnd w:id="1"/>
      <w:r w:rsidRPr="00E83F43">
        <w:rPr>
          <w:b/>
          <w:sz w:val="20"/>
        </w:rPr>
        <w:t>mediate response context</w:t>
      </w:r>
      <w:r w:rsidRPr="00E83F43">
        <w:rPr>
          <w:b/>
          <w:sz w:val="20"/>
        </w:rPr>
        <w:fldChar w:fldCharType="begin"/>
      </w:r>
      <w:r w:rsidRPr="00E83F43">
        <w:rPr>
          <w:b/>
          <w:sz w:val="20"/>
        </w:rPr>
        <w:instrText xml:space="preserve"> FILENAME </w:instrText>
      </w:r>
      <w:r w:rsidRPr="00E83F43">
        <w:rPr>
          <w:b/>
          <w:sz w:val="20"/>
        </w:rPr>
        <w:fldChar w:fldCharType="separate"/>
      </w:r>
      <w:r w:rsidRPr="00E83F43">
        <w:rPr>
          <w:b/>
          <w:sz w:val="20"/>
        </w:rPr>
        <w:t> </w:t>
      </w:r>
      <w:r w:rsidRPr="00E83F43">
        <w:rPr>
          <w:b/>
          <w:sz w:val="2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420"/>
        <w:gridCol w:w="3120"/>
        <w:gridCol w:w="3060"/>
      </w:tblGrid>
      <w:tr w:rsidR="00E83F43" w:rsidTr="00E83F43">
        <w:trPr>
          <w:trHeight w:val="440"/>
          <w:jc w:val="center"/>
        </w:trPr>
        <w:tc>
          <w:tcPr>
            <w:tcW w:w="2420" w:type="dxa"/>
            <w:tcBorders>
              <w:bottom w:val="single" w:sz="4" w:space="0" w:color="auto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E83F43" w:rsidRDefault="00E83F43" w:rsidP="00FF1DEE">
            <w:pPr>
              <w:pStyle w:val="CellHeading"/>
            </w:pPr>
            <w:r>
              <w:rPr>
                <w:w w:val="100"/>
              </w:rPr>
              <w:t>MPDU Description</w:t>
            </w:r>
          </w:p>
        </w:tc>
        <w:tc>
          <w:tcPr>
            <w:tcW w:w="6180" w:type="dxa"/>
            <w:gridSpan w:val="2"/>
            <w:tcBorders>
              <w:bottom w:val="single" w:sz="4" w:space="0" w:color="auto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E83F43" w:rsidRDefault="00E83F43" w:rsidP="00FF1DEE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E83F43" w:rsidTr="00E83F43">
        <w:trPr>
          <w:trHeight w:val="440"/>
          <w:jc w:val="center"/>
        </w:trPr>
        <w:tc>
          <w:tcPr>
            <w:tcW w:w="2420" w:type="dxa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E83F43" w:rsidRPr="00E83F43" w:rsidRDefault="00E83F43" w:rsidP="00E83F43">
            <w:pPr>
              <w:pStyle w:val="CellHeading"/>
              <w:rPr>
                <w:w w:val="100"/>
              </w:rPr>
            </w:pPr>
            <w:r w:rsidRPr="00E83F43">
              <w:rPr>
                <w:w w:val="100"/>
              </w:rPr>
              <w:t>..</w:t>
            </w:r>
          </w:p>
        </w:tc>
        <w:tc>
          <w:tcPr>
            <w:tcW w:w="6180" w:type="dxa"/>
            <w:gridSpan w:val="2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E83F43" w:rsidRPr="00E83F43" w:rsidRDefault="00E83F43" w:rsidP="00E83F43">
            <w:pPr>
              <w:pStyle w:val="CellHeading"/>
              <w:rPr>
                <w:w w:val="100"/>
              </w:rPr>
            </w:pPr>
            <w:r w:rsidRPr="00E83F43">
              <w:rPr>
                <w:w w:val="100"/>
              </w:rPr>
              <w:t>…</w:t>
            </w:r>
          </w:p>
        </w:tc>
      </w:tr>
      <w:tr w:rsidR="00D514EF" w:rsidTr="00E83F43">
        <w:trPr>
          <w:trHeight w:val="1120"/>
          <w:jc w:val="center"/>
        </w:trPr>
        <w:tc>
          <w:tcPr>
            <w:tcW w:w="24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514EF" w:rsidRPr="00E83F43" w:rsidRDefault="00D514EF" w:rsidP="00FF1DEE">
            <w:pPr>
              <w:pStyle w:val="CellBody"/>
              <w:rPr>
                <w:strike/>
              </w:rPr>
            </w:pPr>
            <w:r w:rsidRPr="00E83F43">
              <w:rPr>
                <w:w w:val="100"/>
              </w:rPr>
              <w:t xml:space="preserve">Data frames without HT-immediate block </w:t>
            </w:r>
            <w:proofErr w:type="spellStart"/>
            <w:r w:rsidRPr="00E83F43">
              <w:rPr>
                <w:w w:val="100"/>
              </w:rPr>
              <w:t>ack</w:t>
            </w:r>
            <w:proofErr w:type="spellEnd"/>
            <w:r w:rsidRPr="00E83F43">
              <w:rPr>
                <w:w w:val="100"/>
              </w:rPr>
              <w:t xml:space="preserve"> agreement</w:t>
            </w:r>
          </w:p>
        </w:tc>
        <w:tc>
          <w:tcPr>
            <w:tcW w:w="31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514EF" w:rsidRPr="00D514EF" w:rsidRDefault="00D514EF" w:rsidP="00FF1DEE">
            <w:pPr>
              <w:pStyle w:val="CellBody"/>
              <w:rPr>
                <w:w w:val="100"/>
              </w:rPr>
            </w:pPr>
            <w:proofErr w:type="spellStart"/>
            <w:r w:rsidRPr="00D514EF">
              <w:rPr>
                <w:w w:val="100"/>
              </w:rPr>
              <w:t>QoS</w:t>
            </w:r>
            <w:proofErr w:type="spellEnd"/>
            <w:r w:rsidRPr="00D514EF">
              <w:rPr>
                <w:w w:val="100"/>
              </w:rPr>
              <w:t xml:space="preserve"> Data frames with </w:t>
            </w:r>
            <w:r w:rsidRPr="00E83F43">
              <w:rPr>
                <w:strike/>
                <w:w w:val="100"/>
                <w:highlight w:val="yellow"/>
              </w:rPr>
              <w:t>multiple</w:t>
            </w:r>
            <w:r w:rsidRPr="00E83F43">
              <w:rPr>
                <w:w w:val="100"/>
                <w:highlight w:val="yellow"/>
              </w:rPr>
              <w:t xml:space="preserve"> </w:t>
            </w:r>
            <w:r w:rsidRPr="00E83F43">
              <w:rPr>
                <w:w w:val="100"/>
                <w:highlight w:val="yellow"/>
                <w:u w:val="single"/>
              </w:rPr>
              <w:t>one</w:t>
            </w:r>
            <w:r w:rsidR="00B12B50">
              <w:rPr>
                <w:w w:val="100"/>
                <w:highlight w:val="yellow"/>
                <w:u w:val="single"/>
              </w:rPr>
              <w:t xml:space="preserve"> or</w:t>
            </w:r>
            <w:r w:rsidRPr="00E83F43">
              <w:rPr>
                <w:w w:val="100"/>
                <w:highlight w:val="yellow"/>
                <w:u w:val="single"/>
              </w:rPr>
              <w:t xml:space="preserve"> more</w:t>
            </w:r>
            <w:r>
              <w:rPr>
                <w:w w:val="100"/>
              </w:rPr>
              <w:t xml:space="preserve"> </w:t>
            </w:r>
            <w:r w:rsidRPr="00D514EF">
              <w:rPr>
                <w:w w:val="100"/>
              </w:rPr>
              <w:t xml:space="preserve">TIDs which have no HT-immediate block </w:t>
            </w:r>
            <w:proofErr w:type="spellStart"/>
            <w:r w:rsidRPr="00D514EF">
              <w:rPr>
                <w:w w:val="100"/>
              </w:rPr>
              <w:t>ack</w:t>
            </w:r>
            <w:proofErr w:type="spellEnd"/>
            <w:r w:rsidRPr="00D514EF">
              <w:rPr>
                <w:w w:val="100"/>
              </w:rPr>
              <w:t xml:space="preserve"> agreement</w:t>
            </w:r>
          </w:p>
          <w:p w:rsidR="00D514EF" w:rsidRPr="00D514EF" w:rsidRDefault="00D514EF" w:rsidP="00FF1DEE">
            <w:pPr>
              <w:pStyle w:val="CellBody"/>
              <w:rPr>
                <w:w w:val="100"/>
              </w:rPr>
            </w:pPr>
            <w:r w:rsidRPr="00D514EF">
              <w:rPr>
                <w:w w:val="100"/>
              </w:rPr>
              <w:t xml:space="preserve"> </w:t>
            </w:r>
          </w:p>
          <w:p w:rsidR="00D514EF" w:rsidRPr="00D514EF" w:rsidRDefault="00D514EF" w:rsidP="00FF1DEE">
            <w:pPr>
              <w:pStyle w:val="CellBody"/>
              <w:rPr>
                <w:strike/>
              </w:rPr>
            </w:pPr>
            <w:r w:rsidRPr="00D514EF">
              <w:rPr>
                <w:w w:val="100"/>
              </w:rPr>
              <w:t>See NOTE 1.</w:t>
            </w:r>
          </w:p>
        </w:tc>
        <w:tc>
          <w:tcPr>
            <w:tcW w:w="3060" w:type="dxa"/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D514EF" w:rsidRPr="00D514EF" w:rsidRDefault="00E83F43" w:rsidP="00FF1DEE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…</w:t>
            </w:r>
          </w:p>
          <w:p w:rsidR="00D514EF" w:rsidRPr="00E83F43" w:rsidRDefault="00D514EF" w:rsidP="00D514EF">
            <w:pPr>
              <w:pStyle w:val="CellBody"/>
              <w:rPr>
                <w:w w:val="100"/>
              </w:rPr>
            </w:pPr>
            <w:r w:rsidRPr="00D514EF">
              <w:rPr>
                <w:w w:val="100"/>
              </w:rPr>
              <w:t xml:space="preserve">Of these, at most one of the following is </w:t>
            </w:r>
            <w:r w:rsidRPr="00E83F43">
              <w:rPr>
                <w:w w:val="100"/>
              </w:rPr>
              <w:t>present between two HE STAs:</w:t>
            </w:r>
          </w:p>
          <w:p w:rsidR="00D514EF" w:rsidRPr="00E83F43" w:rsidRDefault="00D514EF" w:rsidP="00D514EF">
            <w:pPr>
              <w:pStyle w:val="DL"/>
              <w:numPr>
                <w:ilvl w:val="0"/>
                <w:numId w:val="17"/>
              </w:numPr>
              <w:tabs>
                <w:tab w:val="clear" w:pos="640"/>
                <w:tab w:val="left" w:pos="320"/>
                <w:tab w:val="left" w:pos="600"/>
              </w:tabs>
              <w:suppressAutoHyphens w:val="0"/>
              <w:spacing w:before="40" w:after="40" w:line="220" w:lineRule="atLeast"/>
              <w:ind w:left="320" w:hanging="300"/>
              <w:jc w:val="left"/>
              <w:rPr>
                <w:w w:val="100"/>
                <w:sz w:val="18"/>
                <w:szCs w:val="18"/>
              </w:rPr>
            </w:pPr>
            <w:r w:rsidRPr="00E83F43">
              <w:rPr>
                <w:w w:val="100"/>
                <w:sz w:val="18"/>
                <w:szCs w:val="18"/>
              </w:rPr>
              <w:t>One or</w:t>
            </w:r>
            <w:r w:rsidRPr="00D514EF">
              <w:rPr>
                <w:w w:val="100"/>
                <w:sz w:val="18"/>
                <w:szCs w:val="18"/>
              </w:rPr>
              <w:t xml:space="preserve"> more </w:t>
            </w:r>
            <w:proofErr w:type="spellStart"/>
            <w:r w:rsidRPr="00D514EF">
              <w:rPr>
                <w:w w:val="100"/>
                <w:sz w:val="18"/>
                <w:szCs w:val="18"/>
              </w:rPr>
              <w:t>QoS</w:t>
            </w:r>
            <w:proofErr w:type="spellEnd"/>
            <w:r w:rsidRPr="00D514EF">
              <w:rPr>
                <w:w w:val="100"/>
                <w:sz w:val="18"/>
                <w:szCs w:val="18"/>
              </w:rPr>
              <w:t xml:space="preserve"> Data frames from </w:t>
            </w:r>
            <w:r w:rsidRPr="00E83F43">
              <w:rPr>
                <w:strike/>
                <w:w w:val="100"/>
                <w:sz w:val="18"/>
                <w:szCs w:val="18"/>
                <w:highlight w:val="yellow"/>
              </w:rPr>
              <w:t>multiple</w:t>
            </w:r>
            <w:r w:rsidRPr="00E83F43">
              <w:rPr>
                <w:w w:val="100"/>
                <w:sz w:val="18"/>
                <w:szCs w:val="18"/>
                <w:highlight w:val="yellow"/>
              </w:rPr>
              <w:t xml:space="preserve"> </w:t>
            </w:r>
            <w:r w:rsidRPr="00E83F43">
              <w:rPr>
                <w:w w:val="100"/>
                <w:sz w:val="18"/>
                <w:szCs w:val="18"/>
                <w:highlight w:val="yellow"/>
                <w:u w:val="single"/>
              </w:rPr>
              <w:t>one or more</w:t>
            </w:r>
            <w:r>
              <w:rPr>
                <w:w w:val="100"/>
                <w:sz w:val="18"/>
                <w:szCs w:val="18"/>
              </w:rPr>
              <w:t xml:space="preserve"> </w:t>
            </w:r>
            <w:r w:rsidRPr="00D514EF">
              <w:rPr>
                <w:w w:val="100"/>
                <w:sz w:val="18"/>
                <w:szCs w:val="18"/>
              </w:rPr>
              <w:t xml:space="preserve">TIDs with the </w:t>
            </w:r>
            <w:proofErr w:type="spellStart"/>
            <w:r w:rsidRPr="00D514EF">
              <w:rPr>
                <w:w w:val="100"/>
                <w:sz w:val="18"/>
                <w:szCs w:val="18"/>
              </w:rPr>
              <w:t>Ack</w:t>
            </w:r>
            <w:proofErr w:type="spellEnd"/>
            <w:r w:rsidRPr="00D514EF">
              <w:rPr>
                <w:w w:val="100"/>
                <w:sz w:val="18"/>
                <w:szCs w:val="18"/>
              </w:rPr>
              <w:t xml:space="preserve"> Policy field equal to Implicit Block </w:t>
            </w:r>
            <w:proofErr w:type="spellStart"/>
            <w:r w:rsidRPr="00D514EF">
              <w:rPr>
                <w:w w:val="100"/>
                <w:sz w:val="18"/>
                <w:szCs w:val="18"/>
              </w:rPr>
              <w:t>Ack</w:t>
            </w:r>
            <w:proofErr w:type="spellEnd"/>
            <w:r w:rsidRPr="00D514EF">
              <w:rPr>
                <w:w w:val="100"/>
                <w:sz w:val="18"/>
                <w:szCs w:val="18"/>
              </w:rPr>
              <w:t xml:space="preserve"> Request, HTP </w:t>
            </w:r>
            <w:proofErr w:type="spellStart"/>
            <w:r w:rsidRPr="00D514EF">
              <w:rPr>
                <w:w w:val="100"/>
                <w:sz w:val="18"/>
                <w:szCs w:val="18"/>
              </w:rPr>
              <w:t>Ack</w:t>
            </w:r>
            <w:proofErr w:type="spellEnd"/>
            <w:r w:rsidRPr="00D514EF">
              <w:rPr>
                <w:w w:val="100"/>
                <w:sz w:val="18"/>
                <w:szCs w:val="18"/>
              </w:rPr>
              <w:t xml:space="preserve">(#4723) or </w:t>
            </w:r>
            <w:proofErr w:type="spellStart"/>
            <w:r w:rsidRPr="00D514EF">
              <w:rPr>
                <w:w w:val="100"/>
                <w:sz w:val="18"/>
                <w:szCs w:val="18"/>
              </w:rPr>
              <w:t>Ack</w:t>
            </w:r>
            <w:proofErr w:type="spellEnd"/>
            <w:r w:rsidRPr="00D514EF">
              <w:rPr>
                <w:w w:val="100"/>
                <w:sz w:val="18"/>
                <w:szCs w:val="18"/>
              </w:rPr>
              <w:t xml:space="preserve"> Request (CID 8408, 9678)(#Ed), at most one Action, optional </w:t>
            </w:r>
            <w:proofErr w:type="spellStart"/>
            <w:r w:rsidRPr="00D514EF">
              <w:rPr>
                <w:w w:val="100"/>
                <w:sz w:val="18"/>
                <w:szCs w:val="18"/>
              </w:rPr>
              <w:t>QoS</w:t>
            </w:r>
            <w:proofErr w:type="spellEnd"/>
            <w:r w:rsidRPr="00D514EF">
              <w:rPr>
                <w:w w:val="100"/>
                <w:sz w:val="18"/>
                <w:szCs w:val="18"/>
              </w:rPr>
              <w:t xml:space="preserve"> Null with </w:t>
            </w:r>
            <w:proofErr w:type="spellStart"/>
            <w:r w:rsidRPr="00D514EF">
              <w:rPr>
                <w:w w:val="100"/>
                <w:sz w:val="18"/>
                <w:szCs w:val="18"/>
              </w:rPr>
              <w:t>Ack</w:t>
            </w:r>
            <w:proofErr w:type="spellEnd"/>
            <w:r w:rsidRPr="00D514EF">
              <w:rPr>
                <w:w w:val="100"/>
                <w:sz w:val="18"/>
                <w:szCs w:val="18"/>
              </w:rPr>
              <w:t xml:space="preserve"> Policy set to No </w:t>
            </w:r>
            <w:proofErr w:type="spellStart"/>
            <w:r w:rsidRPr="00D514EF">
              <w:rPr>
                <w:w w:val="100"/>
                <w:sz w:val="18"/>
                <w:szCs w:val="18"/>
              </w:rPr>
              <w:t>Ack</w:t>
            </w:r>
            <w:proofErr w:type="spellEnd"/>
            <w:r w:rsidRPr="00D514EF">
              <w:rPr>
                <w:w w:val="100"/>
                <w:sz w:val="18"/>
                <w:szCs w:val="18"/>
              </w:rPr>
              <w:t xml:space="preserve">, Basic Trigger frame or BSRP Trigger </w:t>
            </w:r>
            <w:r w:rsidRPr="00E83F43">
              <w:rPr>
                <w:w w:val="100"/>
                <w:sz w:val="18"/>
                <w:szCs w:val="18"/>
              </w:rPr>
              <w:lastRenderedPageBreak/>
              <w:t>frame only when AP transmits the A-MPDU</w:t>
            </w:r>
          </w:p>
          <w:p w:rsidR="00D514EF" w:rsidRPr="00D514EF" w:rsidRDefault="00E83F43" w:rsidP="00E83F43">
            <w:pPr>
              <w:pStyle w:val="DL"/>
              <w:tabs>
                <w:tab w:val="clear" w:pos="640"/>
                <w:tab w:val="left" w:pos="320"/>
                <w:tab w:val="left" w:pos="600"/>
              </w:tabs>
              <w:suppressAutoHyphens w:val="0"/>
              <w:spacing w:before="40" w:after="40" w:line="220" w:lineRule="atLeast"/>
              <w:ind w:left="0" w:firstLine="0"/>
              <w:rPr>
                <w:strike/>
                <w:sz w:val="18"/>
                <w:szCs w:val="18"/>
              </w:rPr>
            </w:pPr>
            <w:r w:rsidRPr="00E83F43">
              <w:rPr>
                <w:sz w:val="18"/>
                <w:szCs w:val="18"/>
              </w:rPr>
              <w:t>…</w:t>
            </w:r>
          </w:p>
        </w:tc>
      </w:tr>
    </w:tbl>
    <w:p w:rsidR="00F336C3" w:rsidRDefault="00F336C3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D514EF" w:rsidRDefault="00D514EF" w:rsidP="00D514EF">
      <w:pPr>
        <w:pStyle w:val="ListParagraph"/>
        <w:ind w:leftChars="0" w:left="0"/>
        <w:jc w:val="center"/>
        <w:rPr>
          <w:bCs/>
          <w:iCs/>
          <w:lang w:val="en-US" w:eastAsia="ko-KR"/>
        </w:rPr>
      </w:pPr>
      <w:r>
        <w:rPr>
          <w:b/>
          <w:bCs/>
          <w:sz w:val="20"/>
        </w:rPr>
        <w:t>Table 9-426—A-MPDU contents in the data enabled no immediate response context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300"/>
        <w:gridCol w:w="6240"/>
      </w:tblGrid>
      <w:tr w:rsidR="00D514EF" w:rsidTr="00E83F43">
        <w:trPr>
          <w:trHeight w:val="440"/>
          <w:jc w:val="center"/>
        </w:trPr>
        <w:tc>
          <w:tcPr>
            <w:tcW w:w="2300" w:type="dxa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D514EF" w:rsidRDefault="00D514EF" w:rsidP="00FF1DEE">
            <w:pPr>
              <w:pStyle w:val="CellHeading"/>
            </w:pPr>
            <w:r>
              <w:rPr>
                <w:w w:val="100"/>
              </w:rPr>
              <w:t>MPDU Description</w:t>
            </w:r>
          </w:p>
        </w:tc>
        <w:tc>
          <w:tcPr>
            <w:tcW w:w="6240" w:type="dxa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D514EF" w:rsidRDefault="00D514EF" w:rsidP="00FF1DEE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D514EF" w:rsidTr="00E83F43">
        <w:trPr>
          <w:trHeight w:val="520"/>
          <w:jc w:val="center"/>
        </w:trPr>
        <w:tc>
          <w:tcPr>
            <w:tcW w:w="2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514EF" w:rsidRDefault="00D514EF" w:rsidP="00FF1DEE">
            <w:pPr>
              <w:pStyle w:val="CellBody"/>
            </w:pPr>
            <w:r>
              <w:t>..</w:t>
            </w:r>
          </w:p>
        </w:tc>
        <w:tc>
          <w:tcPr>
            <w:tcW w:w="624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514EF" w:rsidRDefault="00D514EF" w:rsidP="00FF1DEE">
            <w:pPr>
              <w:pStyle w:val="CellBody"/>
            </w:pPr>
            <w:r>
              <w:t>…</w:t>
            </w:r>
          </w:p>
        </w:tc>
      </w:tr>
      <w:tr w:rsidR="00D514EF" w:rsidTr="00E83F43">
        <w:trPr>
          <w:trHeight w:val="720"/>
          <w:jc w:val="center"/>
        </w:trPr>
        <w:tc>
          <w:tcPr>
            <w:tcW w:w="2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514EF" w:rsidRDefault="00D514EF" w:rsidP="00FF1DEE">
            <w:pPr>
              <w:pStyle w:val="CellBody"/>
            </w:pPr>
            <w:r>
              <w:rPr>
                <w:w w:val="100"/>
              </w:rPr>
              <w:t xml:space="preserve">Data without a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</w:t>
            </w:r>
          </w:p>
        </w:tc>
        <w:tc>
          <w:tcPr>
            <w:tcW w:w="624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514EF" w:rsidRDefault="00D514EF" w:rsidP="00FF1DEE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frames with </w:t>
            </w:r>
            <w:r w:rsidRPr="00E83F43">
              <w:rPr>
                <w:strike/>
                <w:w w:val="100"/>
                <w:highlight w:val="yellow"/>
              </w:rPr>
              <w:t xml:space="preserve">a </w:t>
            </w:r>
            <w:r w:rsidRPr="00E83F43">
              <w:rPr>
                <w:w w:val="100"/>
                <w:highlight w:val="yellow"/>
                <w:u w:val="single"/>
              </w:rPr>
              <w:t xml:space="preserve">one or more </w:t>
            </w:r>
            <w:r w:rsidRPr="00030D58">
              <w:rPr>
                <w:w w:val="100"/>
              </w:rPr>
              <w:t>TID</w:t>
            </w:r>
            <w:r>
              <w:rPr>
                <w:w w:val="100"/>
              </w:rPr>
              <w:t xml:space="preserve"> that does not correspond to a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agreement.</w:t>
            </w:r>
          </w:p>
          <w:p w:rsidR="00D514EF" w:rsidRDefault="00D514EF" w:rsidP="00FF1DEE">
            <w:pPr>
              <w:pStyle w:val="CellBody"/>
            </w:pPr>
            <w:r>
              <w:rPr>
                <w:w w:val="100"/>
              </w:rPr>
              <w:t xml:space="preserve">These have the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field equal to No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and the A</w:t>
            </w:r>
            <w:r>
              <w:rPr>
                <w:w w:val="100"/>
              </w:rPr>
              <w:noBreakHyphen/>
              <w:t>MSDU Present subfield equal to 0.</w:t>
            </w:r>
          </w:p>
        </w:tc>
      </w:tr>
      <w:tr w:rsidR="00D514EF" w:rsidTr="00E83F43">
        <w:trPr>
          <w:trHeight w:val="320"/>
          <w:jc w:val="center"/>
        </w:trPr>
        <w:tc>
          <w:tcPr>
            <w:tcW w:w="2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514EF" w:rsidRDefault="00D514EF" w:rsidP="00FF1DEE">
            <w:pPr>
              <w:pStyle w:val="CellBody"/>
            </w:pPr>
            <w:r>
              <w:rPr>
                <w:w w:val="100"/>
              </w:rPr>
              <w:t>…</w:t>
            </w:r>
          </w:p>
        </w:tc>
        <w:tc>
          <w:tcPr>
            <w:tcW w:w="624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514EF" w:rsidRDefault="00D514EF" w:rsidP="00FF1DEE">
            <w:pPr>
              <w:pStyle w:val="CellBody"/>
            </w:pPr>
            <w:r>
              <w:rPr>
                <w:w w:val="100"/>
              </w:rPr>
              <w:t>….</w:t>
            </w:r>
          </w:p>
        </w:tc>
      </w:tr>
    </w:tbl>
    <w:p w:rsidR="00776054" w:rsidRPr="00ED4EAB" w:rsidRDefault="00776054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543190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543190" w:rsidRPr="00745EC3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szCs w:val="22"/>
          <w:lang w:val="en-US" w:eastAsia="ko-KR"/>
        </w:rPr>
      </w:pPr>
      <w:r w:rsidRPr="00745EC3">
        <w:rPr>
          <w:b/>
          <w:bCs/>
          <w:szCs w:val="22"/>
        </w:rPr>
        <w:t>9.4.2.237.2 HE MAC Capabilities Information field</w:t>
      </w:r>
    </w:p>
    <w:p w:rsidR="00EA048A" w:rsidRDefault="00EA048A" w:rsidP="00EA048A">
      <w:pPr>
        <w:pStyle w:val="ListParagraph"/>
        <w:ind w:leftChars="0" w:left="0"/>
        <w:rPr>
          <w:b/>
          <w:bCs/>
          <w:i/>
          <w:iCs/>
          <w:highlight w:val="yellow"/>
          <w:lang w:eastAsia="ko-KR"/>
        </w:rPr>
      </w:pPr>
    </w:p>
    <w:p w:rsidR="00EA048A" w:rsidRDefault="00EA048A" w:rsidP="00EA048A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8D1A0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D1A0B">
        <w:rPr>
          <w:b/>
          <w:bCs/>
          <w:i/>
          <w:iCs/>
          <w:highlight w:val="yellow"/>
          <w:lang w:eastAsia="ko-KR"/>
        </w:rPr>
        <w:t xml:space="preserve"> editor: </w:t>
      </w:r>
      <w:r w:rsidRPr="00543190">
        <w:rPr>
          <w:b/>
          <w:bCs/>
          <w:i/>
          <w:iCs/>
          <w:highlight w:val="yellow"/>
          <w:lang w:eastAsia="ko-KR"/>
        </w:rPr>
        <w:t xml:space="preserve">change </w:t>
      </w:r>
      <w:r>
        <w:rPr>
          <w:b/>
          <w:bCs/>
          <w:i/>
          <w:iCs/>
          <w:highlight w:val="yellow"/>
          <w:lang w:eastAsia="ko-KR"/>
        </w:rPr>
        <w:t xml:space="preserve">Figure 9-589ck and Table 9-262z </w:t>
      </w:r>
      <w:r w:rsidRPr="00543190">
        <w:rPr>
          <w:b/>
          <w:bCs/>
          <w:i/>
          <w:iCs/>
          <w:highlight w:val="yellow"/>
          <w:lang w:eastAsia="ko-KR"/>
        </w:rPr>
        <w:t>as the following:</w:t>
      </w:r>
    </w:p>
    <w:p w:rsidR="00543190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160"/>
        <w:gridCol w:w="1161"/>
        <w:gridCol w:w="1161"/>
        <w:gridCol w:w="1356"/>
        <w:gridCol w:w="966"/>
        <w:gridCol w:w="1554"/>
        <w:gridCol w:w="1080"/>
      </w:tblGrid>
      <w:tr w:rsidR="00EA048A" w:rsidRPr="00EA048A" w:rsidTr="00543190">
        <w:trPr>
          <w:jc w:val="center"/>
        </w:trPr>
        <w:tc>
          <w:tcPr>
            <w:tcW w:w="557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</w:p>
        </w:tc>
        <w:tc>
          <w:tcPr>
            <w:tcW w:w="1160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B33</w:t>
            </w:r>
          </w:p>
        </w:tc>
        <w:tc>
          <w:tcPr>
            <w:tcW w:w="1161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B34</w:t>
            </w:r>
          </w:p>
        </w:tc>
        <w:tc>
          <w:tcPr>
            <w:tcW w:w="1161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B35</w:t>
            </w:r>
          </w:p>
        </w:tc>
        <w:tc>
          <w:tcPr>
            <w:tcW w:w="1356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B36</w:t>
            </w:r>
          </w:p>
        </w:tc>
        <w:tc>
          <w:tcPr>
            <w:tcW w:w="966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B37</w:t>
            </w:r>
          </w:p>
        </w:tc>
        <w:tc>
          <w:tcPr>
            <w:tcW w:w="1554" w:type="dxa"/>
          </w:tcPr>
          <w:p w:rsidR="00543190" w:rsidRPr="00745EC3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highlight w:val="yellow"/>
                <w:lang w:val="en-US" w:eastAsia="ko-KR"/>
              </w:rPr>
            </w:pPr>
            <w:r w:rsidRPr="00745EC3">
              <w:rPr>
                <w:rFonts w:eastAsiaTheme="minorEastAsia"/>
                <w:sz w:val="18"/>
                <w:szCs w:val="18"/>
                <w:highlight w:val="yellow"/>
                <w:lang w:val="en-US" w:eastAsia="ko-KR"/>
              </w:rPr>
              <w:t>B38</w:t>
            </w:r>
          </w:p>
        </w:tc>
        <w:tc>
          <w:tcPr>
            <w:tcW w:w="1080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745EC3">
              <w:rPr>
                <w:rFonts w:eastAsiaTheme="minorEastAsia"/>
                <w:strike/>
                <w:sz w:val="18"/>
                <w:szCs w:val="18"/>
                <w:highlight w:val="yellow"/>
                <w:lang w:val="en-US" w:eastAsia="ko-KR"/>
              </w:rPr>
              <w:t>B38</w:t>
            </w:r>
            <w:r w:rsidRPr="00EA048A">
              <w:rPr>
                <w:rFonts w:eastAsiaTheme="minorEastAsia"/>
                <w:strike/>
                <w:sz w:val="18"/>
                <w:szCs w:val="18"/>
                <w:lang w:val="en-US" w:eastAsia="ko-KR"/>
              </w:rPr>
              <w:t xml:space="preserve"> </w:t>
            </w: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B39</w:t>
            </w:r>
          </w:p>
        </w:tc>
      </w:tr>
      <w:tr w:rsidR="00EA048A" w:rsidRPr="00EA048A" w:rsidTr="00543190">
        <w:trPr>
          <w:jc w:val="center"/>
        </w:trPr>
        <w:tc>
          <w:tcPr>
            <w:tcW w:w="557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</w:p>
        </w:tc>
        <w:tc>
          <w:tcPr>
            <w:tcW w:w="1160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QTP Support</w:t>
            </w:r>
          </w:p>
        </w:tc>
        <w:tc>
          <w:tcPr>
            <w:tcW w:w="1161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BQR Support</w:t>
            </w:r>
          </w:p>
        </w:tc>
        <w:tc>
          <w:tcPr>
            <w:tcW w:w="1161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SR Responder</w:t>
            </w:r>
          </w:p>
        </w:tc>
        <w:tc>
          <w:tcPr>
            <w:tcW w:w="1356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NDP Feedback Report Support</w:t>
            </w:r>
          </w:p>
        </w:tc>
        <w:tc>
          <w:tcPr>
            <w:tcW w:w="966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OPS Support</w:t>
            </w:r>
          </w:p>
        </w:tc>
        <w:tc>
          <w:tcPr>
            <w:tcW w:w="1554" w:type="dxa"/>
          </w:tcPr>
          <w:p w:rsidR="00543190" w:rsidRPr="00745EC3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highlight w:val="yellow"/>
                <w:lang w:val="en-US" w:eastAsia="ko-KR"/>
              </w:rPr>
            </w:pPr>
            <w:r w:rsidRPr="00745EC3">
              <w:rPr>
                <w:bCs/>
                <w:iCs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A-MSDU in </w:t>
            </w:r>
            <w:r w:rsidRPr="00745EC3">
              <w:rPr>
                <w:bCs/>
                <w:iCs/>
                <w:sz w:val="18"/>
                <w:szCs w:val="18"/>
                <w:highlight w:val="yellow"/>
                <w:u w:val="single"/>
                <w:lang w:val="en-US" w:eastAsia="ko-KR"/>
              </w:rPr>
              <w:br/>
              <w:t>A-MPDU Support</w:t>
            </w:r>
          </w:p>
        </w:tc>
        <w:tc>
          <w:tcPr>
            <w:tcW w:w="1080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Reserved</w:t>
            </w:r>
          </w:p>
        </w:tc>
      </w:tr>
      <w:tr w:rsidR="00EA048A" w:rsidRPr="00EA048A" w:rsidTr="00543190">
        <w:trPr>
          <w:jc w:val="center"/>
        </w:trPr>
        <w:tc>
          <w:tcPr>
            <w:tcW w:w="557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Bits:</w:t>
            </w:r>
          </w:p>
        </w:tc>
        <w:tc>
          <w:tcPr>
            <w:tcW w:w="1160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1161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1161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1356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966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1554" w:type="dxa"/>
          </w:tcPr>
          <w:p w:rsidR="00543190" w:rsidRPr="00745EC3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highlight w:val="yellow"/>
                <w:lang w:val="en-US" w:eastAsia="ko-KR"/>
              </w:rPr>
            </w:pPr>
            <w:r w:rsidRPr="00745EC3">
              <w:rPr>
                <w:rFonts w:eastAsiaTheme="minorEastAsia"/>
                <w:sz w:val="18"/>
                <w:szCs w:val="18"/>
                <w:highlight w:val="yellow"/>
                <w:lang w:val="en-US" w:eastAsia="ko-KR"/>
              </w:rPr>
              <w:t>1</w:t>
            </w:r>
          </w:p>
        </w:tc>
        <w:tc>
          <w:tcPr>
            <w:tcW w:w="1080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1</w:t>
            </w:r>
          </w:p>
        </w:tc>
      </w:tr>
    </w:tbl>
    <w:p w:rsidR="00543190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543190" w:rsidRDefault="00543190" w:rsidP="00EA048A">
      <w:pPr>
        <w:autoSpaceDE w:val="0"/>
        <w:autoSpaceDN w:val="0"/>
        <w:adjustRightInd w:val="0"/>
        <w:jc w:val="center"/>
        <w:rPr>
          <w:rFonts w:eastAsiaTheme="minorEastAsia"/>
          <w:color w:val="FF0000"/>
          <w:lang w:val="en-US" w:eastAsia="ko-KR"/>
        </w:rPr>
      </w:pPr>
      <w:r>
        <w:rPr>
          <w:b/>
          <w:bCs/>
          <w:sz w:val="20"/>
        </w:rPr>
        <w:t>Figure 9-589ck—HE MAC Capabilities Information field format</w:t>
      </w:r>
    </w:p>
    <w:p w:rsidR="00543190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EA048A" w:rsidRDefault="00EA048A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543190" w:rsidRDefault="00543190" w:rsidP="00543190">
      <w:pPr>
        <w:autoSpaceDE w:val="0"/>
        <w:autoSpaceDN w:val="0"/>
        <w:adjustRightInd w:val="0"/>
        <w:jc w:val="center"/>
        <w:rPr>
          <w:rFonts w:eastAsiaTheme="minorEastAsia"/>
          <w:color w:val="FF0000"/>
          <w:lang w:val="en-US" w:eastAsia="ko-KR"/>
        </w:rPr>
      </w:pPr>
      <w:r>
        <w:rPr>
          <w:b/>
          <w:bCs/>
          <w:sz w:val="20"/>
        </w:rPr>
        <w:t>Table 9-262z—Subfields of the HE MAC Capabilities Information field</w:t>
      </w:r>
    </w:p>
    <w:p w:rsidR="00543190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3190" w:rsidTr="00543190">
        <w:tc>
          <w:tcPr>
            <w:tcW w:w="3116" w:type="dxa"/>
          </w:tcPr>
          <w:p w:rsidR="00543190" w:rsidRPr="00745EC3" w:rsidRDefault="00543190" w:rsidP="00DA120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18"/>
                <w:szCs w:val="18"/>
                <w:highlight w:val="yellow"/>
                <w:u w:val="single"/>
                <w:lang w:val="en-US" w:eastAsia="ko-KR"/>
              </w:rPr>
            </w:pPr>
            <w:r w:rsidRPr="00745EC3">
              <w:rPr>
                <w:bCs/>
                <w:iCs/>
                <w:sz w:val="18"/>
                <w:szCs w:val="18"/>
                <w:highlight w:val="yellow"/>
                <w:u w:val="single"/>
                <w:lang w:val="en-US" w:eastAsia="ko-KR"/>
              </w:rPr>
              <w:t>A-MSDU in A-MPDU Support</w:t>
            </w:r>
          </w:p>
        </w:tc>
        <w:tc>
          <w:tcPr>
            <w:tcW w:w="3117" w:type="dxa"/>
          </w:tcPr>
          <w:p w:rsidR="00543190" w:rsidRPr="00745EC3" w:rsidRDefault="00543190" w:rsidP="005431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  <w:u w:val="single"/>
              </w:rPr>
            </w:pPr>
            <w:r w:rsidRPr="00745EC3">
              <w:rPr>
                <w:sz w:val="18"/>
                <w:szCs w:val="18"/>
                <w:highlight w:val="yellow"/>
                <w:u w:val="single"/>
              </w:rPr>
              <w:t xml:space="preserve">Indicates support by a STA to receive A-MPDU in which A-MSDU is carried in a </w:t>
            </w:r>
            <w:proofErr w:type="spellStart"/>
            <w:r w:rsidRPr="00745EC3">
              <w:rPr>
                <w:sz w:val="18"/>
                <w:szCs w:val="18"/>
                <w:highlight w:val="yellow"/>
                <w:u w:val="single"/>
              </w:rPr>
              <w:t>QoS</w:t>
            </w:r>
            <w:proofErr w:type="spellEnd"/>
            <w:r w:rsidRPr="00745EC3">
              <w:rPr>
                <w:sz w:val="18"/>
                <w:szCs w:val="18"/>
                <w:highlight w:val="yellow"/>
                <w:u w:val="single"/>
              </w:rPr>
              <w:t xml:space="preserve"> Data frame for which no block </w:t>
            </w:r>
            <w:proofErr w:type="spellStart"/>
            <w:r w:rsidRPr="00745EC3">
              <w:rPr>
                <w:sz w:val="18"/>
                <w:szCs w:val="18"/>
                <w:highlight w:val="yellow"/>
                <w:u w:val="single"/>
              </w:rPr>
              <w:t>ack</w:t>
            </w:r>
            <w:proofErr w:type="spellEnd"/>
            <w:r w:rsidRPr="00745EC3">
              <w:rPr>
                <w:sz w:val="18"/>
                <w:szCs w:val="18"/>
                <w:highlight w:val="yellow"/>
                <w:u w:val="single"/>
              </w:rPr>
              <w:t xml:space="preserve"> agreement exists. </w:t>
            </w:r>
          </w:p>
        </w:tc>
        <w:tc>
          <w:tcPr>
            <w:tcW w:w="3117" w:type="dxa"/>
          </w:tcPr>
          <w:p w:rsidR="00543190" w:rsidRPr="00745EC3" w:rsidRDefault="00543190" w:rsidP="0054319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  <w:u w:val="single"/>
              </w:rPr>
            </w:pPr>
            <w:r w:rsidRPr="00745EC3">
              <w:rPr>
                <w:sz w:val="18"/>
                <w:szCs w:val="18"/>
                <w:highlight w:val="yellow"/>
                <w:u w:val="single"/>
              </w:rPr>
              <w:t xml:space="preserve">Set to 1 when the STA supports reception of this A-MSDU in A-MPDU. </w:t>
            </w:r>
          </w:p>
          <w:p w:rsidR="00543190" w:rsidRPr="00745EC3" w:rsidRDefault="00543190" w:rsidP="0054319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  <w:u w:val="single"/>
              </w:rPr>
            </w:pPr>
            <w:r w:rsidRPr="00745EC3">
              <w:rPr>
                <w:sz w:val="18"/>
                <w:szCs w:val="18"/>
                <w:highlight w:val="yellow"/>
                <w:u w:val="single"/>
              </w:rPr>
              <w:t xml:space="preserve">Set to 0 otherwise. </w:t>
            </w:r>
          </w:p>
        </w:tc>
      </w:tr>
    </w:tbl>
    <w:p w:rsidR="00543190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4477D2" w:rsidRDefault="004477D2" w:rsidP="004477D2">
      <w:pPr>
        <w:pStyle w:val="ListParagraph"/>
        <w:ind w:leftChars="0" w:left="0"/>
        <w:rPr>
          <w:b/>
          <w:bCs/>
          <w:i/>
          <w:iCs/>
          <w:highlight w:val="yellow"/>
          <w:lang w:eastAsia="ko-KR"/>
        </w:rPr>
      </w:pPr>
    </w:p>
    <w:p w:rsidR="004477D2" w:rsidRDefault="004477D2" w:rsidP="004477D2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8D1A0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D1A0B">
        <w:rPr>
          <w:b/>
          <w:bCs/>
          <w:i/>
          <w:iCs/>
          <w:highlight w:val="yellow"/>
          <w:lang w:eastAsia="ko-KR"/>
        </w:rPr>
        <w:t xml:space="preserve"> editor: </w:t>
      </w:r>
      <w:r w:rsidRPr="00543190">
        <w:rPr>
          <w:b/>
          <w:bCs/>
          <w:i/>
          <w:iCs/>
          <w:highlight w:val="yellow"/>
          <w:lang w:eastAsia="ko-KR"/>
        </w:rPr>
        <w:t xml:space="preserve">change </w:t>
      </w:r>
      <w:r>
        <w:rPr>
          <w:b/>
          <w:bCs/>
          <w:i/>
          <w:iCs/>
          <w:highlight w:val="yellow"/>
          <w:lang w:eastAsia="ko-KR"/>
        </w:rPr>
        <w:t xml:space="preserve">sub-clause 10.12 </w:t>
      </w:r>
      <w:r w:rsidRPr="00543190">
        <w:rPr>
          <w:b/>
          <w:bCs/>
          <w:i/>
          <w:iCs/>
          <w:highlight w:val="yellow"/>
          <w:lang w:eastAsia="ko-KR"/>
        </w:rPr>
        <w:t>as the following:</w:t>
      </w:r>
    </w:p>
    <w:p w:rsidR="004477D2" w:rsidRDefault="004477D2" w:rsidP="00DA1207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2"/>
          <w:lang w:val="en-US" w:eastAsia="ko-KR"/>
        </w:rPr>
      </w:pPr>
    </w:p>
    <w:p w:rsidR="00E44CFA" w:rsidRDefault="00543190" w:rsidP="00DA1207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2"/>
          <w:lang w:val="en-US" w:eastAsia="ko-KR"/>
        </w:rPr>
      </w:pPr>
      <w:r>
        <w:rPr>
          <w:rFonts w:ascii="Arial-BoldMT" w:hAnsi="Arial-BoldMT" w:cs="Arial-BoldMT"/>
          <w:b/>
          <w:bCs/>
          <w:szCs w:val="22"/>
          <w:lang w:val="en-US" w:eastAsia="ko-KR"/>
        </w:rPr>
        <w:t>10.12 A-MSDU operation</w:t>
      </w:r>
    </w:p>
    <w:p w:rsidR="00543190" w:rsidRDefault="00543190" w:rsidP="00DA1207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2"/>
          <w:lang w:val="en-US" w:eastAsia="ko-KR"/>
        </w:rPr>
      </w:pPr>
    </w:p>
    <w:p w:rsidR="00543190" w:rsidRDefault="00543190" w:rsidP="0054319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>…</w:t>
      </w:r>
    </w:p>
    <w:p w:rsidR="00543190" w:rsidRPr="00543190" w:rsidRDefault="00543190" w:rsidP="00543190">
      <w:pPr>
        <w:autoSpaceDE w:val="0"/>
        <w:autoSpaceDN w:val="0"/>
        <w:adjustRightInd w:val="0"/>
        <w:rPr>
          <w:rFonts w:eastAsia="TimesNewRomanPSMT"/>
          <w:szCs w:val="22"/>
          <w:lang w:val="en-US" w:eastAsia="ko-KR"/>
        </w:rPr>
      </w:pPr>
      <w:r w:rsidRPr="00543190">
        <w:rPr>
          <w:rFonts w:eastAsia="TimesNewRomanPSMT"/>
          <w:szCs w:val="22"/>
          <w:lang w:val="en-US" w:eastAsia="ko-KR"/>
        </w:rPr>
        <w:t xml:space="preserve">A STA shall support the reception of an A-MSDU, where the A-MSDU is carried in a </w:t>
      </w:r>
      <w:proofErr w:type="spellStart"/>
      <w:r w:rsidRPr="00543190">
        <w:rPr>
          <w:rFonts w:eastAsia="TimesNewRomanPSMT"/>
          <w:szCs w:val="22"/>
          <w:lang w:val="en-US" w:eastAsia="ko-KR"/>
        </w:rPr>
        <w:t>QoS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Data frame with </w:t>
      </w:r>
      <w:proofErr w:type="spellStart"/>
      <w:r w:rsidRPr="00543190">
        <w:rPr>
          <w:rFonts w:eastAsia="TimesNewRomanPSMT"/>
          <w:szCs w:val="22"/>
          <w:lang w:val="en-US" w:eastAsia="ko-KR"/>
        </w:rPr>
        <w:t>Ack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Policy equal to Normal </w:t>
      </w:r>
      <w:proofErr w:type="spellStart"/>
      <w:r w:rsidRPr="00543190">
        <w:rPr>
          <w:rFonts w:eastAsia="TimesNewRomanPSMT"/>
          <w:szCs w:val="22"/>
          <w:lang w:val="en-US" w:eastAsia="ko-KR"/>
        </w:rPr>
        <w:t>Ack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in the following cases:</w:t>
      </w:r>
    </w:p>
    <w:p w:rsidR="00543190" w:rsidRPr="00543190" w:rsidRDefault="00543190" w:rsidP="00543190">
      <w:pPr>
        <w:autoSpaceDE w:val="0"/>
        <w:autoSpaceDN w:val="0"/>
        <w:adjustRightInd w:val="0"/>
        <w:rPr>
          <w:rFonts w:eastAsia="TimesNewRomanPSMT"/>
          <w:szCs w:val="22"/>
          <w:lang w:val="en-US" w:eastAsia="ko-KR"/>
        </w:rPr>
      </w:pPr>
      <w:r w:rsidRPr="00543190">
        <w:rPr>
          <w:rFonts w:eastAsia="TimesNewRomanPSMT"/>
          <w:szCs w:val="22"/>
          <w:lang w:val="en-US" w:eastAsia="ko-KR"/>
        </w:rPr>
        <w:t>— By an HT STA when the A-MSDU is not aggregated within an A-MPDU</w:t>
      </w:r>
    </w:p>
    <w:p w:rsidR="00543190" w:rsidRDefault="00543190" w:rsidP="00543190">
      <w:pPr>
        <w:autoSpaceDE w:val="0"/>
        <w:autoSpaceDN w:val="0"/>
        <w:adjustRightInd w:val="0"/>
        <w:rPr>
          <w:rFonts w:eastAsia="TimesNewRomanPSMT"/>
          <w:szCs w:val="22"/>
          <w:lang w:val="en-US" w:eastAsia="ko-KR"/>
        </w:rPr>
      </w:pPr>
      <w:r w:rsidRPr="00543190">
        <w:rPr>
          <w:rFonts w:eastAsia="TimesNewRomanPSMT"/>
          <w:szCs w:val="22"/>
          <w:lang w:val="en-US" w:eastAsia="ko-KR"/>
        </w:rPr>
        <w:t xml:space="preserve">— By a VHT </w:t>
      </w:r>
      <w:r w:rsidR="00745EC3" w:rsidRPr="00F45775">
        <w:rPr>
          <w:rFonts w:eastAsia="TimesNewRomanPSMT"/>
          <w:szCs w:val="22"/>
          <w:highlight w:val="yellow"/>
          <w:u w:val="single"/>
          <w:lang w:val="en-US" w:eastAsia="ko-KR"/>
        </w:rPr>
        <w:t>or HE</w:t>
      </w:r>
      <w:r w:rsidR="00745EC3">
        <w:rPr>
          <w:rFonts w:eastAsia="TimesNewRomanPSMT"/>
          <w:szCs w:val="22"/>
          <w:lang w:val="en-US" w:eastAsia="ko-KR"/>
        </w:rPr>
        <w:t xml:space="preserve"> </w:t>
      </w:r>
      <w:r w:rsidRPr="00543190">
        <w:rPr>
          <w:rFonts w:eastAsia="TimesNewRomanPSMT"/>
          <w:szCs w:val="22"/>
          <w:lang w:val="en-US" w:eastAsia="ko-KR"/>
        </w:rPr>
        <w:t xml:space="preserve">STA when the A-MSDU is sent as a </w:t>
      </w:r>
      <w:r w:rsidRPr="00F45775">
        <w:rPr>
          <w:rFonts w:eastAsia="TimesNewRomanPSMT"/>
          <w:strike/>
          <w:szCs w:val="22"/>
          <w:highlight w:val="yellow"/>
          <w:lang w:val="en-US" w:eastAsia="ko-KR"/>
        </w:rPr>
        <w:t>VHT single</w:t>
      </w:r>
      <w:r w:rsidRPr="00F45775">
        <w:rPr>
          <w:rFonts w:eastAsia="TimesNewRomanPSMT"/>
          <w:szCs w:val="22"/>
          <w:highlight w:val="yellow"/>
          <w:lang w:val="en-US" w:eastAsia="ko-KR"/>
        </w:rPr>
        <w:t xml:space="preserve"> </w:t>
      </w:r>
      <w:r w:rsidR="00745EC3" w:rsidRPr="00F45775">
        <w:rPr>
          <w:rFonts w:eastAsia="TimesNewRomanPSMT"/>
          <w:szCs w:val="22"/>
          <w:highlight w:val="yellow"/>
          <w:u w:val="single"/>
          <w:lang w:val="en-US" w:eastAsia="ko-KR"/>
        </w:rPr>
        <w:t>S-</w:t>
      </w:r>
      <w:r w:rsidRPr="00543190">
        <w:rPr>
          <w:rFonts w:eastAsia="TimesNewRomanPSMT"/>
          <w:szCs w:val="22"/>
          <w:lang w:val="en-US" w:eastAsia="ko-KR"/>
        </w:rPr>
        <w:t>MPDU</w:t>
      </w:r>
    </w:p>
    <w:p w:rsidR="00543190" w:rsidRPr="00543190" w:rsidRDefault="00543190" w:rsidP="00543190">
      <w:pPr>
        <w:autoSpaceDE w:val="0"/>
        <w:autoSpaceDN w:val="0"/>
        <w:adjustRightInd w:val="0"/>
        <w:rPr>
          <w:rFonts w:eastAsia="TimesNewRomanPSMT"/>
          <w:szCs w:val="22"/>
          <w:lang w:val="en-US" w:eastAsia="ko-KR"/>
        </w:rPr>
      </w:pPr>
    </w:p>
    <w:p w:rsidR="00543190" w:rsidRDefault="00543190" w:rsidP="00543190">
      <w:pPr>
        <w:autoSpaceDE w:val="0"/>
        <w:autoSpaceDN w:val="0"/>
        <w:adjustRightInd w:val="0"/>
        <w:rPr>
          <w:rFonts w:eastAsia="TimesNewRomanPSMT"/>
          <w:szCs w:val="22"/>
          <w:lang w:val="en-US" w:eastAsia="ko-KR"/>
        </w:rPr>
      </w:pPr>
      <w:r w:rsidRPr="00543190">
        <w:rPr>
          <w:rFonts w:eastAsia="TimesNewRomanPSMT"/>
          <w:szCs w:val="22"/>
          <w:lang w:val="en-US" w:eastAsia="ko-KR"/>
        </w:rPr>
        <w:t xml:space="preserve">The use of an A-MSDU carried in a </w:t>
      </w:r>
      <w:proofErr w:type="spellStart"/>
      <w:r w:rsidRPr="00543190">
        <w:rPr>
          <w:rFonts w:eastAsia="TimesNewRomanPSMT"/>
          <w:szCs w:val="22"/>
          <w:lang w:val="en-US" w:eastAsia="ko-KR"/>
        </w:rPr>
        <w:t>QoS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Data frame under a block </w:t>
      </w:r>
      <w:proofErr w:type="spellStart"/>
      <w:r w:rsidRPr="00543190">
        <w:rPr>
          <w:rFonts w:eastAsia="TimesNewRomanPSMT"/>
          <w:szCs w:val="22"/>
          <w:lang w:val="en-US" w:eastAsia="ko-KR"/>
        </w:rPr>
        <w:t>ack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agreement is determined for each block </w:t>
      </w:r>
      <w:proofErr w:type="spellStart"/>
      <w:r w:rsidRPr="00543190">
        <w:rPr>
          <w:rFonts w:eastAsia="TimesNewRomanPSMT"/>
          <w:szCs w:val="22"/>
          <w:lang w:val="en-US" w:eastAsia="ko-KR"/>
        </w:rPr>
        <w:t>ack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agreement. A STA shall not transmit an A-MSDU within a </w:t>
      </w:r>
      <w:proofErr w:type="spellStart"/>
      <w:r w:rsidRPr="00543190">
        <w:rPr>
          <w:rFonts w:eastAsia="TimesNewRomanPSMT"/>
          <w:szCs w:val="22"/>
          <w:lang w:val="en-US" w:eastAsia="ko-KR"/>
        </w:rPr>
        <w:t>QoS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Data frame under a block </w:t>
      </w:r>
      <w:proofErr w:type="spellStart"/>
      <w:r w:rsidRPr="00543190">
        <w:rPr>
          <w:rFonts w:eastAsia="TimesNewRomanPSMT"/>
          <w:szCs w:val="22"/>
          <w:lang w:val="en-US" w:eastAsia="ko-KR"/>
        </w:rPr>
        <w:t>ack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agreement unless the recipient indicates support for A-MSDU by setting the A-MSDU Supported field to 1 in its </w:t>
      </w:r>
      <w:proofErr w:type="spellStart"/>
      <w:r w:rsidRPr="00543190">
        <w:rPr>
          <w:rFonts w:eastAsia="TimesNewRomanPSMT"/>
          <w:szCs w:val="22"/>
          <w:lang w:val="en-US" w:eastAsia="ko-KR"/>
        </w:rPr>
        <w:t>BlockAck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Parameter Set field of the ADDBA Response frame.</w:t>
      </w:r>
    </w:p>
    <w:p w:rsidR="004477D2" w:rsidRDefault="004477D2" w:rsidP="00543190">
      <w:pPr>
        <w:autoSpaceDE w:val="0"/>
        <w:autoSpaceDN w:val="0"/>
        <w:adjustRightInd w:val="0"/>
        <w:rPr>
          <w:rFonts w:eastAsia="TimesNewRomanPSMT"/>
          <w:szCs w:val="22"/>
          <w:lang w:val="en-US" w:eastAsia="ko-KR"/>
        </w:rPr>
      </w:pPr>
    </w:p>
    <w:p w:rsidR="004477D2" w:rsidRPr="00745EC3" w:rsidRDefault="004477D2" w:rsidP="00543190">
      <w:pPr>
        <w:autoSpaceDE w:val="0"/>
        <w:autoSpaceDN w:val="0"/>
        <w:adjustRightInd w:val="0"/>
        <w:rPr>
          <w:rFonts w:eastAsia="TimesNewRomanPSMT"/>
          <w:szCs w:val="22"/>
          <w:u w:val="single"/>
          <w:lang w:val="en-US" w:eastAsia="ko-KR"/>
        </w:rPr>
      </w:pPr>
      <w:proofErr w:type="spellStart"/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lastRenderedPageBreak/>
        <w:t>An</w:t>
      </w:r>
      <w:proofErr w:type="spellEnd"/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t xml:space="preserve"> HE STA shall not transmit an A-MSDU that is carried in a </w:t>
      </w:r>
      <w:proofErr w:type="spellStart"/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t>QoS</w:t>
      </w:r>
      <w:proofErr w:type="spellEnd"/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t xml:space="preserve"> Data frame for which no block </w:t>
      </w:r>
      <w:proofErr w:type="spellStart"/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t>ack</w:t>
      </w:r>
      <w:proofErr w:type="spellEnd"/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t xml:space="preserve"> agreement exists and that is part of A-MPDU unless the recipient indicates support for A-MSDU by setting the A-MSDU in A-MPDU Supported field to 1 in its HE MAC Capabilities Information field of the HE Capabilities element.</w:t>
      </w:r>
    </w:p>
    <w:p w:rsidR="00E44CFA" w:rsidRDefault="00E44CFA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4477D2" w:rsidRDefault="004477D2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E44CFA" w:rsidRDefault="00E44CFA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E44CFA" w:rsidRDefault="00E44CFA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E44CFA" w:rsidRDefault="00E44CFA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E44CFA" w:rsidRPr="00ED4EAB" w:rsidRDefault="00E44CFA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sectPr w:rsidR="00E44CFA" w:rsidRPr="00ED4EAB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1C" w:rsidRDefault="0028571C">
      <w:r>
        <w:separator/>
      </w:r>
    </w:p>
  </w:endnote>
  <w:endnote w:type="continuationSeparator" w:id="0">
    <w:p w:rsidR="0028571C" w:rsidRDefault="0028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28571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A7246">
      <w:t>Submission</w:t>
    </w:r>
    <w:r>
      <w:fldChar w:fldCharType="end"/>
    </w:r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4161CD">
      <w:rPr>
        <w:noProof/>
      </w:rPr>
      <w:t>6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Yongho Seok</w:t>
    </w:r>
    <w:r w:rsidR="00BA7246">
      <w:t xml:space="preserve">, </w:t>
    </w:r>
    <w:proofErr w:type="spellStart"/>
    <w:r w:rsidR="00BA7246">
      <w:t>MediaTek</w:t>
    </w:r>
    <w:proofErr w:type="spellEnd"/>
    <w:r w:rsidR="00BA7246">
      <w:t xml:space="preserve"> Inc.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1C" w:rsidRDefault="0028571C">
      <w:r>
        <w:separator/>
      </w:r>
    </w:p>
  </w:footnote>
  <w:footnote w:type="continuationSeparator" w:id="0">
    <w:p w:rsidR="0028571C" w:rsidRDefault="0028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21411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September </w:t>
    </w:r>
    <w:r w:rsidR="00BA7246">
      <w:rPr>
        <w:rFonts w:hint="eastAsia"/>
        <w:lang w:eastAsia="ko-KR"/>
      </w:rPr>
      <w:t>2017</w:t>
    </w:r>
    <w:r w:rsidR="00BA7246">
      <w:tab/>
    </w:r>
    <w:r w:rsidR="00BA7246">
      <w:tab/>
    </w:r>
    <w:r w:rsidR="0028571C">
      <w:fldChar w:fldCharType="begin"/>
    </w:r>
    <w:r w:rsidR="0028571C">
      <w:instrText xml:space="preserve"> TITLE  \* MERGEFORMAT </w:instrText>
    </w:r>
    <w:r w:rsidR="0028571C">
      <w:fldChar w:fldCharType="separate"/>
    </w:r>
    <w:r w:rsidR="00BA7246">
      <w:t>doc.: IEEE 802.11-1</w:t>
    </w:r>
    <w:r w:rsidR="00BA7246">
      <w:rPr>
        <w:rFonts w:hint="eastAsia"/>
        <w:lang w:eastAsia="ko-KR"/>
      </w:rPr>
      <w:t>7</w:t>
    </w:r>
    <w:r w:rsidR="00BA7246">
      <w:t>/</w:t>
    </w:r>
    <w:r w:rsidR="00E93A0E">
      <w:t>1271</w:t>
    </w:r>
    <w:r w:rsidR="00BA7246">
      <w:t>r</w:t>
    </w:r>
    <w:r w:rsidR="0028571C">
      <w:fldChar w:fldCharType="end"/>
    </w:r>
    <w:r w:rsidR="00BA724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2781180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D87C33"/>
    <w:multiLevelType w:val="hybridMultilevel"/>
    <w:tmpl w:val="4E20A060"/>
    <w:lvl w:ilvl="0" w:tplc="D5B66176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DC2996"/>
    <w:multiLevelType w:val="hybridMultilevel"/>
    <w:tmpl w:val="2294C9A4"/>
    <w:lvl w:ilvl="0" w:tplc="4B8245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0FDA0">
      <w:start w:val="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6B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0D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4EC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8C9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2CF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69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A0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207B"/>
    <w:multiLevelType w:val="hybridMultilevel"/>
    <w:tmpl w:val="9306BFBE"/>
    <w:lvl w:ilvl="0" w:tplc="80CA5D6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93F5B"/>
    <w:multiLevelType w:val="hybridMultilevel"/>
    <w:tmpl w:val="AFA0FA94"/>
    <w:lvl w:ilvl="0" w:tplc="BE5A3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84AD6">
      <w:start w:val="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C63F0">
      <w:start w:val="9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CB4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EC1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FC7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C1A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00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06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C4FCA"/>
    <w:multiLevelType w:val="hybridMultilevel"/>
    <w:tmpl w:val="796C89C6"/>
    <w:lvl w:ilvl="0" w:tplc="03563D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2AD8C">
      <w:start w:val="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A2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83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86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CD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E94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2B7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42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51F5173"/>
    <w:multiLevelType w:val="hybridMultilevel"/>
    <w:tmpl w:val="E132D3B6"/>
    <w:lvl w:ilvl="0" w:tplc="71286580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778A6B32">
      <w:start w:val="96"/>
      <w:numFmt w:val="bullet"/>
      <w:lvlText w:val="–"/>
      <w:lvlJc w:val="left"/>
      <w:pPr>
        <w:tabs>
          <w:tab w:val="num" w:pos="1280"/>
        </w:tabs>
        <w:ind w:left="1280" w:hanging="360"/>
      </w:pPr>
      <w:rPr>
        <w:rFonts w:ascii="Arial" w:hAnsi="Arial" w:hint="default"/>
      </w:rPr>
    </w:lvl>
    <w:lvl w:ilvl="2" w:tplc="BF826BCA">
      <w:start w:val="96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9A74C62C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0DCA5DE4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87B25596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C20A87AA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19D2EB9C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67B27436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5672192E"/>
    <w:multiLevelType w:val="hybridMultilevel"/>
    <w:tmpl w:val="B4BE7F62"/>
    <w:lvl w:ilvl="0" w:tplc="969EC54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0CA3"/>
    <w:multiLevelType w:val="hybridMultilevel"/>
    <w:tmpl w:val="DF7668FE"/>
    <w:lvl w:ilvl="0" w:tplc="4AEA4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00262E">
      <w:start w:val="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4BB2C">
      <w:start w:val="9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866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0AE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8F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01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CE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6058F1"/>
    <w:multiLevelType w:val="hybridMultilevel"/>
    <w:tmpl w:val="A9BC0ED4"/>
    <w:lvl w:ilvl="0" w:tplc="53822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66A1C">
      <w:start w:val="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47C06">
      <w:start w:val="9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E0392">
      <w:start w:val="9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CD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26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0AF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8F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EA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014CD"/>
    <w:multiLevelType w:val="hybridMultilevel"/>
    <w:tmpl w:val="83024F1C"/>
    <w:lvl w:ilvl="0" w:tplc="39640F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8E141C">
      <w:start w:val="9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90C1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6A66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07611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026D2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7E217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26252A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53403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4"/>
  </w:num>
  <w:num w:numId="11">
    <w:abstractNumId w:val="16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15"/>
  </w:num>
  <w:num w:numId="23">
    <w:abstractNumId w:val="18"/>
  </w:num>
  <w:num w:numId="24">
    <w:abstractNumId w:val="9"/>
  </w:num>
  <w:num w:numId="25">
    <w:abstractNumId w:val="17"/>
  </w:num>
  <w:num w:numId="26">
    <w:abstractNumId w:val="8"/>
  </w:num>
  <w:num w:numId="2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D58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2670"/>
    <w:rsid w:val="0006543A"/>
    <w:rsid w:val="00065ADC"/>
    <w:rsid w:val="00066648"/>
    <w:rsid w:val="000668A4"/>
    <w:rsid w:val="000668F0"/>
    <w:rsid w:val="0006732A"/>
    <w:rsid w:val="00070E86"/>
    <w:rsid w:val="00072C05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2FD6"/>
    <w:rsid w:val="001332EF"/>
    <w:rsid w:val="001333F3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564"/>
    <w:rsid w:val="00146B04"/>
    <w:rsid w:val="001475DA"/>
    <w:rsid w:val="001476F0"/>
    <w:rsid w:val="00151BBE"/>
    <w:rsid w:val="001534DB"/>
    <w:rsid w:val="00154B26"/>
    <w:rsid w:val="00155285"/>
    <w:rsid w:val="001559BB"/>
    <w:rsid w:val="00157985"/>
    <w:rsid w:val="00160189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7B5"/>
    <w:rsid w:val="00176AEC"/>
    <w:rsid w:val="00176EBF"/>
    <w:rsid w:val="00180366"/>
    <w:rsid w:val="001812B0"/>
    <w:rsid w:val="00181423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22B"/>
    <w:rsid w:val="001B63BC"/>
    <w:rsid w:val="001B6F1D"/>
    <w:rsid w:val="001B6F32"/>
    <w:rsid w:val="001B7206"/>
    <w:rsid w:val="001C0D36"/>
    <w:rsid w:val="001C2A32"/>
    <w:rsid w:val="001C2D82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07FB"/>
    <w:rsid w:val="0025206F"/>
    <w:rsid w:val="00252D47"/>
    <w:rsid w:val="0025341B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571C"/>
    <w:rsid w:val="00286AAE"/>
    <w:rsid w:val="00286B6A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112D"/>
    <w:rsid w:val="002C239F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0B"/>
    <w:rsid w:val="00333B45"/>
    <w:rsid w:val="00334D18"/>
    <w:rsid w:val="0033730B"/>
    <w:rsid w:val="00337883"/>
    <w:rsid w:val="0034017F"/>
    <w:rsid w:val="003402BE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20E"/>
    <w:rsid w:val="00353A5C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789"/>
    <w:rsid w:val="003F3E6E"/>
    <w:rsid w:val="003F4F60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61CD"/>
    <w:rsid w:val="0041784B"/>
    <w:rsid w:val="004178D0"/>
    <w:rsid w:val="00417F37"/>
    <w:rsid w:val="004201B4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477D2"/>
    <w:rsid w:val="00450015"/>
    <w:rsid w:val="00450026"/>
    <w:rsid w:val="0045014E"/>
    <w:rsid w:val="004507E7"/>
    <w:rsid w:val="00450CC0"/>
    <w:rsid w:val="004521A1"/>
    <w:rsid w:val="00453193"/>
    <w:rsid w:val="00454BFF"/>
    <w:rsid w:val="00457028"/>
    <w:rsid w:val="00457FA3"/>
    <w:rsid w:val="00460A83"/>
    <w:rsid w:val="00462172"/>
    <w:rsid w:val="0046344D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3852"/>
    <w:rsid w:val="00475A71"/>
    <w:rsid w:val="00476B5F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7F3B"/>
    <w:rsid w:val="004B15DF"/>
    <w:rsid w:val="004B17D5"/>
    <w:rsid w:val="004B3561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2AAF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190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29FA"/>
    <w:rsid w:val="00583212"/>
    <w:rsid w:val="005843C7"/>
    <w:rsid w:val="00585D8F"/>
    <w:rsid w:val="00586072"/>
    <w:rsid w:val="0058644C"/>
    <w:rsid w:val="0058745C"/>
    <w:rsid w:val="00587F10"/>
    <w:rsid w:val="00591351"/>
    <w:rsid w:val="00591EC7"/>
    <w:rsid w:val="00592BE9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3BF7"/>
    <w:rsid w:val="006548B7"/>
    <w:rsid w:val="00654B3B"/>
    <w:rsid w:val="00654CE7"/>
    <w:rsid w:val="00656882"/>
    <w:rsid w:val="0065781C"/>
    <w:rsid w:val="00657DBD"/>
    <w:rsid w:val="006601AB"/>
    <w:rsid w:val="0066185D"/>
    <w:rsid w:val="00662292"/>
    <w:rsid w:val="00662343"/>
    <w:rsid w:val="00662637"/>
    <w:rsid w:val="00662AB2"/>
    <w:rsid w:val="0066311D"/>
    <w:rsid w:val="0066483B"/>
    <w:rsid w:val="0066569E"/>
    <w:rsid w:val="0067069C"/>
    <w:rsid w:val="00671356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7476"/>
    <w:rsid w:val="0069038E"/>
    <w:rsid w:val="006905F2"/>
    <w:rsid w:val="00693202"/>
    <w:rsid w:val="00693F63"/>
    <w:rsid w:val="0069539F"/>
    <w:rsid w:val="006976B8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E0731"/>
    <w:rsid w:val="006E0B7C"/>
    <w:rsid w:val="006E1349"/>
    <w:rsid w:val="006E181A"/>
    <w:rsid w:val="006E2D44"/>
    <w:rsid w:val="006F188E"/>
    <w:rsid w:val="006F3DD4"/>
    <w:rsid w:val="006F5A1E"/>
    <w:rsid w:val="006F5C20"/>
    <w:rsid w:val="006F5CEF"/>
    <w:rsid w:val="007008A3"/>
    <w:rsid w:val="00703C6E"/>
    <w:rsid w:val="00703CD9"/>
    <w:rsid w:val="00704BF2"/>
    <w:rsid w:val="00706F78"/>
    <w:rsid w:val="0070733E"/>
    <w:rsid w:val="00710BC5"/>
    <w:rsid w:val="00711E05"/>
    <w:rsid w:val="007137D7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1D75"/>
    <w:rsid w:val="0074293A"/>
    <w:rsid w:val="007455EC"/>
    <w:rsid w:val="0074579F"/>
    <w:rsid w:val="00745852"/>
    <w:rsid w:val="00745EC3"/>
    <w:rsid w:val="0074621F"/>
    <w:rsid w:val="007463A1"/>
    <w:rsid w:val="007463FB"/>
    <w:rsid w:val="007467C4"/>
    <w:rsid w:val="00747A58"/>
    <w:rsid w:val="007513CD"/>
    <w:rsid w:val="00751F59"/>
    <w:rsid w:val="00753F20"/>
    <w:rsid w:val="0075544F"/>
    <w:rsid w:val="00756932"/>
    <w:rsid w:val="00756A2F"/>
    <w:rsid w:val="007578B7"/>
    <w:rsid w:val="0076063E"/>
    <w:rsid w:val="007610C4"/>
    <w:rsid w:val="0076196C"/>
    <w:rsid w:val="007646A9"/>
    <w:rsid w:val="007647B5"/>
    <w:rsid w:val="00765BBE"/>
    <w:rsid w:val="0076623B"/>
    <w:rsid w:val="00766B1A"/>
    <w:rsid w:val="00766DFE"/>
    <w:rsid w:val="00772569"/>
    <w:rsid w:val="00774236"/>
    <w:rsid w:val="00776054"/>
    <w:rsid w:val="00780F0D"/>
    <w:rsid w:val="007824A6"/>
    <w:rsid w:val="007829BC"/>
    <w:rsid w:val="00783790"/>
    <w:rsid w:val="00785977"/>
    <w:rsid w:val="00786A15"/>
    <w:rsid w:val="00787718"/>
    <w:rsid w:val="00790BDE"/>
    <w:rsid w:val="007914E4"/>
    <w:rsid w:val="007914F3"/>
    <w:rsid w:val="007926D8"/>
    <w:rsid w:val="007929B8"/>
    <w:rsid w:val="00792E37"/>
    <w:rsid w:val="0079494C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3D37"/>
    <w:rsid w:val="007D448E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F81"/>
    <w:rsid w:val="007F1E75"/>
    <w:rsid w:val="007F2366"/>
    <w:rsid w:val="007F4FFE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4D1A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4FD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1A0B"/>
    <w:rsid w:val="008D22F2"/>
    <w:rsid w:val="008D30A5"/>
    <w:rsid w:val="008D4617"/>
    <w:rsid w:val="008D4D5A"/>
    <w:rsid w:val="008D71CE"/>
    <w:rsid w:val="008E041E"/>
    <w:rsid w:val="008E0E94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4AA7"/>
    <w:rsid w:val="00905A7F"/>
    <w:rsid w:val="00905A93"/>
    <w:rsid w:val="00905F9F"/>
    <w:rsid w:val="00906F9C"/>
    <w:rsid w:val="00910F8F"/>
    <w:rsid w:val="0091118D"/>
    <w:rsid w:val="0091446E"/>
    <w:rsid w:val="00914648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4F4D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64B6"/>
    <w:rsid w:val="00957AE2"/>
    <w:rsid w:val="00957E82"/>
    <w:rsid w:val="00961783"/>
    <w:rsid w:val="00961912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49F6"/>
    <w:rsid w:val="009B56FD"/>
    <w:rsid w:val="009C119A"/>
    <w:rsid w:val="009C1B98"/>
    <w:rsid w:val="009C30AA"/>
    <w:rsid w:val="009C3126"/>
    <w:rsid w:val="009C43D1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D68"/>
    <w:rsid w:val="009D6589"/>
    <w:rsid w:val="009D7230"/>
    <w:rsid w:val="009E057D"/>
    <w:rsid w:val="009E2785"/>
    <w:rsid w:val="009E496D"/>
    <w:rsid w:val="009E4FA1"/>
    <w:rsid w:val="009E5026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3C5F"/>
    <w:rsid w:val="00A049E2"/>
    <w:rsid w:val="00A04CAB"/>
    <w:rsid w:val="00A0553A"/>
    <w:rsid w:val="00A07C98"/>
    <w:rsid w:val="00A1103A"/>
    <w:rsid w:val="00A126B1"/>
    <w:rsid w:val="00A1270C"/>
    <w:rsid w:val="00A1344B"/>
    <w:rsid w:val="00A16125"/>
    <w:rsid w:val="00A174ED"/>
    <w:rsid w:val="00A17569"/>
    <w:rsid w:val="00A20185"/>
    <w:rsid w:val="00A219E7"/>
    <w:rsid w:val="00A2417A"/>
    <w:rsid w:val="00A24D41"/>
    <w:rsid w:val="00A26D8D"/>
    <w:rsid w:val="00A27729"/>
    <w:rsid w:val="00A32FDD"/>
    <w:rsid w:val="00A353F5"/>
    <w:rsid w:val="00A37373"/>
    <w:rsid w:val="00A37C57"/>
    <w:rsid w:val="00A40884"/>
    <w:rsid w:val="00A40C32"/>
    <w:rsid w:val="00A413C1"/>
    <w:rsid w:val="00A43B6B"/>
    <w:rsid w:val="00A441A4"/>
    <w:rsid w:val="00A45C45"/>
    <w:rsid w:val="00A45C7E"/>
    <w:rsid w:val="00A46329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5E8E"/>
    <w:rsid w:val="00A763B2"/>
    <w:rsid w:val="00A77111"/>
    <w:rsid w:val="00A82B85"/>
    <w:rsid w:val="00A844CE"/>
    <w:rsid w:val="00A84A33"/>
    <w:rsid w:val="00A850CD"/>
    <w:rsid w:val="00A8578E"/>
    <w:rsid w:val="00A85DD4"/>
    <w:rsid w:val="00A90385"/>
    <w:rsid w:val="00A91053"/>
    <w:rsid w:val="00A9177A"/>
    <w:rsid w:val="00A91EAA"/>
    <w:rsid w:val="00A9264B"/>
    <w:rsid w:val="00A943C4"/>
    <w:rsid w:val="00A9678A"/>
    <w:rsid w:val="00A96DCC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E07"/>
    <w:rsid w:val="00AB17F6"/>
    <w:rsid w:val="00AB1856"/>
    <w:rsid w:val="00AB296B"/>
    <w:rsid w:val="00AB328B"/>
    <w:rsid w:val="00AB35A8"/>
    <w:rsid w:val="00AB456C"/>
    <w:rsid w:val="00AB7031"/>
    <w:rsid w:val="00AC002C"/>
    <w:rsid w:val="00AC1B46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229A"/>
    <w:rsid w:val="00AE2498"/>
    <w:rsid w:val="00AE2D6F"/>
    <w:rsid w:val="00AE2E0C"/>
    <w:rsid w:val="00AE3BB3"/>
    <w:rsid w:val="00AE4840"/>
    <w:rsid w:val="00AE5963"/>
    <w:rsid w:val="00AF11F1"/>
    <w:rsid w:val="00AF3A73"/>
    <w:rsid w:val="00AF59CD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1981"/>
    <w:rsid w:val="00B12B50"/>
    <w:rsid w:val="00B13D7F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F9D"/>
    <w:rsid w:val="00B24659"/>
    <w:rsid w:val="00B27D97"/>
    <w:rsid w:val="00B3231D"/>
    <w:rsid w:val="00B32B5E"/>
    <w:rsid w:val="00B33A15"/>
    <w:rsid w:val="00B344F8"/>
    <w:rsid w:val="00B35539"/>
    <w:rsid w:val="00B359BA"/>
    <w:rsid w:val="00B4050B"/>
    <w:rsid w:val="00B43647"/>
    <w:rsid w:val="00B4367B"/>
    <w:rsid w:val="00B43790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2A6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7ED"/>
    <w:rsid w:val="00BE1875"/>
    <w:rsid w:val="00BE1C1A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605B"/>
    <w:rsid w:val="00BF6848"/>
    <w:rsid w:val="00C00D18"/>
    <w:rsid w:val="00C01550"/>
    <w:rsid w:val="00C0193F"/>
    <w:rsid w:val="00C027B7"/>
    <w:rsid w:val="00C03B8D"/>
    <w:rsid w:val="00C04532"/>
    <w:rsid w:val="00C06D1A"/>
    <w:rsid w:val="00C07416"/>
    <w:rsid w:val="00C078F3"/>
    <w:rsid w:val="00C1034F"/>
    <w:rsid w:val="00C1178F"/>
    <w:rsid w:val="00C124C0"/>
    <w:rsid w:val="00C1356B"/>
    <w:rsid w:val="00C13E5A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35B4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4F2F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3DDC"/>
    <w:rsid w:val="00CE431C"/>
    <w:rsid w:val="00CE4DEB"/>
    <w:rsid w:val="00CE55EC"/>
    <w:rsid w:val="00CE5942"/>
    <w:rsid w:val="00CE63EE"/>
    <w:rsid w:val="00CE6DDC"/>
    <w:rsid w:val="00CF0ABA"/>
    <w:rsid w:val="00CF16FB"/>
    <w:rsid w:val="00CF2295"/>
    <w:rsid w:val="00CF2532"/>
    <w:rsid w:val="00CF33AC"/>
    <w:rsid w:val="00CF349D"/>
    <w:rsid w:val="00CF3BDE"/>
    <w:rsid w:val="00CF4FE1"/>
    <w:rsid w:val="00CF56C6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3FD7"/>
    <w:rsid w:val="00D45EA6"/>
    <w:rsid w:val="00D4623C"/>
    <w:rsid w:val="00D50D09"/>
    <w:rsid w:val="00D50D9B"/>
    <w:rsid w:val="00D514EF"/>
    <w:rsid w:val="00D5337E"/>
    <w:rsid w:val="00D5432B"/>
    <w:rsid w:val="00D5494D"/>
    <w:rsid w:val="00D551B5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1207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3427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CFA"/>
    <w:rsid w:val="00E44E0B"/>
    <w:rsid w:val="00E46055"/>
    <w:rsid w:val="00E52B1D"/>
    <w:rsid w:val="00E53C1B"/>
    <w:rsid w:val="00E544BE"/>
    <w:rsid w:val="00E54D26"/>
    <w:rsid w:val="00E55A03"/>
    <w:rsid w:val="00E55DBF"/>
    <w:rsid w:val="00E56075"/>
    <w:rsid w:val="00E5708C"/>
    <w:rsid w:val="00E6015D"/>
    <w:rsid w:val="00E610D6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40A5"/>
    <w:rsid w:val="00E7429F"/>
    <w:rsid w:val="00E74E87"/>
    <w:rsid w:val="00E76F5A"/>
    <w:rsid w:val="00E772DB"/>
    <w:rsid w:val="00E7740B"/>
    <w:rsid w:val="00E80182"/>
    <w:rsid w:val="00E8027B"/>
    <w:rsid w:val="00E81437"/>
    <w:rsid w:val="00E839F1"/>
    <w:rsid w:val="00E83F43"/>
    <w:rsid w:val="00E841C2"/>
    <w:rsid w:val="00E873C2"/>
    <w:rsid w:val="00E874AD"/>
    <w:rsid w:val="00E87FD6"/>
    <w:rsid w:val="00E91460"/>
    <w:rsid w:val="00E91A99"/>
    <w:rsid w:val="00E93A0E"/>
    <w:rsid w:val="00E9535F"/>
    <w:rsid w:val="00E955A3"/>
    <w:rsid w:val="00E970A2"/>
    <w:rsid w:val="00E97A06"/>
    <w:rsid w:val="00EA048A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401B"/>
    <w:rsid w:val="00F042D5"/>
    <w:rsid w:val="00F04FF6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243B"/>
    <w:rsid w:val="00F22531"/>
    <w:rsid w:val="00F22D8C"/>
    <w:rsid w:val="00F231EE"/>
    <w:rsid w:val="00F2321E"/>
    <w:rsid w:val="00F2445F"/>
    <w:rsid w:val="00F2561F"/>
    <w:rsid w:val="00F26006"/>
    <w:rsid w:val="00F2637D"/>
    <w:rsid w:val="00F27ADC"/>
    <w:rsid w:val="00F30AB8"/>
    <w:rsid w:val="00F31F66"/>
    <w:rsid w:val="00F336C3"/>
    <w:rsid w:val="00F342FD"/>
    <w:rsid w:val="00F34E9E"/>
    <w:rsid w:val="00F36B71"/>
    <w:rsid w:val="00F37788"/>
    <w:rsid w:val="00F41684"/>
    <w:rsid w:val="00F44755"/>
    <w:rsid w:val="00F455E0"/>
    <w:rsid w:val="00F45775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F1E"/>
    <w:rsid w:val="00F727CB"/>
    <w:rsid w:val="00F75211"/>
    <w:rsid w:val="00F76674"/>
    <w:rsid w:val="00F76C88"/>
    <w:rsid w:val="00F77ABA"/>
    <w:rsid w:val="00F808C5"/>
    <w:rsid w:val="00F832E1"/>
    <w:rsid w:val="00F85369"/>
    <w:rsid w:val="00F9051A"/>
    <w:rsid w:val="00F90DF1"/>
    <w:rsid w:val="00F93DC9"/>
    <w:rsid w:val="00F94872"/>
    <w:rsid w:val="00F95A9C"/>
    <w:rsid w:val="00F95B94"/>
    <w:rsid w:val="00F95FC2"/>
    <w:rsid w:val="00F967E0"/>
    <w:rsid w:val="00F96A6A"/>
    <w:rsid w:val="00FA089B"/>
    <w:rsid w:val="00FA3243"/>
    <w:rsid w:val="00FA57AD"/>
    <w:rsid w:val="00FA5D88"/>
    <w:rsid w:val="00FA61E5"/>
    <w:rsid w:val="00FA69AE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D0267"/>
    <w:rsid w:val="00FD08E4"/>
    <w:rsid w:val="00FD11E7"/>
    <w:rsid w:val="00FD3288"/>
    <w:rsid w:val="00FD3C24"/>
    <w:rsid w:val="00FD44D9"/>
    <w:rsid w:val="00FD49D9"/>
    <w:rsid w:val="00FD554D"/>
    <w:rsid w:val="00FD5B24"/>
    <w:rsid w:val="00FD67F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8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2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2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03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32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2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6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4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23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72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7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8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3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C04C-465A-4AF6-B6F7-4F8C2AC2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9197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85</cp:revision>
  <cp:lastPrinted>2010-05-04T00:47:00Z</cp:lastPrinted>
  <dcterms:created xsi:type="dcterms:W3CDTF">2017-07-14T23:45:00Z</dcterms:created>
  <dcterms:modified xsi:type="dcterms:W3CDTF">2017-09-01T17:47:00Z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