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C0165" w14:textId="77777777" w:rsidR="00CA09B2" w:rsidRPr="003F1D4B" w:rsidRDefault="00CA09B2">
      <w:pPr>
        <w:pStyle w:val="T1"/>
        <w:pBdr>
          <w:bottom w:val="single" w:sz="6" w:space="0" w:color="auto"/>
        </w:pBdr>
        <w:spacing w:after="240"/>
      </w:pPr>
      <w:r w:rsidRPr="003F1D4B">
        <w:t>IEEE P802.11</w:t>
      </w:r>
      <w:r w:rsidRPr="003F1D4B">
        <w:br/>
        <w:t>Wireless LANs</w:t>
      </w:r>
      <w:bookmarkStart w:id="0" w:name="_GoBack"/>
      <w:bookmarkEnd w:id="0"/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04"/>
        <w:gridCol w:w="1982"/>
        <w:gridCol w:w="1559"/>
        <w:gridCol w:w="2635"/>
      </w:tblGrid>
      <w:tr w:rsidR="003F1D4B" w:rsidRPr="003F1D4B" w14:paraId="3C7E59BA" w14:textId="77777777" w:rsidTr="00B044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AE8703" w14:textId="27893D37" w:rsidR="00CA09B2" w:rsidRPr="003F1D4B" w:rsidRDefault="00CA09B2" w:rsidP="001029BF">
            <w:pPr>
              <w:pStyle w:val="T2"/>
            </w:pPr>
            <w:r w:rsidRPr="003F1D4B">
              <w:t>[</w:t>
            </w:r>
            <w:r w:rsidR="001029BF">
              <w:t xml:space="preserve">Draft text for </w:t>
            </w:r>
            <w:r w:rsidR="00034747">
              <w:rPr>
                <w:rFonts w:hint="eastAsia"/>
                <w:lang w:eastAsia="zh-CN"/>
              </w:rPr>
              <w:t>SM</w:t>
            </w:r>
            <w:r w:rsidR="00034747">
              <w:t xml:space="preserve"> Power Save for 11ay</w:t>
            </w:r>
            <w:r w:rsidRPr="003F1D4B">
              <w:t>]</w:t>
            </w:r>
          </w:p>
        </w:tc>
      </w:tr>
      <w:tr w:rsidR="003F1D4B" w:rsidRPr="003F1D4B" w14:paraId="331E3A1E" w14:textId="77777777" w:rsidTr="00B044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451407" w14:textId="338DE9A5" w:rsidR="00CA09B2" w:rsidRPr="003F1D4B" w:rsidRDefault="00CA09B2" w:rsidP="004B57D0">
            <w:pPr>
              <w:pStyle w:val="T2"/>
              <w:ind w:left="0"/>
              <w:rPr>
                <w:sz w:val="20"/>
              </w:rPr>
            </w:pPr>
            <w:r w:rsidRPr="003F1D4B">
              <w:rPr>
                <w:sz w:val="20"/>
              </w:rPr>
              <w:t>Date:</w:t>
            </w:r>
            <w:r w:rsidRPr="003F1D4B">
              <w:rPr>
                <w:b w:val="0"/>
                <w:sz w:val="20"/>
              </w:rPr>
              <w:t xml:space="preserve">  </w:t>
            </w:r>
            <w:r w:rsidR="00E72285" w:rsidRPr="003F1D4B">
              <w:rPr>
                <w:b w:val="0"/>
                <w:sz w:val="20"/>
              </w:rPr>
              <w:t>201</w:t>
            </w:r>
            <w:r w:rsidR="006420E8">
              <w:rPr>
                <w:b w:val="0"/>
                <w:sz w:val="20"/>
              </w:rPr>
              <w:t>7</w:t>
            </w:r>
            <w:r w:rsidRPr="003F1D4B">
              <w:rPr>
                <w:b w:val="0"/>
                <w:sz w:val="20"/>
              </w:rPr>
              <w:t>-</w:t>
            </w:r>
            <w:r w:rsidR="00F015F3">
              <w:rPr>
                <w:b w:val="0"/>
                <w:sz w:val="20"/>
              </w:rPr>
              <w:t>0</w:t>
            </w:r>
            <w:r w:rsidR="004B57D0">
              <w:rPr>
                <w:b w:val="0"/>
                <w:sz w:val="20"/>
              </w:rPr>
              <w:t>8</w:t>
            </w:r>
            <w:r w:rsidRPr="003F1D4B">
              <w:rPr>
                <w:b w:val="0"/>
                <w:sz w:val="20"/>
              </w:rPr>
              <w:t>-</w:t>
            </w:r>
            <w:r w:rsidR="005E4D10">
              <w:rPr>
                <w:b w:val="0"/>
                <w:sz w:val="20"/>
              </w:rPr>
              <w:t>30</w:t>
            </w:r>
          </w:p>
        </w:tc>
      </w:tr>
      <w:tr w:rsidR="003F1D4B" w:rsidRPr="003F1D4B" w14:paraId="3CAF0ADC" w14:textId="77777777" w:rsidTr="00B044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9A8681E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Author(s):</w:t>
            </w:r>
          </w:p>
        </w:tc>
      </w:tr>
      <w:tr w:rsidR="003F1D4B" w:rsidRPr="003F1D4B" w14:paraId="1E0F7D79" w14:textId="77777777" w:rsidTr="00604414">
        <w:trPr>
          <w:jc w:val="center"/>
        </w:trPr>
        <w:tc>
          <w:tcPr>
            <w:tcW w:w="1696" w:type="dxa"/>
            <w:vAlign w:val="center"/>
          </w:tcPr>
          <w:p w14:paraId="22406A19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Name</w:t>
            </w:r>
          </w:p>
        </w:tc>
        <w:tc>
          <w:tcPr>
            <w:tcW w:w="1704" w:type="dxa"/>
            <w:vAlign w:val="center"/>
          </w:tcPr>
          <w:p w14:paraId="1C330232" w14:textId="77777777" w:rsidR="00CA09B2" w:rsidRPr="003F1D4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14:paraId="6BE80C15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14:paraId="40246C41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5059BF5F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email</w:t>
            </w:r>
          </w:p>
        </w:tc>
      </w:tr>
      <w:tr w:rsidR="003F1D4B" w:rsidRPr="003F1D4B" w14:paraId="632C0A45" w14:textId="77777777" w:rsidTr="00604414">
        <w:trPr>
          <w:jc w:val="center"/>
        </w:trPr>
        <w:tc>
          <w:tcPr>
            <w:tcW w:w="1696" w:type="dxa"/>
            <w:vAlign w:val="center"/>
          </w:tcPr>
          <w:p w14:paraId="534D5C41" w14:textId="71841B90" w:rsidR="00CA09B2" w:rsidRPr="003F1D4B" w:rsidRDefault="00B044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4410">
              <w:rPr>
                <w:rFonts w:hint="eastAsia"/>
                <w:b w:val="0"/>
                <w:sz w:val="20"/>
              </w:rPr>
              <w:t>Cheng</w:t>
            </w:r>
            <w:r w:rsidRPr="00B04410">
              <w:rPr>
                <w:b w:val="0"/>
                <w:sz w:val="20"/>
              </w:rPr>
              <w:t xml:space="preserve"> Chen</w:t>
            </w:r>
          </w:p>
        </w:tc>
        <w:tc>
          <w:tcPr>
            <w:tcW w:w="1704" w:type="dxa"/>
            <w:vAlign w:val="center"/>
          </w:tcPr>
          <w:p w14:paraId="59D90686" w14:textId="77777777" w:rsidR="00CA09B2" w:rsidRPr="003F1D4B" w:rsidRDefault="008B41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F1D4B">
              <w:rPr>
                <w:b w:val="0"/>
                <w:sz w:val="20"/>
              </w:rPr>
              <w:t>Intel</w:t>
            </w:r>
          </w:p>
        </w:tc>
        <w:tc>
          <w:tcPr>
            <w:tcW w:w="1982" w:type="dxa"/>
            <w:vAlign w:val="center"/>
          </w:tcPr>
          <w:p w14:paraId="75DC2582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997DC79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71F1C554" w14:textId="7FF31B96" w:rsidR="00CA09B2" w:rsidRPr="00604414" w:rsidRDefault="00B04410" w:rsidP="00B044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604414">
              <w:rPr>
                <w:b w:val="0"/>
                <w:sz w:val="20"/>
              </w:rPr>
              <w:t>cheng.chen</w:t>
            </w:r>
            <w:r w:rsidR="008B4109" w:rsidRPr="00604414">
              <w:rPr>
                <w:b w:val="0"/>
                <w:sz w:val="20"/>
              </w:rPr>
              <w:t>@intel.com</w:t>
            </w:r>
          </w:p>
        </w:tc>
      </w:tr>
      <w:tr w:rsidR="003F1D4B" w:rsidRPr="003F1D4B" w14:paraId="1BF1F254" w14:textId="77777777" w:rsidTr="00604414">
        <w:trPr>
          <w:jc w:val="center"/>
        </w:trPr>
        <w:tc>
          <w:tcPr>
            <w:tcW w:w="1696" w:type="dxa"/>
            <w:vAlign w:val="center"/>
          </w:tcPr>
          <w:p w14:paraId="2B92E27E" w14:textId="77777777" w:rsidR="00CA09B2" w:rsidRPr="003F1D4B" w:rsidRDefault="00E814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F1D4B">
              <w:rPr>
                <w:b w:val="0"/>
                <w:sz w:val="20"/>
              </w:rPr>
              <w:t>Carlos Cordeiro</w:t>
            </w:r>
          </w:p>
        </w:tc>
        <w:tc>
          <w:tcPr>
            <w:tcW w:w="1704" w:type="dxa"/>
            <w:vAlign w:val="center"/>
          </w:tcPr>
          <w:p w14:paraId="3D07C50E" w14:textId="77777777" w:rsidR="00CA09B2" w:rsidRPr="003F1D4B" w:rsidRDefault="00E814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F1D4B">
              <w:rPr>
                <w:b w:val="0"/>
                <w:sz w:val="20"/>
              </w:rPr>
              <w:t>Intel</w:t>
            </w:r>
          </w:p>
        </w:tc>
        <w:tc>
          <w:tcPr>
            <w:tcW w:w="1982" w:type="dxa"/>
            <w:vAlign w:val="center"/>
          </w:tcPr>
          <w:p w14:paraId="6E1F7649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809C44E" w14:textId="77777777" w:rsidR="00CA09B2" w:rsidRPr="00604414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39BCD2DB" w14:textId="4F65AB7B" w:rsidR="00CA09B2" w:rsidRPr="00604414" w:rsidRDefault="00604414" w:rsidP="0060441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604414">
              <w:rPr>
                <w:b w:val="0"/>
                <w:sz w:val="20"/>
              </w:rPr>
              <w:t>c</w:t>
            </w:r>
            <w:r w:rsidRPr="00604414">
              <w:rPr>
                <w:rFonts w:hint="eastAsia"/>
                <w:b w:val="0"/>
                <w:sz w:val="20"/>
              </w:rPr>
              <w:t>arlos.</w:t>
            </w:r>
            <w:r w:rsidRPr="00604414">
              <w:rPr>
                <w:b w:val="0"/>
                <w:sz w:val="20"/>
              </w:rPr>
              <w:t>cordeiro@intel.com</w:t>
            </w:r>
          </w:p>
        </w:tc>
      </w:tr>
      <w:tr w:rsidR="006F544B" w:rsidRPr="003F1D4B" w14:paraId="52BFF6A6" w14:textId="77777777" w:rsidTr="00604414">
        <w:trPr>
          <w:jc w:val="center"/>
        </w:trPr>
        <w:tc>
          <w:tcPr>
            <w:tcW w:w="1696" w:type="dxa"/>
            <w:vAlign w:val="center"/>
          </w:tcPr>
          <w:p w14:paraId="4DE6345E" w14:textId="608E60A3" w:rsidR="006F544B" w:rsidRPr="003F1D4B" w:rsidRDefault="006F54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F544B">
              <w:rPr>
                <w:b w:val="0"/>
                <w:sz w:val="20"/>
              </w:rPr>
              <w:t>Oren Kedem</w:t>
            </w:r>
          </w:p>
        </w:tc>
        <w:tc>
          <w:tcPr>
            <w:tcW w:w="1704" w:type="dxa"/>
            <w:vAlign w:val="center"/>
          </w:tcPr>
          <w:p w14:paraId="1373D856" w14:textId="511E4493" w:rsidR="006F544B" w:rsidRPr="003F1D4B" w:rsidRDefault="006F54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982" w:type="dxa"/>
            <w:vAlign w:val="center"/>
          </w:tcPr>
          <w:p w14:paraId="5E3F1B14" w14:textId="77777777" w:rsidR="006F544B" w:rsidRPr="003F1D4B" w:rsidRDefault="006F54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5FEC52E" w14:textId="77777777" w:rsidR="006F544B" w:rsidRPr="00604414" w:rsidRDefault="006F54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09DF334E" w14:textId="3E94164F" w:rsidR="006F544B" w:rsidRPr="00604414" w:rsidRDefault="006F544B" w:rsidP="0060441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6F544B">
              <w:rPr>
                <w:b w:val="0"/>
                <w:sz w:val="20"/>
              </w:rPr>
              <w:t>oren.kedem@intel.com</w:t>
            </w:r>
          </w:p>
        </w:tc>
      </w:tr>
      <w:tr w:rsidR="00AD1B07" w:rsidRPr="003F1D4B" w14:paraId="5E1CD8F2" w14:textId="77777777" w:rsidTr="00604414">
        <w:trPr>
          <w:jc w:val="center"/>
        </w:trPr>
        <w:tc>
          <w:tcPr>
            <w:tcW w:w="1696" w:type="dxa"/>
            <w:vAlign w:val="center"/>
          </w:tcPr>
          <w:p w14:paraId="7C150C16" w14:textId="7F139226" w:rsidR="00AD1B07" w:rsidRPr="003F1D4B" w:rsidRDefault="00AD1B0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D1B07">
              <w:rPr>
                <w:b w:val="0"/>
                <w:sz w:val="20"/>
              </w:rPr>
              <w:t>Solomon Trainin</w:t>
            </w:r>
          </w:p>
        </w:tc>
        <w:tc>
          <w:tcPr>
            <w:tcW w:w="1704" w:type="dxa"/>
            <w:vAlign w:val="center"/>
          </w:tcPr>
          <w:p w14:paraId="4E7D94CA" w14:textId="7A279F79" w:rsidR="00AD1B07" w:rsidRPr="003F1D4B" w:rsidRDefault="00AD1B0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D1B07">
              <w:rPr>
                <w:b w:val="0"/>
                <w:sz w:val="20"/>
              </w:rPr>
              <w:t>Qualcomm</w:t>
            </w:r>
          </w:p>
        </w:tc>
        <w:tc>
          <w:tcPr>
            <w:tcW w:w="1982" w:type="dxa"/>
            <w:vAlign w:val="center"/>
          </w:tcPr>
          <w:p w14:paraId="42C1D955" w14:textId="77777777" w:rsidR="00AD1B07" w:rsidRPr="003F1D4B" w:rsidRDefault="00AD1B0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1BB6474" w14:textId="77777777" w:rsidR="00AD1B07" w:rsidRPr="00604414" w:rsidRDefault="00AD1B0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2D097010" w14:textId="5CA4D433" w:rsidR="00AD1B07" w:rsidRPr="00604414" w:rsidRDefault="00AD1B07" w:rsidP="0060441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AD1B07">
              <w:rPr>
                <w:b w:val="0"/>
                <w:sz w:val="20"/>
              </w:rPr>
              <w:t>strainin@qti.qualcomm.com</w:t>
            </w:r>
          </w:p>
        </w:tc>
      </w:tr>
    </w:tbl>
    <w:p w14:paraId="2BEA4108" w14:textId="77777777" w:rsidR="00CA09B2" w:rsidRPr="003F1D4B" w:rsidRDefault="003E138C">
      <w:pPr>
        <w:pStyle w:val="T1"/>
        <w:spacing w:after="120"/>
        <w:rPr>
          <w:sz w:val="22"/>
        </w:rPr>
      </w:pPr>
      <w:r w:rsidRPr="003F1D4B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A73F50" wp14:editId="5B34E37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CCE22" w14:textId="77777777" w:rsidR="0096519C" w:rsidRDefault="0096519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12CE87C" w14:textId="5FD05239" w:rsidR="0096519C" w:rsidRDefault="0096519C">
                            <w:pPr>
                              <w:jc w:val="both"/>
                            </w:pPr>
                            <w:r>
                              <w:t xml:space="preserve">This document proposes </w:t>
                            </w:r>
                            <w:r w:rsidR="00783EC7">
                              <w:t>draft changes to include</w:t>
                            </w:r>
                            <w:r w:rsidR="001029BF">
                              <w:t xml:space="preserve"> </w:t>
                            </w:r>
                            <w:r w:rsidR="00034747">
                              <w:t>SM power save</w:t>
                            </w:r>
                            <w:r w:rsidR="00783EC7">
                              <w:t xml:space="preserve"> for EDMG STAs.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73F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86CCE22" w14:textId="77777777" w:rsidR="0096519C" w:rsidRDefault="0096519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12CE87C" w14:textId="5FD05239" w:rsidR="0096519C" w:rsidRDefault="0096519C">
                      <w:pPr>
                        <w:jc w:val="both"/>
                      </w:pPr>
                      <w:r>
                        <w:t xml:space="preserve">This document proposes </w:t>
                      </w:r>
                      <w:r w:rsidR="00783EC7">
                        <w:t>draft changes to include</w:t>
                      </w:r>
                      <w:r w:rsidR="001029BF">
                        <w:t xml:space="preserve"> </w:t>
                      </w:r>
                      <w:r w:rsidR="00034747">
                        <w:t>SM power save</w:t>
                      </w:r>
                      <w:r w:rsidR="00783EC7">
                        <w:t xml:space="preserve"> for EDMG STAs.</w:t>
                      </w:r>
                    </w:p>
                  </w:txbxContent>
                </v:textbox>
              </v:shape>
            </w:pict>
          </mc:Fallback>
        </mc:AlternateContent>
      </w:r>
    </w:p>
    <w:p w14:paraId="54CD9271" w14:textId="77777777" w:rsidR="00CA09B2" w:rsidRPr="003F1D4B" w:rsidRDefault="00CA09B2" w:rsidP="00447A91">
      <w:r w:rsidRPr="003F1D4B">
        <w:br w:type="page"/>
      </w:r>
    </w:p>
    <w:p w14:paraId="49A5A7FA" w14:textId="77777777" w:rsidR="00034747" w:rsidRDefault="00034747" w:rsidP="0003474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zh-CN"/>
        </w:rPr>
      </w:pPr>
      <w:r>
        <w:rPr>
          <w:rFonts w:ascii="Arial-BoldMT" w:hAnsi="Arial-BoldMT" w:cs="Arial-BoldMT"/>
          <w:b/>
          <w:bCs/>
          <w:sz w:val="20"/>
          <w:lang w:val="en-US" w:eastAsia="zh-CN"/>
        </w:rPr>
        <w:lastRenderedPageBreak/>
        <w:t>11.2.6 SM power save</w:t>
      </w:r>
    </w:p>
    <w:p w14:paraId="670F0F30" w14:textId="77777777" w:rsidR="00034747" w:rsidRDefault="00034747" w:rsidP="0003474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zh-CN"/>
        </w:rPr>
      </w:pPr>
    </w:p>
    <w:p w14:paraId="47C69787" w14:textId="7ACB3664" w:rsidR="00034747" w:rsidRPr="00034747" w:rsidRDefault="00034747" w:rsidP="0003474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Cs/>
          <w:i/>
          <w:sz w:val="20"/>
          <w:lang w:val="en-US" w:eastAsia="zh-CN"/>
        </w:rPr>
      </w:pPr>
      <w:r>
        <w:rPr>
          <w:rFonts w:ascii="Arial-BoldMT" w:hAnsi="Arial-BoldMT" w:cs="Arial-BoldMT"/>
          <w:bCs/>
          <w:i/>
          <w:sz w:val="20"/>
          <w:lang w:val="en-US" w:eastAsia="zh-CN"/>
        </w:rPr>
        <w:t>Change the first paragraph as follows:</w:t>
      </w:r>
    </w:p>
    <w:p w14:paraId="6BE9F411" w14:textId="4773562A" w:rsidR="00034747" w:rsidRDefault="00034747" w:rsidP="00034747">
      <w:pPr>
        <w:widowControl w:val="0"/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zh-CN"/>
        </w:rPr>
      </w:pPr>
      <w:r>
        <w:rPr>
          <w:rFonts w:ascii="TimesNewRomanPSMT" w:eastAsia="TimesNewRomanPSMT" w:hAnsi="Arial-BoldMT" w:cs="TimesNewRomanPSMT"/>
          <w:sz w:val="20"/>
          <w:lang w:val="en-US" w:eastAsia="zh-CN"/>
        </w:rPr>
        <w:t>A STA consumes power on all active receive chains, even though they are not necessarily required for the</w:t>
      </w:r>
      <w:r>
        <w:rPr>
          <w:rFonts w:ascii="TimesNewRomanPSMT" w:eastAsiaTheme="minorEastAsia" w:hAnsi="Arial-Bold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 w:eastAsia="zh-CN"/>
        </w:rPr>
        <w:t>actual frame exchange. The SM power save feature allows a non-AP HT</w:t>
      </w:r>
      <w:r w:rsidR="0069012E" w:rsidRPr="0069012E">
        <w:rPr>
          <w:rFonts w:ascii="TimesNewRomanPSMT" w:eastAsia="TimesNewRomanPSMT" w:hAnsi="Arial-BoldMT" w:cs="TimesNewRomanPSMT"/>
          <w:color w:val="FF0000"/>
          <w:sz w:val="20"/>
          <w:u w:val="single"/>
          <w:lang w:val="en-US" w:eastAsia="zh-CN"/>
        </w:rPr>
        <w:t xml:space="preserve">, </w:t>
      </w:r>
      <w:r>
        <w:rPr>
          <w:rFonts w:ascii="TimesNewRomanPSMT" w:eastAsia="TimesNewRomanPSMT" w:hAnsi="Arial-BoldMT" w:cs="TimesNewRomanPSMT"/>
          <w:color w:val="FF0000"/>
          <w:sz w:val="20"/>
          <w:u w:val="single"/>
          <w:lang w:val="en-US" w:eastAsia="zh-CN"/>
        </w:rPr>
        <w:t xml:space="preserve">or a non-AP and non-PCP EDMG </w:t>
      </w:r>
      <w:r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STA in an infrastructure BSS </w:t>
      </w:r>
      <w:r>
        <w:rPr>
          <w:rFonts w:ascii="TimesNewRomanPSMT" w:eastAsia="TimesNewRomanPSMT" w:hAnsi="Arial-BoldMT" w:cs="TimesNewRomanPSMT"/>
          <w:color w:val="FF0000"/>
          <w:sz w:val="20"/>
          <w:u w:val="single"/>
          <w:lang w:val="en-US" w:eastAsia="zh-CN"/>
        </w:rPr>
        <w:t>or PBSS</w:t>
      </w:r>
      <w:r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 to</w:t>
      </w:r>
      <w:r>
        <w:rPr>
          <w:rFonts w:ascii="TimesNewRomanPSMT" w:eastAsiaTheme="minorEastAsia" w:hAnsi="Arial-BoldMT" w:cs="TimesNewRomanPSMT"/>
          <w:sz w:val="20"/>
          <w:lang w:val="en-US" w:eastAsia="zh-CN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 w:eastAsia="zh-CN"/>
        </w:rPr>
        <w:t>operate with only one active receive chain for a significant portion of time.</w:t>
      </w:r>
    </w:p>
    <w:p w14:paraId="67EF0C73" w14:textId="653EF214" w:rsidR="00034747" w:rsidRDefault="00034747" w:rsidP="00034747">
      <w:pPr>
        <w:widowControl w:val="0"/>
        <w:autoSpaceDE w:val="0"/>
        <w:autoSpaceDN w:val="0"/>
        <w:adjustRightInd w:val="0"/>
        <w:rPr>
          <w:rFonts w:ascii="TimesNewRomanPSMT" w:eastAsiaTheme="minorEastAsia" w:hAnsi="Arial-BoldMT" w:cs="TimesNewRomanPSMT"/>
          <w:sz w:val="20"/>
          <w:lang w:val="en-US" w:eastAsia="zh-CN"/>
        </w:rPr>
      </w:pPr>
    </w:p>
    <w:p w14:paraId="3AD9E25A" w14:textId="77777777" w:rsidR="00CF625C" w:rsidRPr="00CF625C" w:rsidRDefault="00CF625C" w:rsidP="00034747">
      <w:pPr>
        <w:widowControl w:val="0"/>
        <w:autoSpaceDE w:val="0"/>
        <w:autoSpaceDN w:val="0"/>
        <w:adjustRightInd w:val="0"/>
        <w:rPr>
          <w:rFonts w:ascii="TimesNewRomanPSMT" w:eastAsiaTheme="minorEastAsia" w:hAnsi="Arial-BoldMT" w:cs="TimesNewRomanPSMT"/>
          <w:sz w:val="20"/>
          <w:lang w:val="en-US" w:eastAsia="zh-CN"/>
        </w:rPr>
      </w:pPr>
    </w:p>
    <w:p w14:paraId="58BD8971" w14:textId="7EB8E14B" w:rsidR="00034747" w:rsidRPr="00CF625C" w:rsidRDefault="00034747" w:rsidP="00034747">
      <w:pPr>
        <w:widowControl w:val="0"/>
        <w:autoSpaceDE w:val="0"/>
        <w:autoSpaceDN w:val="0"/>
        <w:adjustRightInd w:val="0"/>
        <w:rPr>
          <w:rFonts w:ascii="Arial-BoldMT" w:hAnsi="Arial-BoldMT" w:cs="Arial-BoldMT"/>
          <w:bCs/>
          <w:i/>
          <w:sz w:val="20"/>
          <w:lang w:val="en-US" w:eastAsia="zh-CN"/>
        </w:rPr>
      </w:pPr>
      <w:r>
        <w:rPr>
          <w:rFonts w:ascii="Arial-BoldMT" w:hAnsi="Arial-BoldMT" w:cs="Arial-BoldMT"/>
          <w:bCs/>
          <w:i/>
          <w:sz w:val="20"/>
          <w:lang w:val="en-US" w:eastAsia="zh-CN"/>
        </w:rPr>
        <w:t>Change the third paragraph as follows:</w:t>
      </w:r>
    </w:p>
    <w:p w14:paraId="2ED9A4D2" w14:textId="67562A50" w:rsidR="00034747" w:rsidRDefault="00034747" w:rsidP="00034747">
      <w:pPr>
        <w:widowControl w:val="0"/>
        <w:autoSpaceDE w:val="0"/>
        <w:autoSpaceDN w:val="0"/>
        <w:adjustRightInd w:val="0"/>
        <w:rPr>
          <w:rFonts w:ascii="TimesNewRomanPSMT" w:eastAsia="TimesNewRomanPSMT" w:hAnsi="Arial-BoldMT" w:cs="TimesNewRomanPSMT"/>
          <w:color w:val="FF0000"/>
          <w:sz w:val="20"/>
          <w:u w:val="single"/>
          <w:lang w:val="en-US" w:eastAsia="zh-CN"/>
        </w:rPr>
      </w:pPr>
      <w:r>
        <w:rPr>
          <w:rFonts w:ascii="TimesNewRomanPSMT" w:eastAsia="TimesNewRomanPSMT" w:hAnsi="Arial-BoldMT" w:cs="TimesNewRomanPSMT"/>
          <w:sz w:val="20"/>
          <w:lang w:val="en-US" w:eastAsia="zh-CN"/>
        </w:rPr>
        <w:t>In dynamic SM power save mode, the</w:t>
      </w:r>
      <w:r w:rsidR="003D7F73"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 </w:t>
      </w:r>
      <w:r w:rsidR="003D7F73">
        <w:rPr>
          <w:rFonts w:ascii="TimesNewRomanPSMT" w:eastAsia="TimesNewRomanPSMT" w:hAnsi="Arial-BoldMT" w:cs="TimesNewRomanPSMT"/>
          <w:color w:val="FF0000"/>
          <w:sz w:val="20"/>
          <w:u w:val="single"/>
          <w:lang w:val="en-US" w:eastAsia="zh-CN"/>
        </w:rPr>
        <w:t>HT</w:t>
      </w:r>
      <w:r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 STA enables its multiple receive chains when it receives the start of a</w:t>
      </w:r>
      <w:r>
        <w:rPr>
          <w:rFonts w:ascii="TimesNewRomanPSMT" w:eastAsiaTheme="minorEastAsia" w:hAnsi="Arial-Bold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 w:eastAsia="zh-CN"/>
        </w:rPr>
        <w:t>frame exchange sequence addressed to it</w:t>
      </w:r>
      <w:r w:rsidRPr="003D7F73">
        <w:rPr>
          <w:rFonts w:ascii="TimesNewRomanPSMT" w:eastAsia="TimesNewRomanPSMT" w:hAnsi="Arial-BoldMT" w:cs="TimesNewRomanPSMT"/>
          <w:strike/>
          <w:color w:val="FF0000"/>
          <w:sz w:val="20"/>
          <w:lang w:val="en-US" w:eastAsia="zh-CN"/>
        </w:rPr>
        <w:t>.</w:t>
      </w:r>
      <w:r w:rsidR="003D7F73">
        <w:rPr>
          <w:rFonts w:ascii="TimesNewRomanPSMT" w:eastAsia="TimesNewRomanPSMT" w:hAnsi="Arial-BoldMT" w:cs="TimesNewRomanPSMT"/>
          <w:color w:val="FF0000"/>
          <w:sz w:val="20"/>
          <w:lang w:val="en-US" w:eastAsia="zh-CN"/>
        </w:rPr>
        <w:t>,</w:t>
      </w:r>
      <w:r w:rsidRPr="003D7F73"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 </w:t>
      </w:r>
      <w:r w:rsidR="003D7F73" w:rsidRPr="003D7F73">
        <w:rPr>
          <w:rFonts w:ascii="TimesNewRomanPSMT" w:eastAsia="TimesNewRomanPSMT" w:hAnsi="Arial-BoldMT" w:cs="TimesNewRomanPSMT"/>
          <w:color w:val="FF0000"/>
          <w:sz w:val="20"/>
          <w:u w:val="single"/>
          <w:lang w:val="en-US" w:eastAsia="zh-CN"/>
        </w:rPr>
        <w:t xml:space="preserve">while </w:t>
      </w:r>
      <w:r w:rsidR="003D7F73">
        <w:rPr>
          <w:rFonts w:ascii="TimesNewRomanPSMT" w:eastAsia="TimesNewRomanPSMT" w:hAnsi="Arial-BoldMT" w:cs="TimesNewRomanPSMT"/>
          <w:color w:val="FF0000"/>
          <w:sz w:val="20"/>
          <w:u w:val="single"/>
          <w:lang w:val="en-US" w:eastAsia="zh-CN"/>
        </w:rPr>
        <w:t xml:space="preserve">the EDMG STA enables its multiple receive chains only when the frame it receives indicates the following transmission requires the activation of multiple receive chains. </w:t>
      </w:r>
      <w:r>
        <w:rPr>
          <w:rFonts w:ascii="TimesNewRomanPSMT" w:eastAsia="TimesNewRomanPSMT" w:hAnsi="Arial-BoldMT" w:cs="TimesNewRomanPSMT"/>
          <w:sz w:val="20"/>
          <w:lang w:val="en-US" w:eastAsia="zh-CN"/>
        </w:rPr>
        <w:t>Such a frame exchange sequence shall start with a single-spatial</w:t>
      </w:r>
      <w:r>
        <w:rPr>
          <w:rFonts w:ascii="TimesNewRomanPSMT" w:eastAsiaTheme="minorEastAsia" w:hAnsi="Arial-Bold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 w:eastAsia="zh-CN"/>
        </w:rPr>
        <w:t>stream individually addressed frame that requires an immediate response and that is addressed to the STA in</w:t>
      </w:r>
      <w:r>
        <w:rPr>
          <w:rFonts w:ascii="TimesNewRomanPSMT" w:eastAsiaTheme="minorEastAsia" w:hAnsi="Arial-Bold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 w:eastAsia="zh-CN"/>
        </w:rPr>
        <w:t>dynam</w:t>
      </w:r>
      <w:r w:rsidR="008879CE"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ic SM power save mode. An RTS/CTS </w:t>
      </w:r>
      <w:r>
        <w:rPr>
          <w:rFonts w:ascii="TimesNewRomanPSMT" w:eastAsia="TimesNewRomanPSMT" w:hAnsi="Arial-BoldMT" w:cs="TimesNewRomanPSMT"/>
          <w:sz w:val="20"/>
          <w:lang w:val="en-US" w:eastAsia="zh-CN"/>
        </w:rPr>
        <w:t>sequence may be used for this purpose</w:t>
      </w:r>
      <w:r w:rsidR="008879CE"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 </w:t>
      </w:r>
      <w:r w:rsidR="002F7240" w:rsidRPr="002F7240">
        <w:rPr>
          <w:rFonts w:ascii="TimesNewRomanPSMT" w:eastAsia="TimesNewRomanPSMT" w:hAnsi="Arial-BoldMT" w:cs="TimesNewRomanPSMT"/>
          <w:color w:val="FF0000"/>
          <w:sz w:val="20"/>
          <w:u w:val="single"/>
          <w:lang w:val="en-US" w:eastAsia="zh-CN"/>
        </w:rPr>
        <w:t>for HT STAs</w:t>
      </w:r>
      <w:r w:rsidR="002F7240">
        <w:rPr>
          <w:rFonts w:ascii="TimesNewRomanPSMT" w:eastAsia="TimesNewRomanPSMT" w:hAnsi="Arial-BoldMT" w:cs="TimesNewRomanPSMT"/>
          <w:sz w:val="20"/>
          <w:lang w:val="en-US" w:eastAsia="zh-CN"/>
        </w:rPr>
        <w:t>.</w:t>
      </w:r>
      <w:r w:rsidR="002F7240">
        <w:rPr>
          <w:rFonts w:ascii="TimesNewRomanPSMT" w:eastAsia="TimesNewRomanPSMT" w:hAnsi="Arial-BoldMT" w:cs="TimesNewRomanPSMT"/>
          <w:color w:val="FF0000"/>
          <w:sz w:val="20"/>
          <w:lang w:val="en-US" w:eastAsia="zh-CN"/>
        </w:rPr>
        <w:t xml:space="preserve"> </w:t>
      </w:r>
      <w:r w:rsidR="002F7240" w:rsidRPr="002F7240">
        <w:rPr>
          <w:rFonts w:ascii="TimesNewRomanPSMT" w:eastAsia="TimesNewRomanPSMT" w:hAnsi="Arial-BoldMT" w:cs="TimesNewRomanPSMT"/>
          <w:color w:val="FF0000"/>
          <w:sz w:val="20"/>
          <w:u w:val="single"/>
          <w:lang w:val="en-US" w:eastAsia="zh-CN"/>
        </w:rPr>
        <w:t>For EDMG STAs</w:t>
      </w:r>
      <w:r w:rsidR="002F7240">
        <w:rPr>
          <w:rFonts w:ascii="TimesNewRomanPSMT" w:eastAsia="TimesNewRomanPSMT" w:hAnsi="Arial-BoldMT" w:cs="TimesNewRomanPSMT"/>
          <w:color w:val="FF0000"/>
          <w:sz w:val="20"/>
          <w:u w:val="single"/>
          <w:lang w:val="en-US" w:eastAsia="zh-CN"/>
        </w:rPr>
        <w:t xml:space="preserve"> in dynamic SM power save mode</w:t>
      </w:r>
      <w:r w:rsidR="002F7240" w:rsidRPr="002F7240">
        <w:rPr>
          <w:rFonts w:ascii="TimesNewRomanPSMT" w:eastAsia="TimesNewRomanPSMT" w:hAnsi="Arial-BoldMT" w:cs="TimesNewRomanPSMT"/>
          <w:color w:val="FF0000"/>
          <w:sz w:val="20"/>
          <w:u w:val="single"/>
          <w:lang w:val="en-US" w:eastAsia="zh-CN"/>
        </w:rPr>
        <w:t xml:space="preserve">, </w:t>
      </w:r>
      <w:r w:rsidR="008879CE">
        <w:rPr>
          <w:rFonts w:ascii="TimesNewRomanPSMT" w:eastAsia="TimesNewRomanPSMT" w:hAnsi="Arial-BoldMT" w:cs="TimesNewRomanPSMT"/>
          <w:color w:val="FF0000"/>
          <w:sz w:val="20"/>
          <w:u w:val="single"/>
          <w:lang w:val="en-US" w:eastAsia="zh-CN"/>
        </w:rPr>
        <w:t xml:space="preserve">a Grant/Grant </w:t>
      </w:r>
      <w:proofErr w:type="spellStart"/>
      <w:r w:rsidR="008879CE">
        <w:rPr>
          <w:rFonts w:ascii="TimesNewRomanPSMT" w:eastAsia="TimesNewRomanPSMT" w:hAnsi="Arial-BoldMT" w:cs="TimesNewRomanPSMT"/>
          <w:color w:val="FF0000"/>
          <w:sz w:val="20"/>
          <w:u w:val="single"/>
          <w:lang w:val="en-US" w:eastAsia="zh-CN"/>
        </w:rPr>
        <w:t>Ack</w:t>
      </w:r>
      <w:proofErr w:type="spellEnd"/>
      <w:r w:rsidR="008879CE">
        <w:rPr>
          <w:rFonts w:ascii="TimesNewRomanPSMT" w:eastAsia="TimesNewRomanPSMT" w:hAnsi="Arial-BoldMT" w:cs="TimesNewRomanPSMT"/>
          <w:color w:val="FF0000"/>
          <w:sz w:val="20"/>
          <w:u w:val="single"/>
          <w:lang w:val="en-US" w:eastAsia="zh-CN"/>
        </w:rPr>
        <w:t xml:space="preserve"> sequence </w:t>
      </w:r>
      <w:r w:rsidR="002F7240">
        <w:rPr>
          <w:rFonts w:ascii="TimesNewRomanPSMT" w:eastAsia="TimesNewRomanPSMT" w:hAnsi="Arial-BoldMT" w:cs="TimesNewRomanPSMT"/>
          <w:color w:val="FF0000"/>
          <w:sz w:val="20"/>
          <w:u w:val="single"/>
          <w:lang w:val="en-US" w:eastAsia="zh-CN"/>
        </w:rPr>
        <w:t>shall</w:t>
      </w:r>
      <w:r w:rsidR="008879CE">
        <w:rPr>
          <w:rFonts w:ascii="TimesNewRomanPSMT" w:eastAsia="TimesNewRomanPSMT" w:hAnsi="Arial-BoldMT" w:cs="TimesNewRomanPSMT"/>
          <w:color w:val="FF0000"/>
          <w:sz w:val="20"/>
          <w:u w:val="single"/>
          <w:lang w:val="en-US" w:eastAsia="zh-CN"/>
        </w:rPr>
        <w:t xml:space="preserve"> be used for this purpose</w:t>
      </w:r>
      <w:r>
        <w:rPr>
          <w:rFonts w:ascii="TimesNewRomanPSMT" w:eastAsia="TimesNewRomanPSMT" w:hAnsi="Arial-BoldMT" w:cs="TimesNewRomanPSMT"/>
          <w:sz w:val="20"/>
          <w:lang w:val="en-US" w:eastAsia="zh-CN"/>
        </w:rPr>
        <w:t>. The STA shall,</w:t>
      </w:r>
      <w:r>
        <w:rPr>
          <w:rFonts w:ascii="TimesNewRomanPSMT" w:eastAsiaTheme="minorEastAsia" w:hAnsi="Arial-Bold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 w:eastAsia="zh-CN"/>
        </w:rPr>
        <w:t>subject to its spatial stream capabilities (see 9.4.2.56.4 and 9.4.2.158.3) and operating mode (see 11.42), be</w:t>
      </w:r>
      <w:r>
        <w:rPr>
          <w:rFonts w:ascii="TimesNewRomanPSMT" w:eastAsiaTheme="minorEastAsia" w:hAnsi="Arial-Bold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 w:eastAsia="zh-CN"/>
        </w:rPr>
        <w:t>capable of receiving a PPDU that is sent using more than one spatial stream a SIFS after the end of its</w:t>
      </w:r>
      <w:r>
        <w:rPr>
          <w:rFonts w:ascii="TimesNewRomanPSMT" w:eastAsiaTheme="minorEastAsia" w:hAnsi="Arial-Bold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response frame transmission. The </w:t>
      </w:r>
      <w:r w:rsidR="003D7F73">
        <w:rPr>
          <w:rFonts w:ascii="TimesNewRomanPSMT" w:eastAsia="TimesNewRomanPSMT" w:hAnsi="Arial-BoldMT" w:cs="TimesNewRomanPSMT"/>
          <w:color w:val="FF0000"/>
          <w:sz w:val="20"/>
          <w:u w:val="single"/>
          <w:lang w:val="en-US" w:eastAsia="zh-CN"/>
        </w:rPr>
        <w:t>HT</w:t>
      </w:r>
      <w:r w:rsidR="003D7F73"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 w:eastAsia="zh-CN"/>
        </w:rPr>
        <w:t>STA switches to the multiple receive chain mode when it receives the</w:t>
      </w:r>
      <w:r>
        <w:rPr>
          <w:rFonts w:ascii="TimesNewRomanPSMT" w:eastAsiaTheme="minorEastAsia" w:hAnsi="Arial-Bold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 w:eastAsia="zh-CN"/>
        </w:rPr>
        <w:t>frame addressed to it and switches back immediately when the frame exchange sequence ends.</w:t>
      </w:r>
      <w:r w:rsidR="003D7F73"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 </w:t>
      </w:r>
      <w:r w:rsidR="003D7F73" w:rsidRPr="003D7F73">
        <w:rPr>
          <w:rFonts w:ascii="TimesNewRomanPSMT" w:eastAsia="TimesNewRomanPSMT" w:hAnsi="Arial-BoldMT" w:cs="TimesNewRomanPSMT"/>
          <w:color w:val="FF0000"/>
          <w:sz w:val="20"/>
          <w:u w:val="single"/>
          <w:lang w:val="en-US" w:eastAsia="zh-CN"/>
        </w:rPr>
        <w:t>The EDMG STA switches to the multiple receive chain mode when it receives the</w:t>
      </w:r>
      <w:r w:rsidR="003D7F73" w:rsidRPr="003D7F73">
        <w:rPr>
          <w:rFonts w:ascii="TimesNewRomanPSMT" w:eastAsiaTheme="minorEastAsia" w:hAnsi="Arial-BoldMT" w:cs="TimesNewRomanPSMT" w:hint="eastAsia"/>
          <w:color w:val="FF0000"/>
          <w:sz w:val="20"/>
          <w:u w:val="single"/>
          <w:lang w:val="en-US" w:eastAsia="zh-CN"/>
        </w:rPr>
        <w:t xml:space="preserve"> </w:t>
      </w:r>
      <w:r w:rsidR="003D7F73" w:rsidRPr="003D7F73">
        <w:rPr>
          <w:rFonts w:ascii="TimesNewRomanPSMT" w:eastAsia="TimesNewRomanPSMT" w:hAnsi="Arial-BoldMT" w:cs="TimesNewRomanPSMT"/>
          <w:color w:val="FF0000"/>
          <w:sz w:val="20"/>
          <w:u w:val="single"/>
          <w:lang w:val="en-US" w:eastAsia="zh-CN"/>
        </w:rPr>
        <w:t>frame addressed to it</w:t>
      </w:r>
      <w:r w:rsidR="003D7F73">
        <w:rPr>
          <w:rFonts w:ascii="TimesNewRomanPSMT" w:eastAsia="TimesNewRomanPSMT" w:hAnsi="Arial-BoldMT" w:cs="TimesNewRomanPSMT"/>
          <w:color w:val="FF0000"/>
          <w:sz w:val="20"/>
          <w:u w:val="single"/>
          <w:lang w:val="en-US" w:eastAsia="zh-CN"/>
        </w:rPr>
        <w:t xml:space="preserve"> and the frame indicates</w:t>
      </w:r>
      <w:r w:rsidR="003D7F73" w:rsidRPr="003D7F73">
        <w:rPr>
          <w:rFonts w:ascii="TimesNewRomanPSMT" w:eastAsia="TimesNewRomanPSMT" w:hAnsi="Arial-BoldMT" w:cs="TimesNewRomanPSMT"/>
          <w:color w:val="FF0000"/>
          <w:sz w:val="20"/>
          <w:u w:val="single"/>
          <w:lang w:val="en-US" w:eastAsia="zh-CN"/>
        </w:rPr>
        <w:t xml:space="preserve"> </w:t>
      </w:r>
      <w:r w:rsidR="003D7F73">
        <w:rPr>
          <w:rFonts w:ascii="TimesNewRomanPSMT" w:eastAsia="TimesNewRomanPSMT" w:hAnsi="Arial-BoldMT" w:cs="TimesNewRomanPSMT"/>
          <w:color w:val="FF0000"/>
          <w:sz w:val="20"/>
          <w:u w:val="single"/>
          <w:lang w:val="en-US" w:eastAsia="zh-CN"/>
        </w:rPr>
        <w:t>the following transmission requires multiple receive chains</w:t>
      </w:r>
      <w:r w:rsidR="008879CE">
        <w:rPr>
          <w:rFonts w:ascii="TimesNewRomanPSMT" w:eastAsia="TimesNewRomanPSMT" w:hAnsi="Arial-BoldMT" w:cs="TimesNewRomanPSMT"/>
          <w:color w:val="FF0000"/>
          <w:sz w:val="20"/>
          <w:u w:val="single"/>
          <w:lang w:val="en-US" w:eastAsia="zh-CN"/>
        </w:rPr>
        <w:t xml:space="preserve"> (see 10.36.11.4); the EDMG STA</w:t>
      </w:r>
      <w:r w:rsidR="003D7F73">
        <w:rPr>
          <w:rFonts w:ascii="TimesNewRomanPSMT" w:eastAsia="TimesNewRomanPSMT" w:hAnsi="Arial-BoldMT" w:cs="TimesNewRomanPSMT"/>
          <w:color w:val="FF0000"/>
          <w:sz w:val="20"/>
          <w:u w:val="single"/>
          <w:lang w:val="en-US" w:eastAsia="zh-CN"/>
        </w:rPr>
        <w:t xml:space="preserve"> </w:t>
      </w:r>
      <w:r w:rsidR="003D7F73" w:rsidRPr="003D7F73">
        <w:rPr>
          <w:rFonts w:ascii="TimesNewRomanPSMT" w:eastAsia="TimesNewRomanPSMT" w:hAnsi="Arial-BoldMT" w:cs="TimesNewRomanPSMT"/>
          <w:color w:val="FF0000"/>
          <w:sz w:val="20"/>
          <w:u w:val="single"/>
          <w:lang w:val="en-US" w:eastAsia="zh-CN"/>
        </w:rPr>
        <w:t>switches back immediately when the frame exchange sequence ends.</w:t>
      </w:r>
    </w:p>
    <w:p w14:paraId="7794BB93" w14:textId="77777777" w:rsidR="003D7F73" w:rsidRDefault="003D7F73" w:rsidP="00034747">
      <w:pPr>
        <w:widowControl w:val="0"/>
        <w:autoSpaceDE w:val="0"/>
        <w:autoSpaceDN w:val="0"/>
        <w:adjustRightInd w:val="0"/>
        <w:rPr>
          <w:rFonts w:ascii="TimesNewRomanPSMT" w:eastAsiaTheme="minorEastAsia" w:hAnsi="Arial-BoldMT" w:cs="TimesNewRomanPSMT"/>
          <w:color w:val="FF0000"/>
          <w:sz w:val="20"/>
          <w:u w:val="single"/>
          <w:lang w:val="en-US" w:eastAsia="zh-CN"/>
        </w:rPr>
      </w:pPr>
    </w:p>
    <w:p w14:paraId="53CD5E8D" w14:textId="77777777" w:rsidR="00CF625C" w:rsidRPr="00CF625C" w:rsidRDefault="00CF625C" w:rsidP="00034747">
      <w:pPr>
        <w:widowControl w:val="0"/>
        <w:autoSpaceDE w:val="0"/>
        <w:autoSpaceDN w:val="0"/>
        <w:adjustRightInd w:val="0"/>
        <w:rPr>
          <w:rFonts w:ascii="TimesNewRomanPSMT" w:eastAsiaTheme="minorEastAsia" w:hAnsi="Arial-BoldMT" w:cs="TimesNewRomanPSMT"/>
          <w:color w:val="FF0000"/>
          <w:sz w:val="20"/>
          <w:u w:val="single"/>
          <w:lang w:val="en-US" w:eastAsia="zh-CN"/>
        </w:rPr>
      </w:pPr>
    </w:p>
    <w:p w14:paraId="64FFA569" w14:textId="3B48DE46" w:rsidR="00034747" w:rsidRPr="003D7F73" w:rsidRDefault="003D7F73" w:rsidP="00034747">
      <w:pPr>
        <w:widowControl w:val="0"/>
        <w:autoSpaceDE w:val="0"/>
        <w:autoSpaceDN w:val="0"/>
        <w:adjustRightInd w:val="0"/>
        <w:rPr>
          <w:rFonts w:ascii="TimesNewRomanPSMT" w:eastAsiaTheme="minorEastAsia" w:hAnsi="Arial-BoldMT" w:cs="TimesNewRomanPSMT"/>
          <w:i/>
          <w:color w:val="000000" w:themeColor="text1"/>
          <w:sz w:val="20"/>
          <w:lang w:val="en-US" w:eastAsia="zh-CN"/>
        </w:rPr>
      </w:pPr>
      <w:r w:rsidRPr="003D7F73">
        <w:rPr>
          <w:rFonts w:ascii="TimesNewRomanPSMT" w:eastAsia="TimesNewRomanPSMT" w:hAnsi="Arial-BoldMT" w:cs="TimesNewRomanPSMT"/>
          <w:i/>
          <w:color w:val="000000" w:themeColor="text1"/>
          <w:sz w:val="20"/>
          <w:lang w:val="en-US" w:eastAsia="zh-CN"/>
        </w:rPr>
        <w:t>Change the NOTE after the third paragraph as follows:</w:t>
      </w:r>
    </w:p>
    <w:p w14:paraId="7948B334" w14:textId="07CA80B9" w:rsidR="003D7F73" w:rsidRPr="00E6779A" w:rsidRDefault="00034747" w:rsidP="003D7F73">
      <w:pPr>
        <w:widowControl w:val="0"/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zh-CN"/>
        </w:rPr>
      </w:pPr>
      <w:r w:rsidRPr="00E6779A">
        <w:rPr>
          <w:rFonts w:ascii="TimesNewRomanPSMT" w:eastAsia="TimesNewRomanPSMT" w:hAnsi="Arial-BoldMT" w:cs="TimesNewRomanPSMT"/>
          <w:sz w:val="20"/>
          <w:lang w:val="en-US" w:eastAsia="zh-CN"/>
        </w:rPr>
        <w:t>NOTE</w:t>
      </w:r>
      <w:r w:rsidRPr="00E6779A">
        <w:rPr>
          <w:rFonts w:ascii="TimesNewRomanPSMT" w:eastAsia="TimesNewRomanPSMT" w:hAnsi="Arial-BoldMT" w:cs="TimesNewRomanPSMT" w:hint="eastAsia"/>
          <w:sz w:val="20"/>
          <w:lang w:val="en-US" w:eastAsia="zh-CN"/>
        </w:rPr>
        <w:t>—</w:t>
      </w:r>
      <w:r w:rsidRPr="00E6779A">
        <w:rPr>
          <w:rFonts w:ascii="TimesNewRomanPSMT" w:eastAsia="TimesNewRomanPSMT" w:hAnsi="Arial-BoldMT" w:cs="TimesNewRomanPSMT"/>
          <w:sz w:val="20"/>
          <w:lang w:val="en-US" w:eastAsia="zh-CN"/>
        </w:rPr>
        <w:t>A</w:t>
      </w:r>
      <w:r w:rsidR="00CF625C" w:rsidRPr="00E6779A">
        <w:rPr>
          <w:rFonts w:ascii="TimesNewRomanPSMT" w:eastAsia="TimesNewRomanPSMT" w:hAnsi="Arial-BoldMT" w:cs="TimesNewRomanPSMT"/>
          <w:color w:val="FF0000"/>
          <w:sz w:val="20"/>
          <w:u w:val="single"/>
          <w:lang w:val="en-US" w:eastAsia="zh-CN"/>
        </w:rPr>
        <w:t>n</w:t>
      </w:r>
      <w:r w:rsidRPr="00E6779A"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 </w:t>
      </w:r>
      <w:r w:rsidR="003D7F73" w:rsidRPr="00E6779A">
        <w:rPr>
          <w:rFonts w:ascii="TimesNewRomanPSMT" w:eastAsia="TimesNewRomanPSMT" w:hAnsi="Arial-BoldMT" w:cs="TimesNewRomanPSMT"/>
          <w:color w:val="FF0000"/>
          <w:sz w:val="20"/>
          <w:u w:val="single"/>
          <w:lang w:val="en-US" w:eastAsia="zh-CN"/>
        </w:rPr>
        <w:t>HT</w:t>
      </w:r>
      <w:r w:rsidR="003D7F73" w:rsidRPr="00E6779A"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 </w:t>
      </w:r>
      <w:r w:rsidRPr="00E6779A">
        <w:rPr>
          <w:rFonts w:ascii="TimesNewRomanPSMT" w:eastAsia="TimesNewRomanPSMT" w:hAnsi="Arial-BoldMT" w:cs="TimesNewRomanPSMT"/>
          <w:sz w:val="20"/>
          <w:lang w:val="en-US" w:eastAsia="zh-CN"/>
        </w:rPr>
        <w:t>STA in dynamic SM power save mode cannot distinguish between an RTS/CTS sequence that precedes a</w:t>
      </w:r>
      <w:r w:rsidRPr="00E6779A">
        <w:rPr>
          <w:rFonts w:ascii="TimesNewRomanPSMT" w:eastAsiaTheme="minorEastAsia" w:hAnsi="Arial-BoldMT" w:cs="TimesNewRomanPSMT" w:hint="eastAsia"/>
          <w:sz w:val="20"/>
          <w:lang w:val="en-US" w:eastAsia="zh-CN"/>
        </w:rPr>
        <w:t xml:space="preserve"> </w:t>
      </w:r>
      <w:r w:rsidRPr="00E6779A">
        <w:rPr>
          <w:rFonts w:ascii="TimesNewRomanPSMT" w:eastAsia="TimesNewRomanPSMT" w:hAnsi="Arial-BoldMT" w:cs="TimesNewRomanPSMT"/>
          <w:sz w:val="20"/>
          <w:lang w:val="en-US" w:eastAsia="zh-CN"/>
        </w:rPr>
        <w:t>MIMO transmission and any other RTS/CTS and, therefore, always enables its multiple receive chains when it receives</w:t>
      </w:r>
      <w:r w:rsidRPr="00E6779A">
        <w:rPr>
          <w:rFonts w:ascii="TimesNewRomanPSMT" w:eastAsiaTheme="minorEastAsia" w:hAnsi="Arial-BoldMT" w:cs="TimesNewRomanPSMT" w:hint="eastAsia"/>
          <w:sz w:val="20"/>
          <w:lang w:val="en-US" w:eastAsia="zh-CN"/>
        </w:rPr>
        <w:t xml:space="preserve"> </w:t>
      </w:r>
      <w:r w:rsidRPr="00E6779A">
        <w:rPr>
          <w:rFonts w:ascii="TimesNewRomanPSMT" w:eastAsia="TimesNewRomanPSMT" w:hAnsi="Arial-BoldMT" w:cs="TimesNewRomanPSMT"/>
          <w:sz w:val="20"/>
          <w:lang w:val="en-US" w:eastAsia="zh-CN"/>
        </w:rPr>
        <w:t>the RTS addressed to it.</w:t>
      </w:r>
      <w:r w:rsidR="003D7F73" w:rsidRPr="00E6779A"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 </w:t>
      </w:r>
    </w:p>
    <w:p w14:paraId="629D0EAD" w14:textId="24F3AD6B" w:rsidR="00034747" w:rsidRPr="003D7F73" w:rsidRDefault="00034747" w:rsidP="00034747">
      <w:pPr>
        <w:widowControl w:val="0"/>
        <w:autoSpaceDE w:val="0"/>
        <w:autoSpaceDN w:val="0"/>
        <w:adjustRightInd w:val="0"/>
        <w:rPr>
          <w:rFonts w:ascii="TimesNewRomanPSMT" w:eastAsia="TimesNewRomanPSMT" w:hAnsi="Arial-BoldMT" w:cs="TimesNewRomanPSMT"/>
          <w:sz w:val="18"/>
          <w:szCs w:val="18"/>
          <w:lang w:val="en-US" w:eastAsia="zh-CN"/>
        </w:rPr>
      </w:pPr>
    </w:p>
    <w:p w14:paraId="05A374F0" w14:textId="77777777" w:rsidR="00034747" w:rsidRPr="007426CA" w:rsidRDefault="00034747" w:rsidP="00034747">
      <w:pPr>
        <w:widowControl w:val="0"/>
        <w:autoSpaceDE w:val="0"/>
        <w:autoSpaceDN w:val="0"/>
        <w:adjustRightInd w:val="0"/>
        <w:rPr>
          <w:rFonts w:ascii="TimesNewRomanPSMT" w:eastAsiaTheme="minorEastAsia" w:hAnsi="Arial-BoldMT" w:cs="TimesNewRomanPSMT"/>
          <w:sz w:val="20"/>
          <w:lang w:val="en-US" w:eastAsia="zh-CN"/>
        </w:rPr>
      </w:pPr>
    </w:p>
    <w:p w14:paraId="436F6B74" w14:textId="304FD8C7" w:rsidR="007426CA" w:rsidRPr="00E6779A" w:rsidRDefault="007426CA" w:rsidP="007426CA">
      <w:pPr>
        <w:widowControl w:val="0"/>
        <w:autoSpaceDE w:val="0"/>
        <w:autoSpaceDN w:val="0"/>
        <w:adjustRightInd w:val="0"/>
        <w:rPr>
          <w:rFonts w:ascii="TimesNewRomanPSMT" w:eastAsia="TimesNewRomanPSMT" w:hAnsi="Arial-BoldMT" w:cs="TimesNewRomanPSMT"/>
          <w:i/>
          <w:color w:val="000000" w:themeColor="text1"/>
          <w:sz w:val="20"/>
          <w:lang w:val="en-US" w:eastAsia="zh-CN"/>
        </w:rPr>
      </w:pPr>
      <w:r w:rsidRPr="00E6779A">
        <w:rPr>
          <w:rFonts w:ascii="TimesNewRomanPSMT" w:eastAsia="TimesNewRomanPSMT" w:hAnsi="Arial-BoldMT" w:cs="TimesNewRomanPSMT"/>
          <w:i/>
          <w:color w:val="000000" w:themeColor="text1"/>
          <w:sz w:val="20"/>
          <w:lang w:val="en-US" w:eastAsia="zh-CN"/>
        </w:rPr>
        <w:t xml:space="preserve">Change the </w:t>
      </w:r>
      <w:r>
        <w:rPr>
          <w:rFonts w:ascii="TimesNewRomanPSMT" w:eastAsia="TimesNewRomanPSMT" w:hAnsi="Arial-BoldMT" w:cs="TimesNewRomanPSMT"/>
          <w:i/>
          <w:color w:val="000000" w:themeColor="text1"/>
          <w:sz w:val="20"/>
          <w:lang w:val="en-US" w:eastAsia="zh-CN"/>
        </w:rPr>
        <w:t>six</w:t>
      </w:r>
      <w:r w:rsidRPr="00E6779A">
        <w:rPr>
          <w:rFonts w:ascii="TimesNewRomanPSMT" w:eastAsia="TimesNewRomanPSMT" w:hAnsi="Arial-BoldMT" w:cs="TimesNewRomanPSMT"/>
          <w:i/>
          <w:color w:val="000000" w:themeColor="text1"/>
          <w:sz w:val="20"/>
          <w:lang w:val="en-US" w:eastAsia="zh-CN"/>
        </w:rPr>
        <w:t>th paragraph as follows:</w:t>
      </w:r>
    </w:p>
    <w:p w14:paraId="61F199EE" w14:textId="03595DCD" w:rsidR="007426CA" w:rsidRPr="007426CA" w:rsidRDefault="007426CA" w:rsidP="007426CA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zh-CN"/>
        </w:rPr>
      </w:pPr>
      <w:r>
        <w:rPr>
          <w:rFonts w:ascii="TimesNewRomanPSMT" w:eastAsia="TimesNewRomanPSMT" w:cs="TimesNewRomanPSMT"/>
          <w:sz w:val="20"/>
          <w:lang w:val="en-US" w:eastAsia="zh-CN"/>
        </w:rPr>
        <w:t>The STA may use the SM Power Save frame to communicate its SM power save state. The STA may also</w:t>
      </w:r>
      <w:r>
        <w:rPr>
          <w:rFonts w:ascii="TimesNewRomanPSMT" w:eastAsiaTheme="minorEastAsia" w:cs="TimesNewRomanPSMT" w:hint="eastAsia"/>
          <w:sz w:val="20"/>
          <w:lang w:val="en-US" w:eastAsia="zh-CN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zh-CN"/>
        </w:rPr>
        <w:t>use SM Power Save subfield in the HT</w:t>
      </w:r>
      <w:r w:rsidR="00660680">
        <w:rPr>
          <w:rFonts w:ascii="TimesNewRomanPSMT" w:eastAsia="TimesNewRomanPSMT" w:cs="TimesNewRomanPSMT"/>
          <w:sz w:val="20"/>
          <w:lang w:val="en-US" w:eastAsia="zh-CN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zh-CN"/>
        </w:rPr>
        <w:t xml:space="preserve">Capabilities element </w:t>
      </w:r>
      <w:r w:rsidR="00660680">
        <w:rPr>
          <w:rFonts w:ascii="TimesNewRomanPSMT" w:eastAsia="TimesNewRomanPSMT" w:cs="TimesNewRomanPSMT"/>
          <w:color w:val="FF0000"/>
          <w:sz w:val="20"/>
          <w:u w:val="single"/>
          <w:lang w:val="en-US" w:eastAsia="zh-CN"/>
        </w:rPr>
        <w:t xml:space="preserve">or EDMG Capabilities element </w:t>
      </w:r>
      <w:r>
        <w:rPr>
          <w:rFonts w:ascii="TimesNewRomanPSMT" w:eastAsia="TimesNewRomanPSMT" w:cs="TimesNewRomanPSMT"/>
          <w:sz w:val="20"/>
          <w:lang w:val="en-US" w:eastAsia="zh-CN"/>
        </w:rPr>
        <w:t>of its (Re</w:t>
      </w:r>
      <w:proofErr w:type="gramStart"/>
      <w:r>
        <w:rPr>
          <w:rFonts w:ascii="TimesNewRomanPSMT" w:eastAsia="TimesNewRomanPSMT" w:cs="TimesNewRomanPSMT"/>
          <w:sz w:val="20"/>
          <w:lang w:val="en-US" w:eastAsia="zh-CN"/>
        </w:rPr>
        <w:t>)Association</w:t>
      </w:r>
      <w:proofErr w:type="gramEnd"/>
      <w:r>
        <w:rPr>
          <w:rFonts w:ascii="TimesNewRomanPSMT" w:eastAsia="TimesNewRomanPSMT" w:cs="TimesNewRomanPSMT"/>
          <w:sz w:val="20"/>
          <w:lang w:val="en-US" w:eastAsia="zh-CN"/>
        </w:rPr>
        <w:t xml:space="preserve"> Request frame to achieve</w:t>
      </w:r>
      <w:r>
        <w:rPr>
          <w:rFonts w:ascii="TimesNewRomanPSMT" w:eastAsiaTheme="minorEastAsia" w:cs="TimesNewRomanPSMT" w:hint="eastAsia"/>
          <w:sz w:val="20"/>
          <w:lang w:val="en-US" w:eastAsia="zh-CN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zh-CN"/>
        </w:rPr>
        <w:t>the same purpose. The latter allows the STA to use only a single receive chain immediately after</w:t>
      </w:r>
      <w:r>
        <w:rPr>
          <w:rFonts w:ascii="TimesNewRomanPSMT" w:eastAsiaTheme="minorEastAsia" w:cs="TimesNewRomanPSMT"/>
          <w:sz w:val="20"/>
          <w:lang w:val="en-US" w:eastAsia="zh-CN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zh-CN"/>
        </w:rPr>
        <w:t>(re)association.</w:t>
      </w:r>
    </w:p>
    <w:p w14:paraId="0CAB1914" w14:textId="77777777" w:rsidR="007426CA" w:rsidRDefault="007426CA" w:rsidP="00034747">
      <w:pPr>
        <w:widowControl w:val="0"/>
        <w:autoSpaceDE w:val="0"/>
        <w:autoSpaceDN w:val="0"/>
        <w:adjustRightInd w:val="0"/>
        <w:rPr>
          <w:rFonts w:ascii="TimesNewRomanPSMT" w:eastAsiaTheme="minorEastAsia" w:hAnsi="Arial-BoldMT" w:cs="TimesNewRomanPSMT"/>
          <w:sz w:val="20"/>
          <w:lang w:val="en-US" w:eastAsia="zh-CN"/>
        </w:rPr>
      </w:pPr>
    </w:p>
    <w:p w14:paraId="1788CA5F" w14:textId="77777777" w:rsidR="00C52C3B" w:rsidRPr="00C52C3B" w:rsidRDefault="00C52C3B" w:rsidP="00034747">
      <w:pPr>
        <w:widowControl w:val="0"/>
        <w:autoSpaceDE w:val="0"/>
        <w:autoSpaceDN w:val="0"/>
        <w:adjustRightInd w:val="0"/>
        <w:rPr>
          <w:rFonts w:ascii="TimesNewRomanPSMT" w:eastAsiaTheme="minorEastAsia" w:hAnsi="Arial-BoldMT" w:cs="TimesNewRomanPSMT"/>
          <w:sz w:val="20"/>
          <w:lang w:val="en-US" w:eastAsia="zh-CN"/>
        </w:rPr>
      </w:pPr>
    </w:p>
    <w:p w14:paraId="08B1287C" w14:textId="18ACF489" w:rsidR="00CF625C" w:rsidRPr="00E6779A" w:rsidRDefault="00CF625C" w:rsidP="00034747">
      <w:pPr>
        <w:widowControl w:val="0"/>
        <w:autoSpaceDE w:val="0"/>
        <w:autoSpaceDN w:val="0"/>
        <w:adjustRightInd w:val="0"/>
        <w:rPr>
          <w:rFonts w:ascii="TimesNewRomanPSMT" w:eastAsia="TimesNewRomanPSMT" w:hAnsi="Arial-BoldMT" w:cs="TimesNewRomanPSMT"/>
          <w:i/>
          <w:color w:val="000000" w:themeColor="text1"/>
          <w:sz w:val="20"/>
          <w:lang w:val="en-US" w:eastAsia="zh-CN"/>
        </w:rPr>
      </w:pPr>
      <w:r w:rsidRPr="00E6779A">
        <w:rPr>
          <w:rFonts w:ascii="TimesNewRomanPSMT" w:eastAsia="TimesNewRomanPSMT" w:hAnsi="Arial-BoldMT" w:cs="TimesNewRomanPSMT"/>
          <w:i/>
          <w:color w:val="000000" w:themeColor="text1"/>
          <w:sz w:val="20"/>
          <w:lang w:val="en-US" w:eastAsia="zh-CN"/>
        </w:rPr>
        <w:t xml:space="preserve">Change the </w:t>
      </w:r>
      <w:r w:rsidR="007426CA">
        <w:rPr>
          <w:rFonts w:ascii="TimesNewRomanPSMT" w:eastAsia="TimesNewRomanPSMT" w:hAnsi="Arial-BoldMT" w:cs="TimesNewRomanPSMT"/>
          <w:i/>
          <w:color w:val="000000" w:themeColor="text1"/>
          <w:sz w:val="20"/>
          <w:lang w:val="en-US" w:eastAsia="zh-CN"/>
        </w:rPr>
        <w:t>eight</w:t>
      </w:r>
      <w:r w:rsidR="007426CA" w:rsidRPr="00E6779A">
        <w:rPr>
          <w:rFonts w:ascii="TimesNewRomanPSMT" w:eastAsia="TimesNewRomanPSMT" w:hAnsi="Arial-BoldMT" w:cs="TimesNewRomanPSMT"/>
          <w:i/>
          <w:color w:val="000000" w:themeColor="text1"/>
          <w:sz w:val="20"/>
          <w:lang w:val="en-US" w:eastAsia="zh-CN"/>
        </w:rPr>
        <w:t>h</w:t>
      </w:r>
      <w:r w:rsidRPr="00E6779A">
        <w:rPr>
          <w:rFonts w:ascii="TimesNewRomanPSMT" w:eastAsia="TimesNewRomanPSMT" w:hAnsi="Arial-BoldMT" w:cs="TimesNewRomanPSMT"/>
          <w:i/>
          <w:color w:val="000000" w:themeColor="text1"/>
          <w:sz w:val="20"/>
          <w:lang w:val="en-US" w:eastAsia="zh-CN"/>
        </w:rPr>
        <w:t xml:space="preserve"> paragraph as follows:</w:t>
      </w:r>
    </w:p>
    <w:p w14:paraId="317D981B" w14:textId="5F8B8B66" w:rsidR="002810DB" w:rsidRDefault="00034747" w:rsidP="00034747">
      <w:pPr>
        <w:widowControl w:val="0"/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zh-CN"/>
        </w:rPr>
      </w:pPr>
      <w:r>
        <w:rPr>
          <w:rFonts w:ascii="TimesNewRomanPSMT" w:eastAsia="TimesNewRomanPSMT" w:hAnsi="Arial-BoldMT" w:cs="TimesNewRomanPSMT"/>
          <w:sz w:val="20"/>
          <w:lang w:val="en-US" w:eastAsia="zh-CN"/>
        </w:rPr>
        <w:t>Changes to the number of active receive chains are made only after the SM power save mode indication has</w:t>
      </w:r>
      <w:r>
        <w:rPr>
          <w:rFonts w:ascii="TimesNewRomanPSMT" w:eastAsiaTheme="minorEastAsia" w:hAnsi="Arial-Bold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 w:eastAsia="zh-CN"/>
        </w:rPr>
        <w:t>been successfully delivered (i.e., by acknowledgment of a frame carrying the HT</w:t>
      </w:r>
      <w:r w:rsidR="00CF625C"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Capabilities element </w:t>
      </w:r>
      <w:r w:rsidR="00660680">
        <w:rPr>
          <w:rFonts w:ascii="TimesNewRomanPSMT" w:eastAsia="TimesNewRomanPSMT" w:cs="TimesNewRomanPSMT"/>
          <w:color w:val="FF0000"/>
          <w:sz w:val="20"/>
          <w:u w:val="single"/>
          <w:lang w:val="en-US" w:eastAsia="zh-CN"/>
        </w:rPr>
        <w:t>or EDMG Capabilities element,</w:t>
      </w:r>
      <w:r w:rsidR="00660680">
        <w:rPr>
          <w:rFonts w:ascii="TimesNewRomanPSMT" w:eastAsia="TimesNewRomanPSMT" w:hAnsi="Arial-BoldMT" w:cs="TimesNewRomanPSMT"/>
          <w:sz w:val="20"/>
          <w:lang w:val="en-US" w:eastAsia="zh-CN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 w:eastAsia="zh-CN"/>
        </w:rPr>
        <w:t>or by</w:t>
      </w:r>
      <w:r>
        <w:rPr>
          <w:rFonts w:ascii="TimesNewRomanPSMT" w:eastAsiaTheme="minorEastAsia" w:hAnsi="Arial-Bold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 w:eastAsia="zh-CN"/>
        </w:rPr>
        <w:t>acknowledgment of a SM Power Save frame). The SM power save mode indication shall be transmitted using an individually addressed frame.</w:t>
      </w:r>
    </w:p>
    <w:p w14:paraId="71E44DA3" w14:textId="77777777" w:rsidR="00AA38F9" w:rsidRDefault="00AA38F9" w:rsidP="00034747">
      <w:pPr>
        <w:widowControl w:val="0"/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 w:eastAsia="zh-CN"/>
        </w:rPr>
      </w:pPr>
    </w:p>
    <w:p w14:paraId="70E05558" w14:textId="61F32154" w:rsidR="00AA38F9" w:rsidRDefault="00AA38F9" w:rsidP="00034747">
      <w:pPr>
        <w:widowControl w:val="0"/>
        <w:autoSpaceDE w:val="0"/>
        <w:autoSpaceDN w:val="0"/>
        <w:adjustRightInd w:val="0"/>
        <w:rPr>
          <w:rFonts w:ascii="TimesNewRomanPSMT" w:eastAsiaTheme="minorEastAsia" w:hAnsi="Arial-BoldMT" w:cs="TimesNewRomanPSMT"/>
          <w:sz w:val="20"/>
          <w:lang w:val="en-US" w:eastAsia="zh-CN"/>
        </w:rPr>
      </w:pPr>
    </w:p>
    <w:p w14:paraId="4752913F" w14:textId="532B366F" w:rsidR="00AA38F9" w:rsidRDefault="00AA38F9" w:rsidP="00034747">
      <w:pPr>
        <w:widowControl w:val="0"/>
        <w:autoSpaceDE w:val="0"/>
        <w:autoSpaceDN w:val="0"/>
        <w:adjustRightInd w:val="0"/>
        <w:rPr>
          <w:rFonts w:ascii="TimesNewRomanPSMT" w:eastAsia="TimesNewRomanPSMT" w:hAnsi="Arial-BoldMT" w:cs="TimesNewRomanPSMT"/>
          <w:i/>
          <w:color w:val="000000" w:themeColor="text1"/>
          <w:sz w:val="20"/>
          <w:lang w:val="en-US" w:eastAsia="zh-CN"/>
        </w:rPr>
      </w:pPr>
      <w:r w:rsidRPr="00E6779A">
        <w:rPr>
          <w:rFonts w:ascii="TimesNewRomanPSMT" w:eastAsia="TimesNewRomanPSMT" w:hAnsi="Arial-BoldMT" w:cs="TimesNewRomanPSMT" w:hint="eastAsia"/>
          <w:i/>
          <w:color w:val="000000" w:themeColor="text1"/>
          <w:sz w:val="20"/>
          <w:lang w:val="en-US" w:eastAsia="zh-CN"/>
        </w:rPr>
        <w:t>Ch</w:t>
      </w:r>
      <w:r w:rsidRPr="00E6779A">
        <w:rPr>
          <w:rFonts w:ascii="TimesNewRomanPSMT" w:eastAsia="TimesNewRomanPSMT" w:hAnsi="Arial-BoldMT" w:cs="TimesNewRomanPSMT"/>
          <w:i/>
          <w:color w:val="000000" w:themeColor="text1"/>
          <w:sz w:val="20"/>
          <w:lang w:val="en-US" w:eastAsia="zh-CN"/>
        </w:rPr>
        <w:t>ange Table 2 as follows:</w:t>
      </w:r>
    </w:p>
    <w:p w14:paraId="3C2B1CDF" w14:textId="77777777" w:rsidR="00E6779A" w:rsidRPr="00E6779A" w:rsidRDefault="00E6779A" w:rsidP="00034747">
      <w:pPr>
        <w:widowControl w:val="0"/>
        <w:autoSpaceDE w:val="0"/>
        <w:autoSpaceDN w:val="0"/>
        <w:adjustRightInd w:val="0"/>
        <w:rPr>
          <w:rFonts w:ascii="TimesNewRomanPSMT" w:eastAsia="TimesNewRomanPSMT" w:hAnsi="Arial-BoldMT" w:cs="TimesNewRomanPSMT"/>
          <w:i/>
          <w:color w:val="000000" w:themeColor="text1"/>
          <w:sz w:val="20"/>
          <w:lang w:val="en-US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1382"/>
      </w:tblGrid>
      <w:tr w:rsidR="00AA38F9" w:rsidRPr="002A1A97" w14:paraId="24DFF6B9" w14:textId="77777777" w:rsidTr="00FD7200">
        <w:trPr>
          <w:jc w:val="center"/>
        </w:trPr>
        <w:tc>
          <w:tcPr>
            <w:tcW w:w="0" w:type="auto"/>
            <w:shd w:val="clear" w:color="auto" w:fill="auto"/>
          </w:tcPr>
          <w:p w14:paraId="68BC363B" w14:textId="77777777" w:rsidR="00AA38F9" w:rsidRDefault="00AA38F9" w:rsidP="00FD7200">
            <w:pPr>
              <w:pStyle w:val="IEEEStdsTableColumnHead"/>
            </w:pPr>
            <w:r>
              <w:t>Capability</w:t>
            </w:r>
          </w:p>
        </w:tc>
        <w:tc>
          <w:tcPr>
            <w:tcW w:w="0" w:type="auto"/>
            <w:shd w:val="clear" w:color="auto" w:fill="auto"/>
          </w:tcPr>
          <w:p w14:paraId="177955DE" w14:textId="77777777" w:rsidR="00AA38F9" w:rsidRDefault="00AA38F9" w:rsidP="00FD7200">
            <w:pPr>
              <w:pStyle w:val="IEEEStdsTableColumnHead"/>
            </w:pPr>
            <w:r>
              <w:t>Capabilities ID</w:t>
            </w:r>
          </w:p>
        </w:tc>
      </w:tr>
      <w:tr w:rsidR="00AA38F9" w:rsidRPr="002A1A97" w14:paraId="7C4D3951" w14:textId="77777777" w:rsidTr="00FD7200">
        <w:trPr>
          <w:jc w:val="center"/>
        </w:trPr>
        <w:tc>
          <w:tcPr>
            <w:tcW w:w="0" w:type="auto"/>
            <w:shd w:val="clear" w:color="auto" w:fill="auto"/>
          </w:tcPr>
          <w:p w14:paraId="3F08DF37" w14:textId="77777777" w:rsidR="00AA38F9" w:rsidRDefault="00AA38F9" w:rsidP="00FD7200">
            <w:pPr>
              <w:pStyle w:val="IEEEStdsTableData-Left"/>
            </w:pPr>
            <w:r>
              <w:t>Beamforming</w:t>
            </w:r>
          </w:p>
        </w:tc>
        <w:tc>
          <w:tcPr>
            <w:tcW w:w="0" w:type="auto"/>
            <w:shd w:val="clear" w:color="auto" w:fill="auto"/>
          </w:tcPr>
          <w:p w14:paraId="526809CF" w14:textId="77777777" w:rsidR="00AA38F9" w:rsidRDefault="00AA38F9" w:rsidP="00FD7200">
            <w:pPr>
              <w:pStyle w:val="IEEEStdsTableData-Left"/>
              <w:jc w:val="center"/>
            </w:pPr>
            <w:r>
              <w:t>0</w:t>
            </w:r>
          </w:p>
        </w:tc>
      </w:tr>
      <w:tr w:rsidR="00AA38F9" w:rsidRPr="002A1A97" w14:paraId="5CC3791F" w14:textId="77777777" w:rsidTr="00FD7200">
        <w:trPr>
          <w:jc w:val="center"/>
        </w:trPr>
        <w:tc>
          <w:tcPr>
            <w:tcW w:w="0" w:type="auto"/>
            <w:shd w:val="clear" w:color="auto" w:fill="auto"/>
          </w:tcPr>
          <w:p w14:paraId="399CC094" w14:textId="77777777" w:rsidR="00AA38F9" w:rsidRDefault="00AA38F9" w:rsidP="00FD7200">
            <w:pPr>
              <w:pStyle w:val="IEEEStdsTableData-Left"/>
            </w:pPr>
            <w:r>
              <w:t>Multi-BF</w:t>
            </w:r>
          </w:p>
        </w:tc>
        <w:tc>
          <w:tcPr>
            <w:tcW w:w="0" w:type="auto"/>
            <w:shd w:val="clear" w:color="auto" w:fill="auto"/>
          </w:tcPr>
          <w:p w14:paraId="4D94B3D3" w14:textId="77777777" w:rsidR="00AA38F9" w:rsidRDefault="00AA38F9" w:rsidP="00FD7200">
            <w:pPr>
              <w:pStyle w:val="IEEEStdsTableData-Left"/>
              <w:jc w:val="center"/>
            </w:pPr>
            <w:r>
              <w:t>1</w:t>
            </w:r>
          </w:p>
        </w:tc>
      </w:tr>
      <w:tr w:rsidR="00AA38F9" w14:paraId="461C87D3" w14:textId="77777777" w:rsidTr="00FD7200">
        <w:trPr>
          <w:jc w:val="center"/>
        </w:trPr>
        <w:tc>
          <w:tcPr>
            <w:tcW w:w="0" w:type="auto"/>
            <w:shd w:val="clear" w:color="auto" w:fill="auto"/>
          </w:tcPr>
          <w:p w14:paraId="520A8170" w14:textId="77777777" w:rsidR="00AA38F9" w:rsidRDefault="00AA38F9" w:rsidP="00FD7200">
            <w:pPr>
              <w:pStyle w:val="IEEEStdsTableData-Left"/>
            </w:pPr>
            <w:r>
              <w:t>Antenna Polarization Capability</w:t>
            </w:r>
          </w:p>
        </w:tc>
        <w:tc>
          <w:tcPr>
            <w:tcW w:w="0" w:type="auto"/>
            <w:shd w:val="clear" w:color="auto" w:fill="auto"/>
          </w:tcPr>
          <w:p w14:paraId="78148418" w14:textId="77777777" w:rsidR="00AA38F9" w:rsidRDefault="00AA38F9" w:rsidP="00FD7200">
            <w:pPr>
              <w:pStyle w:val="IEEEStdsTableData-Left"/>
              <w:jc w:val="center"/>
            </w:pPr>
            <w:r>
              <w:t>2</w:t>
            </w:r>
          </w:p>
        </w:tc>
      </w:tr>
      <w:tr w:rsidR="00AA38F9" w14:paraId="47597850" w14:textId="77777777" w:rsidTr="00FD7200">
        <w:trPr>
          <w:jc w:val="center"/>
        </w:trPr>
        <w:tc>
          <w:tcPr>
            <w:tcW w:w="0" w:type="auto"/>
            <w:shd w:val="clear" w:color="auto" w:fill="auto"/>
          </w:tcPr>
          <w:p w14:paraId="4F939446" w14:textId="77777777" w:rsidR="00AA38F9" w:rsidRDefault="00AA38F9" w:rsidP="00FD7200">
            <w:pPr>
              <w:pStyle w:val="IEEEStdsTableData-Left"/>
            </w:pPr>
            <w:r>
              <w:t>PHY Capability</w:t>
            </w:r>
          </w:p>
        </w:tc>
        <w:tc>
          <w:tcPr>
            <w:tcW w:w="0" w:type="auto"/>
            <w:shd w:val="clear" w:color="auto" w:fill="auto"/>
          </w:tcPr>
          <w:p w14:paraId="6BAC2D79" w14:textId="77777777" w:rsidR="00AA38F9" w:rsidRDefault="00AA38F9" w:rsidP="00FD7200">
            <w:pPr>
              <w:pStyle w:val="IEEEStdsTableData-Left"/>
              <w:jc w:val="center"/>
            </w:pPr>
            <w:r>
              <w:t>3</w:t>
            </w:r>
          </w:p>
        </w:tc>
      </w:tr>
      <w:tr w:rsidR="00AA38F9" w14:paraId="02E22D97" w14:textId="77777777" w:rsidTr="00FD7200">
        <w:trPr>
          <w:jc w:val="center"/>
        </w:trPr>
        <w:tc>
          <w:tcPr>
            <w:tcW w:w="0" w:type="auto"/>
            <w:shd w:val="clear" w:color="auto" w:fill="auto"/>
          </w:tcPr>
          <w:p w14:paraId="4E696A8E" w14:textId="77777777" w:rsidR="00AA38F9" w:rsidRDefault="00AA38F9" w:rsidP="00FD7200">
            <w:pPr>
              <w:pStyle w:val="IEEEStdsTableData-Left"/>
            </w:pPr>
            <w:r>
              <w:t>Supported Channels</w:t>
            </w:r>
          </w:p>
        </w:tc>
        <w:tc>
          <w:tcPr>
            <w:tcW w:w="0" w:type="auto"/>
            <w:shd w:val="clear" w:color="auto" w:fill="auto"/>
          </w:tcPr>
          <w:p w14:paraId="3D29AD17" w14:textId="77777777" w:rsidR="00AA38F9" w:rsidRDefault="00AA38F9" w:rsidP="00FD7200">
            <w:pPr>
              <w:pStyle w:val="IEEEStdsTableData-Left"/>
              <w:jc w:val="center"/>
            </w:pPr>
            <w:r>
              <w:t>4</w:t>
            </w:r>
          </w:p>
        </w:tc>
      </w:tr>
      <w:tr w:rsidR="00AA38F9" w14:paraId="01335E41" w14:textId="77777777" w:rsidTr="00FD7200">
        <w:trPr>
          <w:jc w:val="center"/>
        </w:trPr>
        <w:tc>
          <w:tcPr>
            <w:tcW w:w="0" w:type="auto"/>
            <w:shd w:val="clear" w:color="auto" w:fill="auto"/>
          </w:tcPr>
          <w:p w14:paraId="0340334B" w14:textId="3D20FDF1" w:rsidR="00AA38F9" w:rsidRPr="00AA38F9" w:rsidRDefault="008879CE" w:rsidP="00FD7200">
            <w:pPr>
              <w:pStyle w:val="IEEEStdsTableData-Left"/>
              <w:rPr>
                <w:color w:val="FF0000"/>
                <w:u w:val="single"/>
                <w:lang w:eastAsia="zh-CN"/>
              </w:rPr>
            </w:pPr>
            <w:r>
              <w:rPr>
                <w:color w:val="FF0000"/>
                <w:u w:val="single"/>
                <w:lang w:eastAsia="zh-CN"/>
              </w:rPr>
              <w:t>MAC Capability</w:t>
            </w:r>
          </w:p>
        </w:tc>
        <w:tc>
          <w:tcPr>
            <w:tcW w:w="0" w:type="auto"/>
            <w:shd w:val="clear" w:color="auto" w:fill="auto"/>
          </w:tcPr>
          <w:p w14:paraId="50FC7C24" w14:textId="43C02670" w:rsidR="00AA38F9" w:rsidRPr="00AA38F9" w:rsidRDefault="00AA38F9" w:rsidP="00FD7200">
            <w:pPr>
              <w:pStyle w:val="IEEEStdsTableData-Left"/>
              <w:jc w:val="center"/>
              <w:rPr>
                <w:u w:val="single"/>
                <w:lang w:eastAsia="zh-CN"/>
              </w:rPr>
            </w:pPr>
            <w:r w:rsidRPr="00AA38F9">
              <w:rPr>
                <w:rFonts w:hint="eastAsia"/>
                <w:color w:val="FF0000"/>
                <w:u w:val="single"/>
                <w:lang w:eastAsia="zh-CN"/>
              </w:rPr>
              <w:t>5</w:t>
            </w:r>
          </w:p>
        </w:tc>
      </w:tr>
    </w:tbl>
    <w:p w14:paraId="3BD4301E" w14:textId="77777777" w:rsidR="00AA38F9" w:rsidRDefault="00AA38F9" w:rsidP="00034747">
      <w:pPr>
        <w:widowControl w:val="0"/>
        <w:autoSpaceDE w:val="0"/>
        <w:autoSpaceDN w:val="0"/>
        <w:adjustRightInd w:val="0"/>
        <w:rPr>
          <w:rFonts w:ascii="TimesNewRomanPSMT" w:eastAsiaTheme="minorEastAsia" w:hAnsi="Arial-BoldMT" w:cs="TimesNewRomanPSMT"/>
          <w:i/>
          <w:sz w:val="20"/>
          <w:lang w:val="en-US" w:eastAsia="zh-CN"/>
        </w:rPr>
      </w:pPr>
    </w:p>
    <w:p w14:paraId="3D8F7D31" w14:textId="77777777" w:rsidR="00AA38F9" w:rsidRDefault="00AA38F9" w:rsidP="00034747">
      <w:pPr>
        <w:widowControl w:val="0"/>
        <w:autoSpaceDE w:val="0"/>
        <w:autoSpaceDN w:val="0"/>
        <w:adjustRightInd w:val="0"/>
        <w:rPr>
          <w:rFonts w:ascii="TimesNewRomanPSMT" w:eastAsiaTheme="minorEastAsia" w:hAnsi="Arial-BoldMT" w:cs="TimesNewRomanPSMT"/>
          <w:i/>
          <w:sz w:val="20"/>
          <w:lang w:val="en-US" w:eastAsia="zh-CN"/>
        </w:rPr>
      </w:pPr>
    </w:p>
    <w:p w14:paraId="44C286DC" w14:textId="61C88551" w:rsidR="00AA38F9" w:rsidRPr="00ED36ED" w:rsidRDefault="00AA38F9" w:rsidP="00034747">
      <w:pPr>
        <w:widowControl w:val="0"/>
        <w:autoSpaceDE w:val="0"/>
        <w:autoSpaceDN w:val="0"/>
        <w:adjustRightInd w:val="0"/>
        <w:rPr>
          <w:rFonts w:ascii="TimesNewRomanPSMT" w:eastAsia="TimesNewRomanPSMT" w:hAnsi="Arial-BoldMT" w:cs="TimesNewRomanPSMT"/>
          <w:i/>
          <w:color w:val="000000" w:themeColor="text1"/>
          <w:sz w:val="20"/>
          <w:lang w:val="en-US" w:eastAsia="zh-CN"/>
        </w:rPr>
      </w:pPr>
      <w:r w:rsidRPr="00ED36ED">
        <w:rPr>
          <w:rFonts w:ascii="TimesNewRomanPSMT" w:eastAsia="TimesNewRomanPSMT" w:hAnsi="Arial-BoldMT" w:cs="TimesNewRomanPSMT" w:hint="eastAsia"/>
          <w:i/>
          <w:color w:val="000000" w:themeColor="text1"/>
          <w:sz w:val="20"/>
          <w:lang w:val="en-US" w:eastAsia="zh-CN"/>
        </w:rPr>
        <w:t>Inser</w:t>
      </w:r>
      <w:r w:rsidRPr="00ED36ED">
        <w:rPr>
          <w:rFonts w:ascii="TimesNewRomanPSMT" w:eastAsia="TimesNewRomanPSMT" w:hAnsi="Arial-BoldMT" w:cs="TimesNewRomanPSMT"/>
          <w:i/>
          <w:color w:val="000000" w:themeColor="text1"/>
          <w:sz w:val="20"/>
          <w:lang w:val="en-US" w:eastAsia="zh-CN"/>
        </w:rPr>
        <w:t xml:space="preserve">t the following </w:t>
      </w:r>
      <w:proofErr w:type="spellStart"/>
      <w:r w:rsidRPr="00ED36ED">
        <w:rPr>
          <w:rFonts w:ascii="TimesNewRomanPSMT" w:eastAsia="TimesNewRomanPSMT" w:hAnsi="Arial-BoldMT" w:cs="TimesNewRomanPSMT"/>
          <w:i/>
          <w:color w:val="000000" w:themeColor="text1"/>
          <w:sz w:val="20"/>
          <w:lang w:val="en-US" w:eastAsia="zh-CN"/>
        </w:rPr>
        <w:t>subclause</w:t>
      </w:r>
      <w:proofErr w:type="spellEnd"/>
      <w:r w:rsidRPr="00ED36ED">
        <w:rPr>
          <w:rFonts w:ascii="TimesNewRomanPSMT" w:eastAsia="TimesNewRomanPSMT" w:hAnsi="Arial-BoldMT" w:cs="TimesNewRomanPSMT"/>
          <w:i/>
          <w:color w:val="000000" w:themeColor="text1"/>
          <w:sz w:val="20"/>
          <w:lang w:val="en-US" w:eastAsia="zh-CN"/>
        </w:rPr>
        <w:t xml:space="preserve"> at the end of</w:t>
      </w:r>
      <w:r w:rsidR="0041567F" w:rsidRPr="00ED36ED">
        <w:rPr>
          <w:rFonts w:ascii="TimesNewRomanPSMT" w:eastAsia="TimesNewRomanPSMT" w:hAnsi="Arial-BoldMT" w:cs="TimesNewRomanPSMT"/>
          <w:i/>
          <w:color w:val="000000" w:themeColor="text1"/>
          <w:sz w:val="20"/>
          <w:lang w:val="en-US" w:eastAsia="zh-CN"/>
        </w:rPr>
        <w:t xml:space="preserve"> 9.4.2.250.5</w:t>
      </w:r>
    </w:p>
    <w:p w14:paraId="45682F87" w14:textId="30DB0A07" w:rsidR="0041567F" w:rsidRPr="0041567F" w:rsidRDefault="0041567F" w:rsidP="0041567F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FF0000"/>
          <w:sz w:val="20"/>
          <w:u w:val="single"/>
          <w:lang w:val="en-US" w:eastAsia="zh-CN"/>
        </w:rPr>
      </w:pPr>
      <w:r w:rsidRPr="0041567F">
        <w:rPr>
          <w:rFonts w:ascii="Arial-BoldMT" w:hAnsi="Arial-BoldMT" w:cs="Arial-BoldMT"/>
          <w:b/>
          <w:bCs/>
          <w:color w:val="FF0000"/>
          <w:sz w:val="20"/>
          <w:u w:val="single"/>
          <w:lang w:val="en-US" w:eastAsia="zh-CN"/>
        </w:rPr>
        <w:t>9.4.2.250.6 Power Save field</w:t>
      </w:r>
    </w:p>
    <w:p w14:paraId="5E1C7DEE" w14:textId="72DE8B17" w:rsidR="0041567F" w:rsidRPr="0041567F" w:rsidRDefault="0041567F" w:rsidP="0041567F">
      <w:pPr>
        <w:widowControl w:val="0"/>
        <w:autoSpaceDE w:val="0"/>
        <w:autoSpaceDN w:val="0"/>
        <w:adjustRightInd w:val="0"/>
        <w:rPr>
          <w:rFonts w:ascii="Arial-BoldMT" w:hAnsi="Arial-BoldMT" w:cs="Arial-BoldMT"/>
          <w:bCs/>
          <w:color w:val="FF0000"/>
          <w:sz w:val="20"/>
          <w:u w:val="single"/>
          <w:lang w:val="en-US" w:eastAsia="zh-CN"/>
        </w:rPr>
      </w:pPr>
      <w:r w:rsidRPr="0041567F">
        <w:rPr>
          <w:rFonts w:ascii="Arial-BoldMT" w:hAnsi="Arial-BoldMT" w:cs="Arial-BoldMT"/>
          <w:bCs/>
          <w:color w:val="FF0000"/>
          <w:sz w:val="20"/>
          <w:u w:val="single"/>
          <w:lang w:val="en-US" w:eastAsia="zh-CN"/>
        </w:rPr>
        <w:t xml:space="preserve">The </w:t>
      </w:r>
      <w:r w:rsidR="008879CE">
        <w:rPr>
          <w:rFonts w:ascii="Arial-BoldMT" w:hAnsi="Arial-BoldMT" w:cs="Arial-BoldMT"/>
          <w:bCs/>
          <w:color w:val="FF0000"/>
          <w:sz w:val="20"/>
          <w:u w:val="single"/>
          <w:lang w:val="en-US" w:eastAsia="zh-CN"/>
        </w:rPr>
        <w:t>MAC Capability</w:t>
      </w:r>
      <w:r w:rsidR="003B7411">
        <w:rPr>
          <w:rFonts w:ascii="Arial-BoldMT" w:hAnsi="Arial-BoldMT" w:cs="Arial-BoldMT"/>
          <w:bCs/>
          <w:color w:val="FF0000"/>
          <w:sz w:val="20"/>
          <w:u w:val="single"/>
          <w:lang w:val="en-US" w:eastAsia="zh-CN"/>
        </w:rPr>
        <w:t xml:space="preserve"> field is defined in Figure x</w:t>
      </w:r>
      <w:r w:rsidRPr="0041567F">
        <w:rPr>
          <w:rFonts w:ascii="Arial-BoldMT" w:hAnsi="Arial-BoldMT" w:cs="Arial-BoldMT"/>
          <w:bCs/>
          <w:color w:val="FF0000"/>
          <w:sz w:val="20"/>
          <w:u w:val="single"/>
          <w:lang w:val="en-US" w:eastAsia="zh-CN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376"/>
        <w:gridCol w:w="886"/>
      </w:tblGrid>
      <w:tr w:rsidR="0041567F" w:rsidRPr="0041567F" w14:paraId="29EA34DD" w14:textId="77777777" w:rsidTr="00FD720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4CDCC" w14:textId="77777777" w:rsidR="0041567F" w:rsidRPr="0041567F" w:rsidRDefault="0041567F" w:rsidP="00FD7200">
            <w:pPr>
              <w:pStyle w:val="IEEEStdsTableData-Center"/>
              <w:rPr>
                <w:color w:val="FF000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07ED0B" w14:textId="3927B2D3" w:rsidR="0041567F" w:rsidRPr="0041567F" w:rsidRDefault="0041567F" w:rsidP="0041567F">
            <w:pPr>
              <w:pStyle w:val="IEEEStdsTableData-Center"/>
              <w:rPr>
                <w:color w:val="FF0000"/>
                <w:u w:val="single"/>
              </w:rPr>
            </w:pPr>
            <w:r w:rsidRPr="0041567F">
              <w:rPr>
                <w:color w:val="FF0000"/>
                <w:u w:val="single"/>
              </w:rPr>
              <w:t>B0 B</w:t>
            </w:r>
            <w:r>
              <w:rPr>
                <w:color w:val="FF0000"/>
                <w:u w:val="singl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201C1" w14:textId="520E8CE0" w:rsidR="0041567F" w:rsidRPr="0041567F" w:rsidRDefault="0041567F" w:rsidP="00FD7200">
            <w:pPr>
              <w:pStyle w:val="IEEEStdsTableData-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B2 B7</w:t>
            </w:r>
          </w:p>
        </w:tc>
      </w:tr>
      <w:tr w:rsidR="0041567F" w:rsidRPr="0041567F" w14:paraId="4DBFCD2A" w14:textId="77777777" w:rsidTr="00FD720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FABD8E" w14:textId="77777777" w:rsidR="0041567F" w:rsidRPr="0041567F" w:rsidRDefault="0041567F" w:rsidP="00FD7200">
            <w:pPr>
              <w:pStyle w:val="IEEEStdsTableData-Center"/>
              <w:rPr>
                <w:color w:val="FF0000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6BE0F" w14:textId="5074423E" w:rsidR="0041567F" w:rsidRPr="0041567F" w:rsidRDefault="0041567F" w:rsidP="00FD7200">
            <w:pPr>
              <w:pStyle w:val="IEEEStdsTableData-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SM Power Save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2BD284D" w14:textId="77777777" w:rsidR="0041567F" w:rsidRPr="0041567F" w:rsidRDefault="0041567F" w:rsidP="00FD7200">
            <w:pPr>
              <w:pStyle w:val="IEEEStdsTableData-Center"/>
              <w:rPr>
                <w:color w:val="FF0000"/>
                <w:u w:val="single"/>
              </w:rPr>
            </w:pPr>
            <w:r w:rsidRPr="0041567F">
              <w:rPr>
                <w:color w:val="FF0000"/>
                <w:u w:val="single"/>
              </w:rPr>
              <w:t>Reserved</w:t>
            </w:r>
          </w:p>
        </w:tc>
      </w:tr>
      <w:tr w:rsidR="0041567F" w:rsidRPr="0041567F" w14:paraId="019A6EEE" w14:textId="77777777" w:rsidTr="00FD720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EB121" w14:textId="77777777" w:rsidR="0041567F" w:rsidRPr="0041567F" w:rsidRDefault="0041567F" w:rsidP="00FD7200">
            <w:pPr>
              <w:pStyle w:val="IEEEStdsTableData-Center"/>
              <w:rPr>
                <w:color w:val="FF0000"/>
                <w:u w:val="single"/>
              </w:rPr>
            </w:pPr>
            <w:r w:rsidRPr="0041567F">
              <w:rPr>
                <w:color w:val="FF0000"/>
                <w:u w:val="single"/>
              </w:rPr>
              <w:t>Bits: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4E15E7" w14:textId="0119D270" w:rsidR="0041567F" w:rsidRPr="0041567F" w:rsidRDefault="0041567F" w:rsidP="00FD7200">
            <w:pPr>
              <w:pStyle w:val="IEEEStdsTableData-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686FEB" w14:textId="6E1706BC" w:rsidR="0041567F" w:rsidRPr="0041567F" w:rsidRDefault="0041567F" w:rsidP="00FD7200">
            <w:pPr>
              <w:pStyle w:val="IEEEStdsTableData-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6</w:t>
            </w:r>
          </w:p>
        </w:tc>
      </w:tr>
    </w:tbl>
    <w:p w14:paraId="366AD0F9" w14:textId="28096CD5" w:rsidR="003B7411" w:rsidRPr="00F271DE" w:rsidRDefault="003B7411" w:rsidP="00F271DE">
      <w:pPr>
        <w:pStyle w:val="IEEEStdsRegularFigureCaption"/>
        <w:numPr>
          <w:ilvl w:val="0"/>
          <w:numId w:val="0"/>
        </w:numPr>
        <w:ind w:firstLineChars="1500" w:firstLine="3012"/>
        <w:jc w:val="left"/>
        <w:rPr>
          <w:color w:val="FF0000"/>
          <w:u w:val="single"/>
        </w:rPr>
      </w:pPr>
      <w:bookmarkStart w:id="1" w:name="_Ref470798343"/>
      <w:bookmarkStart w:id="2" w:name="_Toc477712100"/>
      <w:r>
        <w:rPr>
          <w:color w:val="FF0000"/>
          <w:u w:val="single"/>
        </w:rPr>
        <w:t>Figure x</w:t>
      </w:r>
      <w:r w:rsidR="0041567F" w:rsidRPr="0041567F">
        <w:rPr>
          <w:color w:val="FF0000"/>
          <w:u w:val="single"/>
        </w:rPr>
        <w:t>—</w:t>
      </w:r>
      <w:r w:rsidR="008879CE">
        <w:rPr>
          <w:color w:val="FF0000"/>
          <w:u w:val="single"/>
        </w:rPr>
        <w:t>MAC</w:t>
      </w:r>
      <w:r w:rsidR="0041567F" w:rsidRPr="0041567F">
        <w:rPr>
          <w:color w:val="FF0000"/>
          <w:u w:val="single"/>
        </w:rPr>
        <w:t xml:space="preserve"> Capability field format</w:t>
      </w:r>
      <w:bookmarkEnd w:id="1"/>
      <w:bookmarkEnd w:id="2"/>
    </w:p>
    <w:p w14:paraId="64AF6770" w14:textId="25F6FF34" w:rsidR="0041567F" w:rsidRDefault="0041567F" w:rsidP="00034747">
      <w:pPr>
        <w:widowControl w:val="0"/>
        <w:autoSpaceDE w:val="0"/>
        <w:autoSpaceDN w:val="0"/>
        <w:adjustRightInd w:val="0"/>
        <w:rPr>
          <w:rFonts w:ascii="TimesNewRomanPSMT" w:eastAsiaTheme="minorEastAsia" w:hAnsi="Arial-BoldMT" w:cs="TimesNewRomanPSMT"/>
          <w:color w:val="FF0000"/>
          <w:sz w:val="20"/>
          <w:u w:val="single"/>
          <w:lang w:val="en-US" w:eastAsia="zh-CN"/>
        </w:rPr>
      </w:pPr>
      <w:r>
        <w:rPr>
          <w:rFonts w:ascii="TimesNewRomanPSMT" w:eastAsiaTheme="minorEastAsia" w:hAnsi="Arial-BoldMT" w:cs="TimesNewRomanPSMT" w:hint="eastAsia"/>
          <w:color w:val="FF0000"/>
          <w:sz w:val="20"/>
          <w:u w:val="single"/>
          <w:lang w:val="en-US" w:eastAsia="zh-CN"/>
        </w:rPr>
        <w:t xml:space="preserve">The </w:t>
      </w:r>
      <w:r>
        <w:rPr>
          <w:rFonts w:ascii="TimesNewRomanPSMT" w:eastAsiaTheme="minorEastAsia" w:hAnsi="Arial-BoldMT" w:cs="TimesNewRomanPSMT"/>
          <w:color w:val="FF0000"/>
          <w:sz w:val="20"/>
          <w:u w:val="single"/>
          <w:lang w:val="en-US" w:eastAsia="zh-CN"/>
        </w:rPr>
        <w:t xml:space="preserve">SM Power Save subfield indicates the </w:t>
      </w:r>
      <w:r w:rsidR="00E6779A">
        <w:rPr>
          <w:rFonts w:ascii="TimesNewRomanPSMT" w:eastAsiaTheme="minorEastAsia" w:hAnsi="Arial-BoldMT" w:cs="TimesNewRomanPSMT"/>
          <w:color w:val="FF0000"/>
          <w:sz w:val="20"/>
          <w:u w:val="single"/>
          <w:lang w:val="en-US" w:eastAsia="zh-CN"/>
        </w:rPr>
        <w:t xml:space="preserve">support for spatial multiplexing power save for an EDMG STA (see 11.2.6). It also indicates the </w:t>
      </w:r>
      <w:r>
        <w:rPr>
          <w:rFonts w:ascii="TimesNewRomanPSMT" w:eastAsiaTheme="minorEastAsia" w:hAnsi="Arial-BoldMT" w:cs="TimesNewRomanPSMT"/>
          <w:color w:val="FF0000"/>
          <w:sz w:val="20"/>
          <w:u w:val="single"/>
          <w:lang w:val="en-US" w:eastAsia="zh-CN"/>
        </w:rPr>
        <w:t>spatial multiplexing power save mode that is in operation imm</w:t>
      </w:r>
      <w:r w:rsidR="008879CE">
        <w:rPr>
          <w:rFonts w:ascii="TimesNewRomanPSMT" w:eastAsiaTheme="minorEastAsia" w:hAnsi="Arial-BoldMT" w:cs="TimesNewRomanPSMT"/>
          <w:color w:val="FF0000"/>
          <w:sz w:val="20"/>
          <w:u w:val="single"/>
          <w:lang w:val="en-US" w:eastAsia="zh-CN"/>
        </w:rPr>
        <w:t>ediately after (re)association</w:t>
      </w:r>
      <w:r>
        <w:rPr>
          <w:rFonts w:ascii="TimesNewRomanPSMT" w:eastAsiaTheme="minorEastAsia" w:hAnsi="Arial-BoldMT" w:cs="TimesNewRomanPSMT"/>
          <w:color w:val="FF0000"/>
          <w:sz w:val="20"/>
          <w:u w:val="single"/>
          <w:lang w:val="en-US" w:eastAsia="zh-CN"/>
        </w:rPr>
        <w:t xml:space="preserve">. </w:t>
      </w:r>
      <w:r w:rsidR="008879CE">
        <w:rPr>
          <w:rFonts w:ascii="TimesNewRomanPSMT" w:eastAsiaTheme="minorEastAsia" w:hAnsi="Arial-BoldMT" w:cs="TimesNewRomanPSMT"/>
          <w:color w:val="FF0000"/>
          <w:sz w:val="20"/>
          <w:u w:val="single"/>
          <w:lang w:val="en-US" w:eastAsia="zh-CN"/>
        </w:rPr>
        <w:t>This field</w:t>
      </w:r>
      <w:r>
        <w:rPr>
          <w:rFonts w:ascii="TimesNewRomanPSMT" w:eastAsiaTheme="minorEastAsia" w:hAnsi="Arial-BoldMT" w:cs="TimesNewRomanPSMT"/>
          <w:color w:val="FF0000"/>
          <w:sz w:val="20"/>
          <w:u w:val="single"/>
          <w:lang w:val="en-US" w:eastAsia="zh-CN"/>
        </w:rPr>
        <w:t xml:space="preserve"> is set to 0 for static SM power save mode, 1 for dynamic SM power save mode, 3 for SM power save disabled or not supported. The value of 2 is reserved.</w:t>
      </w:r>
    </w:p>
    <w:p w14:paraId="0FA929C3" w14:textId="77777777" w:rsidR="00E6779A" w:rsidRDefault="00E6779A" w:rsidP="00034747">
      <w:pPr>
        <w:widowControl w:val="0"/>
        <w:autoSpaceDE w:val="0"/>
        <w:autoSpaceDN w:val="0"/>
        <w:adjustRightInd w:val="0"/>
        <w:rPr>
          <w:rFonts w:ascii="TimesNewRomanPSMT" w:eastAsiaTheme="minorEastAsia" w:hAnsi="Arial-BoldMT" w:cs="TimesNewRomanPSMT"/>
          <w:color w:val="FF0000"/>
          <w:sz w:val="20"/>
          <w:u w:val="single"/>
          <w:lang w:val="en-US" w:eastAsia="zh-CN"/>
        </w:rPr>
      </w:pPr>
    </w:p>
    <w:p w14:paraId="15E61D09" w14:textId="2B322E59" w:rsidR="0041567F" w:rsidRDefault="0041567F" w:rsidP="00034747">
      <w:pPr>
        <w:widowControl w:val="0"/>
        <w:autoSpaceDE w:val="0"/>
        <w:autoSpaceDN w:val="0"/>
        <w:adjustRightInd w:val="0"/>
        <w:rPr>
          <w:rFonts w:ascii="TimesNewRomanPSMT" w:eastAsiaTheme="minorEastAsia" w:hAnsi="Arial-BoldMT" w:cs="TimesNewRomanPSMT"/>
          <w:color w:val="FF0000"/>
          <w:sz w:val="20"/>
          <w:u w:val="single"/>
          <w:lang w:val="en-US" w:eastAsia="zh-CN"/>
        </w:rPr>
      </w:pPr>
      <w:r>
        <w:rPr>
          <w:rFonts w:ascii="TimesNewRomanPSMT" w:eastAsiaTheme="minorEastAsia" w:hAnsi="Arial-BoldMT" w:cs="TimesNewRomanPSMT"/>
          <w:color w:val="FF0000"/>
          <w:sz w:val="20"/>
          <w:u w:val="single"/>
          <w:lang w:val="en-US" w:eastAsia="zh-CN"/>
        </w:rPr>
        <w:t>It is only valid in a (Re</w:t>
      </w:r>
      <w:proofErr w:type="gramStart"/>
      <w:r>
        <w:rPr>
          <w:rFonts w:ascii="TimesNewRomanPSMT" w:eastAsiaTheme="minorEastAsia" w:hAnsi="Arial-BoldMT" w:cs="TimesNewRomanPSMT"/>
          <w:color w:val="FF0000"/>
          <w:sz w:val="20"/>
          <w:u w:val="single"/>
          <w:lang w:val="en-US" w:eastAsia="zh-CN"/>
        </w:rPr>
        <w:t>)Association</w:t>
      </w:r>
      <w:proofErr w:type="gramEnd"/>
      <w:r>
        <w:rPr>
          <w:rFonts w:ascii="TimesNewRomanPSMT" w:eastAsiaTheme="minorEastAsia" w:hAnsi="Arial-BoldMT" w:cs="TimesNewRomanPSMT"/>
          <w:color w:val="FF0000"/>
          <w:sz w:val="20"/>
          <w:u w:val="single"/>
          <w:lang w:val="en-US" w:eastAsia="zh-CN"/>
        </w:rPr>
        <w:t xml:space="preserve"> Request frame sent to an AP or a PCP. Otherwise this subfield is set to 0 or 3 upon transmission and it ignored upon reception.</w:t>
      </w:r>
    </w:p>
    <w:p w14:paraId="3F28E5F2" w14:textId="77777777" w:rsidR="0041567F" w:rsidRDefault="0041567F" w:rsidP="00034747">
      <w:pPr>
        <w:widowControl w:val="0"/>
        <w:autoSpaceDE w:val="0"/>
        <w:autoSpaceDN w:val="0"/>
        <w:adjustRightInd w:val="0"/>
        <w:rPr>
          <w:rFonts w:ascii="TimesNewRomanPSMT" w:eastAsiaTheme="minorEastAsia" w:hAnsi="Arial-BoldMT" w:cs="TimesNewRomanPSMT"/>
          <w:color w:val="FF0000"/>
          <w:sz w:val="20"/>
          <w:u w:val="single"/>
          <w:lang w:val="en-US" w:eastAsia="zh-CN"/>
        </w:rPr>
      </w:pPr>
    </w:p>
    <w:p w14:paraId="1F0A580C" w14:textId="08B2AE0C" w:rsidR="0041567F" w:rsidRDefault="00AD6C2A" w:rsidP="00034747">
      <w:pPr>
        <w:widowControl w:val="0"/>
        <w:autoSpaceDE w:val="0"/>
        <w:autoSpaceDN w:val="0"/>
        <w:adjustRightInd w:val="0"/>
        <w:rPr>
          <w:rFonts w:ascii="TimesNewRomanPSMT" w:eastAsiaTheme="minorEastAsia" w:hAnsi="Arial-BoldMT" w:cs="TimesNewRomanPSMT"/>
          <w:color w:val="FF0000"/>
          <w:sz w:val="20"/>
          <w:u w:val="single"/>
          <w:lang w:val="en-US" w:eastAsia="zh-CN"/>
        </w:rPr>
      </w:pPr>
      <w:r>
        <w:rPr>
          <w:rFonts w:ascii="TimesNewRomanPSMT" w:eastAsiaTheme="minorEastAsia" w:hAnsi="Arial-BoldMT" w:cs="TimesNewRomanPSMT"/>
          <w:color w:val="FF0000"/>
          <w:sz w:val="20"/>
          <w:u w:val="single"/>
          <w:lang w:val="en-US" w:eastAsia="zh-CN"/>
        </w:rPr>
        <w:t>NOTE</w:t>
      </w:r>
      <w:r w:rsidR="0041567F">
        <w:rPr>
          <w:rFonts w:ascii="TimesNewRomanPSMT" w:eastAsiaTheme="minorEastAsia" w:hAnsi="Arial-BoldMT" w:cs="TimesNewRomanPSMT"/>
          <w:color w:val="FF0000"/>
          <w:sz w:val="20"/>
          <w:u w:val="single"/>
          <w:lang w:val="en-US" w:eastAsia="zh-CN"/>
        </w:rPr>
        <w:t>-This subfield indicates the operational state immediately after (re)association as well as (if not set to 3) a capability.</w:t>
      </w:r>
    </w:p>
    <w:p w14:paraId="5FFCCE4A" w14:textId="3392DE71" w:rsidR="00547C59" w:rsidRPr="00547C59" w:rsidRDefault="00547C59" w:rsidP="00034747">
      <w:pPr>
        <w:widowControl w:val="0"/>
        <w:autoSpaceDE w:val="0"/>
        <w:autoSpaceDN w:val="0"/>
        <w:adjustRightInd w:val="0"/>
        <w:rPr>
          <w:rFonts w:ascii="TimesNewRomanPSMT" w:eastAsiaTheme="minorEastAsia" w:hAnsi="Arial-BoldMT" w:cs="TimesNewRomanPSMT"/>
          <w:color w:val="000000" w:themeColor="text1"/>
          <w:sz w:val="20"/>
          <w:lang w:val="en-US" w:eastAsia="zh-CN"/>
        </w:rPr>
      </w:pPr>
    </w:p>
    <w:sectPr w:rsidR="00547C59" w:rsidRPr="00547C59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419DF" w14:textId="77777777" w:rsidR="00116225" w:rsidRDefault="00116225">
      <w:r>
        <w:separator/>
      </w:r>
    </w:p>
  </w:endnote>
  <w:endnote w:type="continuationSeparator" w:id="0">
    <w:p w14:paraId="587B5297" w14:textId="77777777" w:rsidR="00116225" w:rsidRDefault="0011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D8FFE" w14:textId="77777777" w:rsidR="0096519C" w:rsidRDefault="008A28B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B57D0">
        <w:t>Submission</w:t>
      </w:r>
    </w:fldSimple>
    <w:r w:rsidR="0096519C">
      <w:tab/>
      <w:t xml:space="preserve">page </w:t>
    </w:r>
    <w:r w:rsidR="0096519C">
      <w:fldChar w:fldCharType="begin"/>
    </w:r>
    <w:r w:rsidR="0096519C">
      <w:instrText xml:space="preserve">page </w:instrText>
    </w:r>
    <w:r w:rsidR="0096519C">
      <w:fldChar w:fldCharType="separate"/>
    </w:r>
    <w:r w:rsidR="005E4D10">
      <w:rPr>
        <w:noProof/>
      </w:rPr>
      <w:t>3</w:t>
    </w:r>
    <w:r w:rsidR="0096519C">
      <w:fldChar w:fldCharType="end"/>
    </w:r>
    <w:r w:rsidR="0096519C">
      <w:tab/>
    </w:r>
    <w:fldSimple w:instr=" COMMENTS  \* MERGEFORMAT ">
      <w:r w:rsidR="004B57D0">
        <w:t>Cheng Chen, Intel</w:t>
      </w:r>
    </w:fldSimple>
  </w:p>
  <w:p w14:paraId="5C69FA55" w14:textId="77777777" w:rsidR="0096519C" w:rsidRDefault="009651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1A45B" w14:textId="77777777" w:rsidR="00116225" w:rsidRDefault="00116225">
      <w:r>
        <w:separator/>
      </w:r>
    </w:p>
  </w:footnote>
  <w:footnote w:type="continuationSeparator" w:id="0">
    <w:p w14:paraId="4820A659" w14:textId="77777777" w:rsidR="00116225" w:rsidRDefault="00116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E49E6" w14:textId="77777777" w:rsidR="0096519C" w:rsidRDefault="008A28B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B57D0">
        <w:t>August 2017</w:t>
      </w:r>
    </w:fldSimple>
    <w:r w:rsidR="0096519C">
      <w:tab/>
    </w:r>
    <w:r w:rsidR="0096519C">
      <w:tab/>
    </w:r>
    <w:fldSimple w:instr=" TITLE  \* MERGEFORMAT ">
      <w:r w:rsidR="004B57D0">
        <w:t>doc.: IEEE 802.11-17/1213r0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DA5218"/>
    <w:multiLevelType w:val="hybridMultilevel"/>
    <w:tmpl w:val="9690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D604D25"/>
    <w:multiLevelType w:val="hybridMultilevel"/>
    <w:tmpl w:val="C092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D3C99"/>
    <w:multiLevelType w:val="hybridMultilevel"/>
    <w:tmpl w:val="1CAC6D58"/>
    <w:lvl w:ilvl="0" w:tplc="99F4B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 w15:restartNumberingAfterBreak="0">
    <w:nsid w:val="31361AE2"/>
    <w:multiLevelType w:val="hybridMultilevel"/>
    <w:tmpl w:val="F5208BA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36A463F0"/>
    <w:multiLevelType w:val="hybridMultilevel"/>
    <w:tmpl w:val="96B403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C0A797F"/>
    <w:multiLevelType w:val="hybridMultilevel"/>
    <w:tmpl w:val="7EAE7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2C7BE7"/>
    <w:multiLevelType w:val="hybridMultilevel"/>
    <w:tmpl w:val="4006A4A0"/>
    <w:lvl w:ilvl="0" w:tplc="DBE2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0316D"/>
    <w:multiLevelType w:val="hybridMultilevel"/>
    <w:tmpl w:val="CCA45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3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" w15:restartNumberingAfterBreak="0">
    <w:nsid w:val="7B99725C"/>
    <w:multiLevelType w:val="multilevel"/>
    <w:tmpl w:val="0BD08772"/>
    <w:lvl w:ilvl="0">
      <w:start w:val="29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2" w:hanging="552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4"/>
  </w:num>
  <w:num w:numId="5">
    <w:abstractNumId w:val="5"/>
  </w:num>
  <w:num w:numId="6">
    <w:abstractNumId w:val="14"/>
  </w:num>
  <w:num w:numId="7">
    <w:abstractNumId w:val="14"/>
  </w:num>
  <w:num w:numId="8">
    <w:abstractNumId w:val="12"/>
  </w:num>
  <w:num w:numId="9">
    <w:abstractNumId w:val="15"/>
  </w:num>
  <w:num w:numId="10">
    <w:abstractNumId w:val="6"/>
  </w:num>
  <w:num w:numId="11">
    <w:abstractNumId w:val="1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4"/>
  </w:num>
  <w:num w:numId="16">
    <w:abstractNumId w:val="10"/>
  </w:num>
  <w:num w:numId="17">
    <w:abstractNumId w:val="14"/>
  </w:num>
  <w:num w:numId="18">
    <w:abstractNumId w:val="8"/>
  </w:num>
  <w:num w:numId="19">
    <w:abstractNumId w:val="9"/>
  </w:num>
  <w:num w:numId="20">
    <w:abstractNumId w:val="7"/>
  </w:num>
  <w:num w:numId="21">
    <w:abstractNumId w:val="16"/>
  </w:num>
  <w:num w:numId="22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8C"/>
    <w:rsid w:val="0000465D"/>
    <w:rsid w:val="000131B6"/>
    <w:rsid w:val="0001761A"/>
    <w:rsid w:val="00024588"/>
    <w:rsid w:val="00030709"/>
    <w:rsid w:val="00034747"/>
    <w:rsid w:val="000377E9"/>
    <w:rsid w:val="000541D4"/>
    <w:rsid w:val="000561F8"/>
    <w:rsid w:val="000762BA"/>
    <w:rsid w:val="000767E6"/>
    <w:rsid w:val="000771C3"/>
    <w:rsid w:val="00077C3D"/>
    <w:rsid w:val="0009259F"/>
    <w:rsid w:val="000934C4"/>
    <w:rsid w:val="000D4550"/>
    <w:rsid w:val="000D6DF7"/>
    <w:rsid w:val="000F32D0"/>
    <w:rsid w:val="001029BF"/>
    <w:rsid w:val="00116225"/>
    <w:rsid w:val="00124182"/>
    <w:rsid w:val="001248FF"/>
    <w:rsid w:val="001321FC"/>
    <w:rsid w:val="00136542"/>
    <w:rsid w:val="001400D2"/>
    <w:rsid w:val="0014392C"/>
    <w:rsid w:val="00157242"/>
    <w:rsid w:val="001761AA"/>
    <w:rsid w:val="001841E1"/>
    <w:rsid w:val="001B7F25"/>
    <w:rsid w:val="001C4631"/>
    <w:rsid w:val="001D723B"/>
    <w:rsid w:val="001E43EC"/>
    <w:rsid w:val="001F3DC5"/>
    <w:rsid w:val="001F6E53"/>
    <w:rsid w:val="00217583"/>
    <w:rsid w:val="00222F05"/>
    <w:rsid w:val="0023047A"/>
    <w:rsid w:val="00251ED5"/>
    <w:rsid w:val="002555C0"/>
    <w:rsid w:val="00265CA7"/>
    <w:rsid w:val="002768A6"/>
    <w:rsid w:val="002810DB"/>
    <w:rsid w:val="0029020B"/>
    <w:rsid w:val="0029286F"/>
    <w:rsid w:val="002973BB"/>
    <w:rsid w:val="002A2139"/>
    <w:rsid w:val="002A38E6"/>
    <w:rsid w:val="002B2C16"/>
    <w:rsid w:val="002B5C52"/>
    <w:rsid w:val="002C1896"/>
    <w:rsid w:val="002C4947"/>
    <w:rsid w:val="002D44BE"/>
    <w:rsid w:val="002E23EB"/>
    <w:rsid w:val="002E6DC1"/>
    <w:rsid w:val="002F2172"/>
    <w:rsid w:val="002F47FC"/>
    <w:rsid w:val="002F7240"/>
    <w:rsid w:val="003064BC"/>
    <w:rsid w:val="003157A3"/>
    <w:rsid w:val="003249B5"/>
    <w:rsid w:val="003269C3"/>
    <w:rsid w:val="00333DA6"/>
    <w:rsid w:val="003461C0"/>
    <w:rsid w:val="003A70F8"/>
    <w:rsid w:val="003B5C0D"/>
    <w:rsid w:val="003B7411"/>
    <w:rsid w:val="003C0060"/>
    <w:rsid w:val="003D7F73"/>
    <w:rsid w:val="003E10B5"/>
    <w:rsid w:val="003E138C"/>
    <w:rsid w:val="003F1780"/>
    <w:rsid w:val="003F1D4B"/>
    <w:rsid w:val="003F2081"/>
    <w:rsid w:val="00414111"/>
    <w:rsid w:val="0041567F"/>
    <w:rsid w:val="00435190"/>
    <w:rsid w:val="00442037"/>
    <w:rsid w:val="00447A91"/>
    <w:rsid w:val="00447E6A"/>
    <w:rsid w:val="004563CB"/>
    <w:rsid w:val="00461FA9"/>
    <w:rsid w:val="00463238"/>
    <w:rsid w:val="004746C3"/>
    <w:rsid w:val="00481BFA"/>
    <w:rsid w:val="00486E4A"/>
    <w:rsid w:val="004875EE"/>
    <w:rsid w:val="00490B79"/>
    <w:rsid w:val="004A7AA7"/>
    <w:rsid w:val="004B064B"/>
    <w:rsid w:val="004B4DFF"/>
    <w:rsid w:val="004B57D0"/>
    <w:rsid w:val="004C6FB1"/>
    <w:rsid w:val="004D01E3"/>
    <w:rsid w:val="004D127B"/>
    <w:rsid w:val="004E46C3"/>
    <w:rsid w:val="004E5069"/>
    <w:rsid w:val="004E7890"/>
    <w:rsid w:val="004F12FF"/>
    <w:rsid w:val="0050271E"/>
    <w:rsid w:val="00516895"/>
    <w:rsid w:val="0052654A"/>
    <w:rsid w:val="00541C59"/>
    <w:rsid w:val="00547C59"/>
    <w:rsid w:val="00585917"/>
    <w:rsid w:val="005B338E"/>
    <w:rsid w:val="005C01F6"/>
    <w:rsid w:val="005C51B7"/>
    <w:rsid w:val="005D2EE4"/>
    <w:rsid w:val="005E4D10"/>
    <w:rsid w:val="005E4F57"/>
    <w:rsid w:val="00604414"/>
    <w:rsid w:val="00604CCA"/>
    <w:rsid w:val="00611ED5"/>
    <w:rsid w:val="006143D6"/>
    <w:rsid w:val="006144D8"/>
    <w:rsid w:val="0062440B"/>
    <w:rsid w:val="006420E8"/>
    <w:rsid w:val="00660680"/>
    <w:rsid w:val="0069012E"/>
    <w:rsid w:val="006A33D3"/>
    <w:rsid w:val="006A484D"/>
    <w:rsid w:val="006A72F8"/>
    <w:rsid w:val="006C0727"/>
    <w:rsid w:val="006E0B61"/>
    <w:rsid w:val="006E145F"/>
    <w:rsid w:val="006E6A84"/>
    <w:rsid w:val="006F544B"/>
    <w:rsid w:val="00705EBC"/>
    <w:rsid w:val="00711A58"/>
    <w:rsid w:val="00713C50"/>
    <w:rsid w:val="0071765F"/>
    <w:rsid w:val="007238AE"/>
    <w:rsid w:val="007426CA"/>
    <w:rsid w:val="00746907"/>
    <w:rsid w:val="0075553C"/>
    <w:rsid w:val="00770572"/>
    <w:rsid w:val="00771622"/>
    <w:rsid w:val="00783EC7"/>
    <w:rsid w:val="007A0FC0"/>
    <w:rsid w:val="007A4346"/>
    <w:rsid w:val="007C6EE4"/>
    <w:rsid w:val="007D1618"/>
    <w:rsid w:val="007D6A9F"/>
    <w:rsid w:val="007D7500"/>
    <w:rsid w:val="007E0E78"/>
    <w:rsid w:val="007E2A58"/>
    <w:rsid w:val="0081351A"/>
    <w:rsid w:val="0082108B"/>
    <w:rsid w:val="008250AF"/>
    <w:rsid w:val="00876885"/>
    <w:rsid w:val="008879CE"/>
    <w:rsid w:val="008908D1"/>
    <w:rsid w:val="0089794E"/>
    <w:rsid w:val="008A28B4"/>
    <w:rsid w:val="008A448D"/>
    <w:rsid w:val="008A470F"/>
    <w:rsid w:val="008B4109"/>
    <w:rsid w:val="008B5CAA"/>
    <w:rsid w:val="008B608E"/>
    <w:rsid w:val="008E2AA5"/>
    <w:rsid w:val="008F433C"/>
    <w:rsid w:val="009317AF"/>
    <w:rsid w:val="00932656"/>
    <w:rsid w:val="00935043"/>
    <w:rsid w:val="00941969"/>
    <w:rsid w:val="009510B0"/>
    <w:rsid w:val="00953EFC"/>
    <w:rsid w:val="009579DA"/>
    <w:rsid w:val="00963D26"/>
    <w:rsid w:val="0096519C"/>
    <w:rsid w:val="009753AD"/>
    <w:rsid w:val="00995A4D"/>
    <w:rsid w:val="009C1A8B"/>
    <w:rsid w:val="009C3028"/>
    <w:rsid w:val="009D10D5"/>
    <w:rsid w:val="009D6147"/>
    <w:rsid w:val="009E1F40"/>
    <w:rsid w:val="009E5E2A"/>
    <w:rsid w:val="009F2FBC"/>
    <w:rsid w:val="009F364F"/>
    <w:rsid w:val="009F7E57"/>
    <w:rsid w:val="00A050D8"/>
    <w:rsid w:val="00A26E4E"/>
    <w:rsid w:val="00A3215B"/>
    <w:rsid w:val="00A4209F"/>
    <w:rsid w:val="00A428B3"/>
    <w:rsid w:val="00A465F2"/>
    <w:rsid w:val="00A53C40"/>
    <w:rsid w:val="00A57095"/>
    <w:rsid w:val="00A732BB"/>
    <w:rsid w:val="00A7700B"/>
    <w:rsid w:val="00A92948"/>
    <w:rsid w:val="00A93C4F"/>
    <w:rsid w:val="00AA38F9"/>
    <w:rsid w:val="00AA427C"/>
    <w:rsid w:val="00AB09AF"/>
    <w:rsid w:val="00AB2910"/>
    <w:rsid w:val="00AB6A91"/>
    <w:rsid w:val="00AD1B07"/>
    <w:rsid w:val="00AD6C2A"/>
    <w:rsid w:val="00B04410"/>
    <w:rsid w:val="00B07C83"/>
    <w:rsid w:val="00B25BF9"/>
    <w:rsid w:val="00B36B1B"/>
    <w:rsid w:val="00B4547E"/>
    <w:rsid w:val="00B67FA8"/>
    <w:rsid w:val="00B7218B"/>
    <w:rsid w:val="00B93DC6"/>
    <w:rsid w:val="00BA3832"/>
    <w:rsid w:val="00BA455A"/>
    <w:rsid w:val="00BA501C"/>
    <w:rsid w:val="00BB2276"/>
    <w:rsid w:val="00BC4C11"/>
    <w:rsid w:val="00BC5C48"/>
    <w:rsid w:val="00BD60C4"/>
    <w:rsid w:val="00BE68C2"/>
    <w:rsid w:val="00BF369A"/>
    <w:rsid w:val="00BF6DAC"/>
    <w:rsid w:val="00C05AC8"/>
    <w:rsid w:val="00C06AB4"/>
    <w:rsid w:val="00C11554"/>
    <w:rsid w:val="00C3410F"/>
    <w:rsid w:val="00C342F1"/>
    <w:rsid w:val="00C36BF9"/>
    <w:rsid w:val="00C52C3B"/>
    <w:rsid w:val="00C61869"/>
    <w:rsid w:val="00C638EF"/>
    <w:rsid w:val="00C666D4"/>
    <w:rsid w:val="00C80FF5"/>
    <w:rsid w:val="00C86542"/>
    <w:rsid w:val="00CA09B2"/>
    <w:rsid w:val="00CA58D4"/>
    <w:rsid w:val="00CC36D5"/>
    <w:rsid w:val="00CF625C"/>
    <w:rsid w:val="00CF63BE"/>
    <w:rsid w:val="00D00F75"/>
    <w:rsid w:val="00D341BE"/>
    <w:rsid w:val="00D621EA"/>
    <w:rsid w:val="00D62AE5"/>
    <w:rsid w:val="00D7222F"/>
    <w:rsid w:val="00D97AAE"/>
    <w:rsid w:val="00DA6CF6"/>
    <w:rsid w:val="00DC2D07"/>
    <w:rsid w:val="00DC4ADC"/>
    <w:rsid w:val="00DC5A7B"/>
    <w:rsid w:val="00DC6E9C"/>
    <w:rsid w:val="00DC7A03"/>
    <w:rsid w:val="00DD6C62"/>
    <w:rsid w:val="00DE2F9A"/>
    <w:rsid w:val="00DE42B9"/>
    <w:rsid w:val="00DE755F"/>
    <w:rsid w:val="00DF0DE7"/>
    <w:rsid w:val="00E101E7"/>
    <w:rsid w:val="00E2236C"/>
    <w:rsid w:val="00E27565"/>
    <w:rsid w:val="00E32A01"/>
    <w:rsid w:val="00E346EC"/>
    <w:rsid w:val="00E3745C"/>
    <w:rsid w:val="00E37849"/>
    <w:rsid w:val="00E47F81"/>
    <w:rsid w:val="00E66B70"/>
    <w:rsid w:val="00E6779A"/>
    <w:rsid w:val="00E72285"/>
    <w:rsid w:val="00E759E7"/>
    <w:rsid w:val="00E8141D"/>
    <w:rsid w:val="00E864D0"/>
    <w:rsid w:val="00E93750"/>
    <w:rsid w:val="00E96CE2"/>
    <w:rsid w:val="00EA1993"/>
    <w:rsid w:val="00EA1A6D"/>
    <w:rsid w:val="00EB02D3"/>
    <w:rsid w:val="00EC7463"/>
    <w:rsid w:val="00EC77D6"/>
    <w:rsid w:val="00ED36ED"/>
    <w:rsid w:val="00EF1C4E"/>
    <w:rsid w:val="00F015F3"/>
    <w:rsid w:val="00F06212"/>
    <w:rsid w:val="00F13394"/>
    <w:rsid w:val="00F23E79"/>
    <w:rsid w:val="00F271DE"/>
    <w:rsid w:val="00F32A8C"/>
    <w:rsid w:val="00F34DEF"/>
    <w:rsid w:val="00F41C2F"/>
    <w:rsid w:val="00F42039"/>
    <w:rsid w:val="00F4512B"/>
    <w:rsid w:val="00F476B3"/>
    <w:rsid w:val="00F51F18"/>
    <w:rsid w:val="00F621FD"/>
    <w:rsid w:val="00F6518E"/>
    <w:rsid w:val="00F72529"/>
    <w:rsid w:val="00F72A02"/>
    <w:rsid w:val="00F8767D"/>
    <w:rsid w:val="00F914B9"/>
    <w:rsid w:val="00F93584"/>
    <w:rsid w:val="00FA69B7"/>
    <w:rsid w:val="00FA6BD0"/>
    <w:rsid w:val="00FA7898"/>
    <w:rsid w:val="00FB2040"/>
    <w:rsid w:val="00FB3475"/>
    <w:rsid w:val="00FB4057"/>
    <w:rsid w:val="00FC24B5"/>
    <w:rsid w:val="00FF0E25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A0DD1"/>
  <w15:chartTrackingRefBased/>
  <w15:docId w15:val="{253FDED8-8373-45EA-B2E1-FD198748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767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157242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157242"/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57242"/>
    <w:pPr>
      <w:keepLines/>
      <w:numPr>
        <w:numId w:val="3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UnorderedList">
    <w:name w:val="IEEEStds Unordered List"/>
    <w:rsid w:val="00157242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57242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157242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157242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157242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157242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157242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157242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157242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157242"/>
    <w:pPr>
      <w:numPr>
        <w:ilvl w:val="8"/>
      </w:numPr>
      <w:outlineLvl w:val="8"/>
    </w:pPr>
  </w:style>
  <w:style w:type="paragraph" w:customStyle="1" w:styleId="IEEEStdsRegularTableCaption">
    <w:name w:val="IEEEStds Regular Table Caption"/>
    <w:basedOn w:val="IEEEStdsParagraph"/>
    <w:next w:val="IEEEStdsParagraph"/>
    <w:rsid w:val="00DE2F9A"/>
    <w:pPr>
      <w:keepNext/>
      <w:keepLines/>
      <w:numPr>
        <w:numId w:val="5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CommentReference">
    <w:name w:val="annotation reference"/>
    <w:basedOn w:val="DefaultParagraphFont"/>
    <w:rsid w:val="000561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61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61F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6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61F8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0561F8"/>
    <w:rPr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0561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61F8"/>
    <w:rPr>
      <w:rFonts w:ascii="Segoe UI" w:hAnsi="Segoe UI" w:cs="Segoe UI"/>
      <w:sz w:val="18"/>
      <w:szCs w:val="18"/>
      <w:lang w:val="en-GB" w:eastAsia="en-US"/>
    </w:rPr>
  </w:style>
  <w:style w:type="paragraph" w:customStyle="1" w:styleId="IEEEStdsMultipleNotes">
    <w:name w:val="IEEEStds Multiple Notes"/>
    <w:basedOn w:val="Normal"/>
    <w:rsid w:val="00A93C4F"/>
    <w:pPr>
      <w:keepLines/>
      <w:numPr>
        <w:numId w:val="8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TableColumnHead">
    <w:name w:val="IEEEStds Table Column Head"/>
    <w:basedOn w:val="IEEEStdsParagraph"/>
    <w:rsid w:val="00A93C4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A93C4F"/>
    <w:pPr>
      <w:keepNext/>
      <w:keepLines/>
      <w:spacing w:after="0"/>
      <w:jc w:val="left"/>
    </w:pPr>
    <w:rPr>
      <w:sz w:val="18"/>
    </w:rPr>
  </w:style>
  <w:style w:type="paragraph" w:customStyle="1" w:styleId="IEEEStdsTableData-Center">
    <w:name w:val="IEEEStds Table Data - Center"/>
    <w:basedOn w:val="IEEEStdsParagraph"/>
    <w:rsid w:val="000767E6"/>
    <w:pPr>
      <w:keepNext/>
      <w:keepLines/>
      <w:spacing w:after="0"/>
      <w:jc w:val="center"/>
    </w:pPr>
    <w:rPr>
      <w:sz w:val="18"/>
    </w:rPr>
  </w:style>
  <w:style w:type="paragraph" w:customStyle="1" w:styleId="IEEEStdsNumberedListLevel1">
    <w:name w:val="IEEEStds Numbered List Level 1"/>
    <w:rsid w:val="000767E6"/>
    <w:pPr>
      <w:numPr>
        <w:numId w:val="10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0767E6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0767E6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0767E6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0767E6"/>
    <w:pPr>
      <w:numPr>
        <w:ilvl w:val="4"/>
      </w:numPr>
      <w:tabs>
        <w:tab w:val="clear" w:pos="1958"/>
        <w:tab w:val="left" w:pos="2405"/>
      </w:tabs>
      <w:outlineLvl w:val="4"/>
    </w:pPr>
  </w:style>
  <w:style w:type="character" w:customStyle="1" w:styleId="fontstyle01">
    <w:name w:val="fontstyle01"/>
    <w:basedOn w:val="DefaultParagraphFont"/>
    <w:rsid w:val="00BC5C4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77C3D"/>
    <w:rPr>
      <w:color w:val="808080"/>
    </w:rPr>
  </w:style>
  <w:style w:type="table" w:styleId="TableGrid">
    <w:name w:val="Table Grid"/>
    <w:basedOn w:val="TableNormal"/>
    <w:rsid w:val="0088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">
    <w:name w:val="H4"/>
    <w:aliases w:val="1.1.1.1"/>
    <w:next w:val="Normal"/>
    <w:uiPriority w:val="99"/>
    <w:rsid w:val="007A0F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Body">
    <w:name w:val="Body"/>
    <w:rsid w:val="00547C5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CellBody">
    <w:name w:val="CellBody"/>
    <w:uiPriority w:val="99"/>
    <w:rsid w:val="00547C5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</w:rPr>
  </w:style>
  <w:style w:type="paragraph" w:customStyle="1" w:styleId="CellHeading">
    <w:name w:val="CellHeading"/>
    <w:uiPriority w:val="99"/>
    <w:rsid w:val="00547C5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</w:rPr>
  </w:style>
  <w:style w:type="paragraph" w:customStyle="1" w:styleId="TableTitle">
    <w:name w:val="TableTitle"/>
    <w:next w:val="Normal"/>
    <w:uiPriority w:val="99"/>
    <w:rsid w:val="00547C5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yang\Documents\Specs\11aySFDtex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F8FFB-FB40-40F8-9BAF-445C6CEF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197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802.11-17/1213r0</dc:title>
  <dc:subject>Submission</dc:subject>
  <dc:creator>cheng.chen@intel.com</dc:creator>
  <cp:keywords>August 2017</cp:keywords>
  <dc:description>Cheng Chen, Intel</dc:description>
  <cp:lastModifiedBy>Chen, Cheng</cp:lastModifiedBy>
  <cp:revision>32</cp:revision>
  <cp:lastPrinted>2016-12-12T20:01:00Z</cp:lastPrinted>
  <dcterms:created xsi:type="dcterms:W3CDTF">2017-05-31T01:08:00Z</dcterms:created>
  <dcterms:modified xsi:type="dcterms:W3CDTF">2017-08-28T03:44:00Z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e5e2e5e4-2dab-4a41-9c0b-0e50ceb2f6ec</vt:lpwstr>
  </property>
  <property fmtid="{D5CDD505-2E9C-101B-9397-08002B2CF9AE}" pid="3" name="CTP_BU">
    <vt:lpwstr>NEXT GEN AND STANDARDS GROUP</vt:lpwstr>
  </property>
  <property fmtid="{D5CDD505-2E9C-101B-9397-08002B2CF9AE}" pid="4" name="CTP_TimeStamp">
    <vt:lpwstr>2017-03-03 18:31:49Z</vt:lpwstr>
  </property>
  <property fmtid="{D5CDD505-2E9C-101B-9397-08002B2CF9AE}" pid="5" name="CTPClassification">
    <vt:lpwstr>CTP_IC</vt:lpwstr>
  </property>
</Properties>
</file>