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841E7B8" w:rsidR="00CA09B2" w:rsidRDefault="009A6E39" w:rsidP="0018399F">
            <w:pPr>
              <w:pStyle w:val="T2"/>
            </w:pPr>
            <w:r w:rsidRPr="009A6E39">
              <w:t xml:space="preserve">Proposed resolution to </w:t>
            </w:r>
            <w:r w:rsidR="0018399F">
              <w:t>BF PHY</w:t>
            </w:r>
            <w:r w:rsidRPr="009A6E39">
              <w:t xml:space="preserve"> related CIDs</w:t>
            </w:r>
          </w:p>
        </w:tc>
      </w:tr>
      <w:tr w:rsidR="00CA09B2" w14:paraId="550B39F4" w14:textId="77777777" w:rsidTr="009A6E39">
        <w:trPr>
          <w:trHeight w:val="359"/>
          <w:jc w:val="center"/>
        </w:trPr>
        <w:tc>
          <w:tcPr>
            <w:tcW w:w="9576" w:type="dxa"/>
            <w:gridSpan w:val="5"/>
            <w:vAlign w:val="center"/>
          </w:tcPr>
          <w:p w14:paraId="0C2A7D07" w14:textId="57B9EE9C" w:rsidR="00CA09B2" w:rsidRDefault="00CA09B2" w:rsidP="00B01B16">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01B16">
              <w:rPr>
                <w:b w:val="0"/>
                <w:sz w:val="20"/>
              </w:rPr>
              <w:t>7</w:t>
            </w:r>
            <w:r>
              <w:rPr>
                <w:b w:val="0"/>
                <w:sz w:val="20"/>
              </w:rPr>
              <w:t>-</w:t>
            </w:r>
            <w:r w:rsidR="00D75B21">
              <w:rPr>
                <w:b w:val="0"/>
                <w:sz w:val="20"/>
              </w:rPr>
              <w:t>2</w:t>
            </w:r>
            <w:r w:rsidR="00B01B16">
              <w:rPr>
                <w:b w:val="0"/>
                <w:sz w:val="20"/>
              </w:rPr>
              <w:t>4</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77777777" w:rsidR="00CA09B2" w:rsidRDefault="009A6E39">
            <w:pPr>
              <w:pStyle w:val="T2"/>
              <w:spacing w:after="0"/>
              <w:ind w:left="0" w:right="0"/>
              <w:rPr>
                <w:b w:val="0"/>
                <w:sz w:val="20"/>
              </w:rPr>
            </w:pPr>
            <w:r>
              <w:rPr>
                <w:b w:val="0"/>
                <w:sz w:val="20"/>
              </w:rPr>
              <w:t>Claudio da Silva</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77777777" w:rsidR="00CA09B2" w:rsidRDefault="009A6E39">
            <w:pPr>
              <w:pStyle w:val="T2"/>
              <w:spacing w:after="0"/>
              <w:ind w:left="0" w:right="0"/>
              <w:rPr>
                <w:b w:val="0"/>
                <w:sz w:val="16"/>
              </w:rPr>
            </w:pPr>
            <w:r>
              <w:rPr>
                <w:b w:val="0"/>
                <w:sz w:val="16"/>
              </w:rPr>
              <w:t>claudio.da.silva@intel.com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2052" w:rsidRDefault="00292052">
                            <w:pPr>
                              <w:pStyle w:val="T1"/>
                              <w:spacing w:after="120"/>
                            </w:pPr>
                            <w:r>
                              <w:t>Abstract</w:t>
                            </w:r>
                          </w:p>
                          <w:p w14:paraId="2683A7ED" w14:textId="565BEE54" w:rsidR="00292052" w:rsidRDefault="00292052" w:rsidP="009A6E39">
                            <w:pPr>
                              <w:jc w:val="both"/>
                            </w:pPr>
                            <w:r>
                              <w:t>This submission proposes a resolution to several CIDs submitted on the 11ay draft text related to BF PHY.</w:t>
                            </w:r>
                          </w:p>
                          <w:p w14:paraId="23CDF17C" w14:textId="77777777" w:rsidR="00292052" w:rsidRDefault="00292052" w:rsidP="009A6E39">
                            <w:pPr>
                              <w:jc w:val="both"/>
                            </w:pPr>
                          </w:p>
                          <w:p w14:paraId="2EB5F957" w14:textId="77777777" w:rsidR="00292052" w:rsidRDefault="00292052"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2052" w:rsidRDefault="00292052">
                      <w:pPr>
                        <w:pStyle w:val="T1"/>
                        <w:spacing w:after="120"/>
                      </w:pPr>
                      <w:r>
                        <w:t>Abstract</w:t>
                      </w:r>
                    </w:p>
                    <w:p w14:paraId="2683A7ED" w14:textId="565BEE54" w:rsidR="00292052" w:rsidRDefault="00292052" w:rsidP="009A6E39">
                      <w:pPr>
                        <w:jc w:val="both"/>
                      </w:pPr>
                      <w:r>
                        <w:t>This submission proposes a resolution to several CIDs submitted on the 11ay draft text related to BF PHY.</w:t>
                      </w:r>
                    </w:p>
                    <w:p w14:paraId="23CDF17C" w14:textId="77777777" w:rsidR="00292052" w:rsidRDefault="00292052" w:rsidP="009A6E39">
                      <w:pPr>
                        <w:jc w:val="both"/>
                      </w:pPr>
                    </w:p>
                    <w:p w14:paraId="2EB5F957" w14:textId="77777777" w:rsidR="00292052" w:rsidRDefault="00292052"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2"/>
        <w:gridCol w:w="1096"/>
        <w:gridCol w:w="898"/>
        <w:gridCol w:w="4260"/>
        <w:gridCol w:w="2474"/>
      </w:tblGrid>
      <w:tr w:rsidR="00906BF4" w14:paraId="35F2F26A" w14:textId="77777777" w:rsidTr="00292052">
        <w:tc>
          <w:tcPr>
            <w:tcW w:w="622" w:type="dxa"/>
          </w:tcPr>
          <w:p w14:paraId="5A938B39" w14:textId="77777777" w:rsidR="00906BF4" w:rsidRPr="0064306F" w:rsidRDefault="00906BF4" w:rsidP="00292052">
            <w:pPr>
              <w:rPr>
                <w:b/>
                <w:sz w:val="16"/>
                <w:szCs w:val="16"/>
              </w:rPr>
            </w:pPr>
            <w:r w:rsidRPr="0064306F">
              <w:rPr>
                <w:b/>
                <w:sz w:val="16"/>
                <w:szCs w:val="16"/>
              </w:rPr>
              <w:lastRenderedPageBreak/>
              <w:t>CID</w:t>
            </w:r>
          </w:p>
        </w:tc>
        <w:tc>
          <w:tcPr>
            <w:tcW w:w="1096" w:type="dxa"/>
          </w:tcPr>
          <w:p w14:paraId="6950E711" w14:textId="77777777" w:rsidR="00906BF4" w:rsidRPr="0064306F" w:rsidRDefault="00906BF4" w:rsidP="00292052">
            <w:pPr>
              <w:rPr>
                <w:b/>
                <w:sz w:val="16"/>
                <w:szCs w:val="16"/>
              </w:rPr>
            </w:pPr>
            <w:r w:rsidRPr="0064306F">
              <w:rPr>
                <w:b/>
                <w:sz w:val="16"/>
                <w:szCs w:val="16"/>
              </w:rPr>
              <w:t>Clause</w:t>
            </w:r>
          </w:p>
        </w:tc>
        <w:tc>
          <w:tcPr>
            <w:tcW w:w="898" w:type="dxa"/>
          </w:tcPr>
          <w:p w14:paraId="5FBD5D74" w14:textId="77777777" w:rsidR="00906BF4" w:rsidRPr="0064306F" w:rsidRDefault="00906BF4" w:rsidP="00292052">
            <w:pPr>
              <w:rPr>
                <w:b/>
                <w:sz w:val="16"/>
                <w:szCs w:val="16"/>
              </w:rPr>
            </w:pPr>
            <w:r w:rsidRPr="0064306F">
              <w:rPr>
                <w:b/>
                <w:sz w:val="16"/>
                <w:szCs w:val="16"/>
              </w:rPr>
              <w:t>Page</w:t>
            </w:r>
          </w:p>
        </w:tc>
        <w:tc>
          <w:tcPr>
            <w:tcW w:w="4260" w:type="dxa"/>
          </w:tcPr>
          <w:p w14:paraId="7EB702A7" w14:textId="77777777" w:rsidR="00906BF4" w:rsidRPr="0064306F" w:rsidRDefault="00906BF4" w:rsidP="00292052">
            <w:pPr>
              <w:rPr>
                <w:b/>
                <w:sz w:val="16"/>
                <w:szCs w:val="16"/>
              </w:rPr>
            </w:pPr>
            <w:r w:rsidRPr="0064306F">
              <w:rPr>
                <w:b/>
                <w:sz w:val="16"/>
                <w:szCs w:val="16"/>
              </w:rPr>
              <w:t>Comment</w:t>
            </w:r>
          </w:p>
        </w:tc>
        <w:tc>
          <w:tcPr>
            <w:tcW w:w="2474" w:type="dxa"/>
          </w:tcPr>
          <w:p w14:paraId="4DEDC6DD" w14:textId="77777777" w:rsidR="00906BF4" w:rsidRPr="0064306F" w:rsidRDefault="00906BF4" w:rsidP="00292052">
            <w:pPr>
              <w:rPr>
                <w:b/>
                <w:sz w:val="16"/>
                <w:szCs w:val="16"/>
              </w:rPr>
            </w:pPr>
            <w:r w:rsidRPr="0064306F">
              <w:rPr>
                <w:b/>
                <w:sz w:val="16"/>
                <w:szCs w:val="16"/>
              </w:rPr>
              <w:t>Proposed change</w:t>
            </w:r>
          </w:p>
        </w:tc>
      </w:tr>
      <w:tr w:rsidR="00906BF4" w14:paraId="33737AA6" w14:textId="77777777" w:rsidTr="00292052">
        <w:tc>
          <w:tcPr>
            <w:tcW w:w="622" w:type="dxa"/>
          </w:tcPr>
          <w:p w14:paraId="444A9616" w14:textId="77777777" w:rsidR="00906BF4" w:rsidRDefault="00906BF4" w:rsidP="00292052">
            <w:r>
              <w:t>102</w:t>
            </w:r>
          </w:p>
        </w:tc>
        <w:tc>
          <w:tcPr>
            <w:tcW w:w="1096" w:type="dxa"/>
          </w:tcPr>
          <w:p w14:paraId="7C6CB210" w14:textId="77777777" w:rsidR="00906BF4" w:rsidRDefault="00906BF4" w:rsidP="00292052">
            <w:r w:rsidRPr="00832257">
              <w:t>30.9.2.2.3</w:t>
            </w:r>
          </w:p>
        </w:tc>
        <w:tc>
          <w:tcPr>
            <w:tcW w:w="898" w:type="dxa"/>
          </w:tcPr>
          <w:p w14:paraId="70F81B7A" w14:textId="77777777" w:rsidR="00906BF4" w:rsidRDefault="00906BF4" w:rsidP="00292052">
            <w:r w:rsidRPr="00832257">
              <w:t>155.36</w:t>
            </w:r>
          </w:p>
        </w:tc>
        <w:tc>
          <w:tcPr>
            <w:tcW w:w="4260" w:type="dxa"/>
          </w:tcPr>
          <w:p w14:paraId="79430756" w14:textId="77777777" w:rsidR="00906BF4" w:rsidRDefault="00906BF4" w:rsidP="00292052">
            <w:r w:rsidRPr="00832257">
              <w:t>To have a more efficient mode, P=0, M=6, and N=3 should also be a mandatory TRN mode</w:t>
            </w:r>
          </w:p>
        </w:tc>
        <w:tc>
          <w:tcPr>
            <w:tcW w:w="2474" w:type="dxa"/>
          </w:tcPr>
          <w:p w14:paraId="1B7D5D5D" w14:textId="77777777" w:rsidR="00906BF4" w:rsidRPr="00832257" w:rsidRDefault="00906BF4" w:rsidP="00292052">
            <w:r w:rsidRPr="00832257">
              <w:t>As in comment</w:t>
            </w:r>
          </w:p>
        </w:tc>
      </w:tr>
    </w:tbl>
    <w:p w14:paraId="7034FF2E" w14:textId="77777777" w:rsidR="00906BF4" w:rsidRDefault="00906BF4" w:rsidP="00906BF4"/>
    <w:p w14:paraId="22B0D7E1" w14:textId="77777777" w:rsidR="00906BF4" w:rsidRPr="00D225FF" w:rsidRDefault="00906BF4" w:rsidP="00906BF4">
      <w:r w:rsidRPr="00D225FF">
        <w:rPr>
          <w:b/>
        </w:rPr>
        <w:t>Proposed resolution</w:t>
      </w:r>
      <w:r w:rsidRPr="00D225FF">
        <w:t>: Revised</w:t>
      </w:r>
    </w:p>
    <w:p w14:paraId="75568DEE" w14:textId="77777777" w:rsidR="00906BF4" w:rsidRPr="00D225FF" w:rsidRDefault="00906BF4" w:rsidP="00906BF4"/>
    <w:p w14:paraId="7E3441D2" w14:textId="25035DA9" w:rsidR="00906BF4" w:rsidRPr="00906BF4" w:rsidRDefault="005950C0" w:rsidP="00906BF4">
      <w:r w:rsidRPr="005950C0">
        <w:rPr>
          <w:i/>
        </w:rPr>
        <w:t>Discussion</w:t>
      </w:r>
      <w:r w:rsidR="00BB5D7F" w:rsidRPr="005950C0">
        <w:rPr>
          <w:i/>
        </w:rPr>
        <w:t>:</w:t>
      </w:r>
      <w:r w:rsidR="00BB5D7F">
        <w:t xml:space="preserve"> </w:t>
      </w:r>
      <w:r w:rsidR="00906BF4" w:rsidRPr="00906BF4">
        <w:t xml:space="preserve">A motion </w:t>
      </w:r>
      <w:r w:rsidR="006B5D67">
        <w:t>approved</w:t>
      </w:r>
      <w:r w:rsidR="00906BF4" w:rsidRPr="00906BF4">
        <w:t xml:space="preserve"> in the July 2017 plenary </w:t>
      </w:r>
      <w:r w:rsidR="00D91C07">
        <w:t>(</w:t>
      </w:r>
      <w:r w:rsidR="00D91C07" w:rsidRPr="00D91C07">
        <w:t>#252, based on the draft text proposed in 11-17-1042-01-00ay</w:t>
      </w:r>
      <w:r w:rsidR="00D91C07">
        <w:t xml:space="preserve">) defined various mandatory TRN-Unit configuration modes with P = 0, including the one </w:t>
      </w:r>
      <w:r w:rsidR="001113B2">
        <w:t>suggested</w:t>
      </w:r>
      <w:r w:rsidR="00D91C07">
        <w:t xml:space="preserve"> by the commenter.</w:t>
      </w:r>
    </w:p>
    <w:p w14:paraId="6C1B8FF1" w14:textId="77777777" w:rsidR="00906BF4" w:rsidRDefault="00906BF4" w:rsidP="00906BF4"/>
    <w:p w14:paraId="3C2E6F7D" w14:textId="77777777" w:rsidR="00906BF4" w:rsidRDefault="00906BF4" w:rsidP="00906BF4"/>
    <w:p w14:paraId="388CBD07" w14:textId="77777777" w:rsidR="00EF14C9" w:rsidRDefault="00EF14C9" w:rsidP="00906BF4"/>
    <w:tbl>
      <w:tblPr>
        <w:tblStyle w:val="TableGrid"/>
        <w:tblW w:w="0" w:type="auto"/>
        <w:tblLook w:val="04A0" w:firstRow="1" w:lastRow="0" w:firstColumn="1" w:lastColumn="0" w:noHBand="0" w:noVBand="1"/>
      </w:tblPr>
      <w:tblGrid>
        <w:gridCol w:w="622"/>
        <w:gridCol w:w="1096"/>
        <w:gridCol w:w="898"/>
        <w:gridCol w:w="4256"/>
        <w:gridCol w:w="2478"/>
      </w:tblGrid>
      <w:tr w:rsidR="00906BF4" w14:paraId="699E68B0" w14:textId="77777777" w:rsidTr="00906BF4">
        <w:tc>
          <w:tcPr>
            <w:tcW w:w="622" w:type="dxa"/>
          </w:tcPr>
          <w:p w14:paraId="5C77D7EA" w14:textId="77777777" w:rsidR="00906BF4" w:rsidRPr="0064306F" w:rsidRDefault="00906BF4" w:rsidP="00292052">
            <w:pPr>
              <w:rPr>
                <w:b/>
                <w:sz w:val="16"/>
                <w:szCs w:val="16"/>
              </w:rPr>
            </w:pPr>
            <w:r w:rsidRPr="0064306F">
              <w:rPr>
                <w:b/>
                <w:sz w:val="16"/>
                <w:szCs w:val="16"/>
              </w:rPr>
              <w:t>CID</w:t>
            </w:r>
          </w:p>
        </w:tc>
        <w:tc>
          <w:tcPr>
            <w:tcW w:w="1096" w:type="dxa"/>
          </w:tcPr>
          <w:p w14:paraId="7CA30D1D" w14:textId="77777777" w:rsidR="00906BF4" w:rsidRPr="0064306F" w:rsidRDefault="00906BF4" w:rsidP="00292052">
            <w:pPr>
              <w:rPr>
                <w:b/>
                <w:sz w:val="16"/>
                <w:szCs w:val="16"/>
              </w:rPr>
            </w:pPr>
            <w:r w:rsidRPr="0064306F">
              <w:rPr>
                <w:b/>
                <w:sz w:val="16"/>
                <w:szCs w:val="16"/>
              </w:rPr>
              <w:t>Clause</w:t>
            </w:r>
          </w:p>
        </w:tc>
        <w:tc>
          <w:tcPr>
            <w:tcW w:w="898" w:type="dxa"/>
          </w:tcPr>
          <w:p w14:paraId="163AFAF6" w14:textId="77777777" w:rsidR="00906BF4" w:rsidRPr="0064306F" w:rsidRDefault="00906BF4" w:rsidP="00292052">
            <w:pPr>
              <w:rPr>
                <w:b/>
                <w:sz w:val="16"/>
                <w:szCs w:val="16"/>
              </w:rPr>
            </w:pPr>
            <w:r w:rsidRPr="0064306F">
              <w:rPr>
                <w:b/>
                <w:sz w:val="16"/>
                <w:szCs w:val="16"/>
              </w:rPr>
              <w:t>Page</w:t>
            </w:r>
          </w:p>
        </w:tc>
        <w:tc>
          <w:tcPr>
            <w:tcW w:w="4256" w:type="dxa"/>
          </w:tcPr>
          <w:p w14:paraId="6FBA78B8" w14:textId="77777777" w:rsidR="00906BF4" w:rsidRPr="0064306F" w:rsidRDefault="00906BF4" w:rsidP="00292052">
            <w:pPr>
              <w:rPr>
                <w:b/>
                <w:sz w:val="16"/>
                <w:szCs w:val="16"/>
              </w:rPr>
            </w:pPr>
            <w:r w:rsidRPr="0064306F">
              <w:rPr>
                <w:b/>
                <w:sz w:val="16"/>
                <w:szCs w:val="16"/>
              </w:rPr>
              <w:t>Comment</w:t>
            </w:r>
          </w:p>
        </w:tc>
        <w:tc>
          <w:tcPr>
            <w:tcW w:w="2478" w:type="dxa"/>
          </w:tcPr>
          <w:p w14:paraId="5FB62460" w14:textId="77777777" w:rsidR="00906BF4" w:rsidRPr="0064306F" w:rsidRDefault="00906BF4" w:rsidP="00292052">
            <w:pPr>
              <w:rPr>
                <w:b/>
                <w:sz w:val="16"/>
                <w:szCs w:val="16"/>
              </w:rPr>
            </w:pPr>
            <w:r w:rsidRPr="0064306F">
              <w:rPr>
                <w:b/>
                <w:sz w:val="16"/>
                <w:szCs w:val="16"/>
              </w:rPr>
              <w:t>Proposed change</w:t>
            </w:r>
          </w:p>
        </w:tc>
      </w:tr>
      <w:tr w:rsidR="00906BF4" w14:paraId="3E2D1BD2" w14:textId="77777777" w:rsidTr="00906BF4">
        <w:tc>
          <w:tcPr>
            <w:tcW w:w="622" w:type="dxa"/>
          </w:tcPr>
          <w:p w14:paraId="7D2324C4" w14:textId="77777777" w:rsidR="00906BF4" w:rsidRDefault="00906BF4" w:rsidP="00292052">
            <w:r>
              <w:t>301</w:t>
            </w:r>
          </w:p>
        </w:tc>
        <w:tc>
          <w:tcPr>
            <w:tcW w:w="1096" w:type="dxa"/>
          </w:tcPr>
          <w:p w14:paraId="48466492" w14:textId="77777777" w:rsidR="00906BF4" w:rsidRDefault="00906BF4" w:rsidP="00292052">
            <w:r w:rsidRPr="001E0720">
              <w:t>30.9.2.2.7</w:t>
            </w:r>
          </w:p>
        </w:tc>
        <w:tc>
          <w:tcPr>
            <w:tcW w:w="898" w:type="dxa"/>
          </w:tcPr>
          <w:p w14:paraId="4F8D0822" w14:textId="77777777" w:rsidR="00906BF4" w:rsidRDefault="00906BF4" w:rsidP="00292052">
            <w:r>
              <w:t>158.07</w:t>
            </w:r>
          </w:p>
        </w:tc>
        <w:tc>
          <w:tcPr>
            <w:tcW w:w="4256" w:type="dxa"/>
          </w:tcPr>
          <w:p w14:paraId="707DEB0C" w14:textId="77777777" w:rsidR="00906BF4" w:rsidRDefault="00906BF4" w:rsidP="00292052">
            <w:r w:rsidRPr="001E0720">
              <w:t xml:space="preserve">P=0 is a valid value, if P=0, how to do channel </w:t>
            </w:r>
            <w:proofErr w:type="gramStart"/>
            <w:r w:rsidRPr="001E0720">
              <w:t>measurement ?</w:t>
            </w:r>
            <w:proofErr w:type="gramEnd"/>
          </w:p>
        </w:tc>
        <w:tc>
          <w:tcPr>
            <w:tcW w:w="2478" w:type="dxa"/>
          </w:tcPr>
          <w:p w14:paraId="29AF1E60" w14:textId="77777777" w:rsidR="00906BF4" w:rsidRPr="00832257" w:rsidRDefault="00906BF4" w:rsidP="00292052">
            <w:r w:rsidRPr="001E0720">
              <w:t xml:space="preserve">Add more text to clarify the </w:t>
            </w:r>
            <w:proofErr w:type="spellStart"/>
            <w:r w:rsidRPr="001E0720">
              <w:t>funtion</w:t>
            </w:r>
            <w:proofErr w:type="spellEnd"/>
            <w:r w:rsidRPr="001E0720">
              <w:t xml:space="preserve"> of channel estimation and beamforming training, when p=0.</w:t>
            </w:r>
          </w:p>
        </w:tc>
      </w:tr>
    </w:tbl>
    <w:p w14:paraId="3503FABA" w14:textId="77777777" w:rsidR="00906BF4" w:rsidRDefault="00906BF4" w:rsidP="00906BF4"/>
    <w:p w14:paraId="74B67B4C" w14:textId="77777777" w:rsidR="00906BF4" w:rsidRPr="00D225FF" w:rsidRDefault="00906BF4" w:rsidP="00906BF4">
      <w:r w:rsidRPr="00D225FF">
        <w:rPr>
          <w:b/>
        </w:rPr>
        <w:t>Proposed resolution</w:t>
      </w:r>
      <w:r w:rsidRPr="00D225FF">
        <w:t>: Revised</w:t>
      </w:r>
    </w:p>
    <w:p w14:paraId="17A508A0" w14:textId="77777777" w:rsidR="00906BF4" w:rsidRPr="00D225FF" w:rsidRDefault="00906BF4" w:rsidP="00906BF4"/>
    <w:p w14:paraId="0BBBD20E" w14:textId="37A81F94" w:rsidR="00D91C07" w:rsidRPr="00906BF4" w:rsidRDefault="005950C0" w:rsidP="00D91C07">
      <w:r w:rsidRPr="005950C0">
        <w:rPr>
          <w:i/>
        </w:rPr>
        <w:t>Discussion</w:t>
      </w:r>
      <w:r w:rsidR="00BB5D7F" w:rsidRPr="005950C0">
        <w:rPr>
          <w:i/>
        </w:rPr>
        <w:t>:</w:t>
      </w:r>
      <w:r w:rsidR="00BB5D7F">
        <w:t xml:space="preserve"> </w:t>
      </w:r>
      <w:r w:rsidR="00D91C07" w:rsidRPr="00906BF4">
        <w:t xml:space="preserve">A motion </w:t>
      </w:r>
      <w:r w:rsidR="006B5D67">
        <w:t>approved</w:t>
      </w:r>
      <w:r w:rsidR="00D91C07" w:rsidRPr="00906BF4">
        <w:t xml:space="preserve"> in the July 2017 plenary </w:t>
      </w:r>
      <w:r w:rsidR="00D91C07">
        <w:t>(</w:t>
      </w:r>
      <w:r w:rsidR="00D91C07" w:rsidRPr="00D91C07">
        <w:t>#252, based on the draft text proposed in 11-17-1042-01-00ay</w:t>
      </w:r>
      <w:r w:rsidR="00D91C07">
        <w:t xml:space="preserve">) added text </w:t>
      </w:r>
      <w:r w:rsidR="006B5D67">
        <w:t>to</w:t>
      </w:r>
      <w:r w:rsidR="00D91C07">
        <w:t xml:space="preserve"> the spec draft that specifies that “</w:t>
      </w:r>
      <w:r w:rsidR="006B5D67">
        <w:t>(</w:t>
      </w:r>
      <w:proofErr w:type="spellStart"/>
      <w:r w:rsidR="006B5D67">
        <w:t>i</w:t>
      </w:r>
      <w:proofErr w:type="spellEnd"/>
      <w:r w:rsidR="006B5D67">
        <w:t>)</w:t>
      </w:r>
      <w:proofErr w:type="spellStart"/>
      <w:r w:rsidR="00D91C07" w:rsidRPr="00D91C07">
        <w:t>f</w:t>
      </w:r>
      <w:proofErr w:type="spellEnd"/>
      <w:r w:rsidR="00D91C07" w:rsidRPr="00D91C07">
        <w:t xml:space="preserve"> the Channel Measurement Requested subfield in the DMG Beam Refinement element within a BRP frame is equal to 1, the TXVECTOR parameter EDMG_TRN_P shall not be set to 0.</w:t>
      </w:r>
      <w:r w:rsidR="00D91C07">
        <w:t>”  In other words, a STA requesting transmit training shall not use a TRN-Unit configuration with P = 0 if channel measurements are requested.  This configuration may be used if SNR measurements are requested.</w:t>
      </w:r>
    </w:p>
    <w:p w14:paraId="1FAD2146" w14:textId="77777777" w:rsidR="00906BF4" w:rsidRDefault="00906BF4" w:rsidP="00906BF4"/>
    <w:p w14:paraId="13BC53DE" w14:textId="77777777" w:rsidR="00EF14C9" w:rsidRDefault="00EF14C9" w:rsidP="00EF14C9"/>
    <w:p w14:paraId="02B6B200" w14:textId="77777777" w:rsidR="00C43087" w:rsidRDefault="00C43087" w:rsidP="00C43087"/>
    <w:tbl>
      <w:tblPr>
        <w:tblStyle w:val="TableGrid"/>
        <w:tblW w:w="0" w:type="auto"/>
        <w:tblLook w:val="04A0" w:firstRow="1" w:lastRow="0" w:firstColumn="1" w:lastColumn="0" w:noHBand="0" w:noVBand="1"/>
      </w:tblPr>
      <w:tblGrid>
        <w:gridCol w:w="620"/>
        <w:gridCol w:w="1206"/>
        <w:gridCol w:w="889"/>
        <w:gridCol w:w="4198"/>
        <w:gridCol w:w="2437"/>
      </w:tblGrid>
      <w:tr w:rsidR="00C43087" w14:paraId="3F5E7378" w14:textId="77777777" w:rsidTr="00F603D1">
        <w:tc>
          <w:tcPr>
            <w:tcW w:w="624" w:type="dxa"/>
          </w:tcPr>
          <w:p w14:paraId="35D76545" w14:textId="77777777" w:rsidR="00C43087" w:rsidRPr="0064306F" w:rsidRDefault="00C43087" w:rsidP="00F603D1">
            <w:pPr>
              <w:rPr>
                <w:b/>
                <w:sz w:val="16"/>
                <w:szCs w:val="16"/>
              </w:rPr>
            </w:pPr>
            <w:r w:rsidRPr="0064306F">
              <w:rPr>
                <w:b/>
                <w:sz w:val="16"/>
                <w:szCs w:val="16"/>
              </w:rPr>
              <w:t>CID</w:t>
            </w:r>
          </w:p>
        </w:tc>
        <w:tc>
          <w:tcPr>
            <w:tcW w:w="991" w:type="dxa"/>
          </w:tcPr>
          <w:p w14:paraId="2354D58C" w14:textId="77777777" w:rsidR="00C43087" w:rsidRPr="0064306F" w:rsidRDefault="00C43087" w:rsidP="00F603D1">
            <w:pPr>
              <w:rPr>
                <w:b/>
                <w:sz w:val="16"/>
                <w:szCs w:val="16"/>
              </w:rPr>
            </w:pPr>
            <w:r w:rsidRPr="0064306F">
              <w:rPr>
                <w:b/>
                <w:sz w:val="16"/>
                <w:szCs w:val="16"/>
              </w:rPr>
              <w:t>Clause</w:t>
            </w:r>
          </w:p>
        </w:tc>
        <w:tc>
          <w:tcPr>
            <w:tcW w:w="900" w:type="dxa"/>
          </w:tcPr>
          <w:p w14:paraId="08911F4C" w14:textId="77777777" w:rsidR="00C43087" w:rsidRPr="0064306F" w:rsidRDefault="00C43087" w:rsidP="00F603D1">
            <w:pPr>
              <w:rPr>
                <w:b/>
                <w:sz w:val="16"/>
                <w:szCs w:val="16"/>
              </w:rPr>
            </w:pPr>
            <w:r w:rsidRPr="0064306F">
              <w:rPr>
                <w:b/>
                <w:sz w:val="16"/>
                <w:szCs w:val="16"/>
              </w:rPr>
              <w:t>Page</w:t>
            </w:r>
          </w:p>
        </w:tc>
        <w:tc>
          <w:tcPr>
            <w:tcW w:w="4329" w:type="dxa"/>
          </w:tcPr>
          <w:p w14:paraId="426A6C5E" w14:textId="77777777" w:rsidR="00C43087" w:rsidRPr="0064306F" w:rsidRDefault="00C43087" w:rsidP="00F603D1">
            <w:pPr>
              <w:rPr>
                <w:b/>
                <w:sz w:val="16"/>
                <w:szCs w:val="16"/>
              </w:rPr>
            </w:pPr>
            <w:r w:rsidRPr="0064306F">
              <w:rPr>
                <w:b/>
                <w:sz w:val="16"/>
                <w:szCs w:val="16"/>
              </w:rPr>
              <w:t>Comment</w:t>
            </w:r>
          </w:p>
        </w:tc>
        <w:tc>
          <w:tcPr>
            <w:tcW w:w="2506" w:type="dxa"/>
          </w:tcPr>
          <w:p w14:paraId="07CC301D" w14:textId="77777777" w:rsidR="00C43087" w:rsidRPr="0064306F" w:rsidRDefault="00C43087" w:rsidP="00F603D1">
            <w:pPr>
              <w:rPr>
                <w:b/>
                <w:sz w:val="16"/>
                <w:szCs w:val="16"/>
              </w:rPr>
            </w:pPr>
            <w:r w:rsidRPr="0064306F">
              <w:rPr>
                <w:b/>
                <w:sz w:val="16"/>
                <w:szCs w:val="16"/>
              </w:rPr>
              <w:t>Proposed change</w:t>
            </w:r>
          </w:p>
        </w:tc>
      </w:tr>
      <w:tr w:rsidR="00C43087" w:rsidRPr="002B25D4" w14:paraId="232102EF" w14:textId="77777777" w:rsidTr="00F603D1">
        <w:tc>
          <w:tcPr>
            <w:tcW w:w="624" w:type="dxa"/>
          </w:tcPr>
          <w:p w14:paraId="25809F82" w14:textId="77777777" w:rsidR="00C43087" w:rsidRPr="002B25D4" w:rsidRDefault="00C43087" w:rsidP="00F603D1">
            <w:r w:rsidRPr="002B25D4">
              <w:t>399</w:t>
            </w:r>
          </w:p>
        </w:tc>
        <w:tc>
          <w:tcPr>
            <w:tcW w:w="991" w:type="dxa"/>
          </w:tcPr>
          <w:p w14:paraId="5273FAB1" w14:textId="77777777" w:rsidR="00C43087" w:rsidRPr="002B25D4" w:rsidRDefault="00C43087" w:rsidP="00F603D1">
            <w:r w:rsidRPr="002B25D4">
              <w:t>10.38.9.5.2</w:t>
            </w:r>
          </w:p>
        </w:tc>
        <w:tc>
          <w:tcPr>
            <w:tcW w:w="900" w:type="dxa"/>
          </w:tcPr>
          <w:p w14:paraId="4665488B" w14:textId="77777777" w:rsidR="00C43087" w:rsidRPr="002B25D4" w:rsidRDefault="00C43087" w:rsidP="00F603D1">
            <w:r w:rsidRPr="002B25D4">
              <w:t>78.19</w:t>
            </w:r>
          </w:p>
        </w:tc>
        <w:tc>
          <w:tcPr>
            <w:tcW w:w="4329" w:type="dxa"/>
          </w:tcPr>
          <w:p w14:paraId="369CDA15" w14:textId="77777777" w:rsidR="00C43087" w:rsidRPr="002B25D4" w:rsidRDefault="00C43087" w:rsidP="00F603D1">
            <w:r w:rsidRPr="002B25D4">
              <w:t xml:space="preserve">How </w:t>
            </w:r>
            <w:proofErr w:type="gramStart"/>
            <w:r w:rsidRPr="002B25D4">
              <w:t>is the P TRN subfield</w:t>
            </w:r>
            <w:proofErr w:type="gramEnd"/>
            <w:r w:rsidRPr="002B25D4">
              <w:t xml:space="preserve"> is transmitted? They should be transmitted/received using the same </w:t>
            </w:r>
            <w:proofErr w:type="spellStart"/>
            <w:r w:rsidRPr="002B25D4">
              <w:t>awv</w:t>
            </w:r>
            <w:proofErr w:type="spellEnd"/>
            <w:r w:rsidRPr="002B25D4">
              <w:t xml:space="preserve"> as preamble and data, but the TRN subfields immediately follows uses a different antenna</w:t>
            </w:r>
          </w:p>
        </w:tc>
        <w:tc>
          <w:tcPr>
            <w:tcW w:w="2506" w:type="dxa"/>
          </w:tcPr>
          <w:p w14:paraId="3A672C73" w14:textId="77777777" w:rsidR="00C43087" w:rsidRPr="002B25D4" w:rsidRDefault="00C43087" w:rsidP="00F603D1">
            <w:r w:rsidRPr="002B25D4">
              <w:t>Add a requirement that EDMG TRN-Unit P is set to 0 in BRP-TX packet in BRP TXSS, add mandatory capability of TP0 and RP0</w:t>
            </w:r>
          </w:p>
        </w:tc>
      </w:tr>
    </w:tbl>
    <w:p w14:paraId="447A456B" w14:textId="77777777" w:rsidR="00C43087" w:rsidRDefault="00C43087" w:rsidP="00C43087"/>
    <w:p w14:paraId="1515FC71" w14:textId="77777777" w:rsidR="00C43087" w:rsidRPr="00D225FF" w:rsidRDefault="00C43087" w:rsidP="00C43087">
      <w:r w:rsidRPr="00D225FF">
        <w:rPr>
          <w:b/>
        </w:rPr>
        <w:t>Proposed resolution</w:t>
      </w:r>
      <w:r w:rsidRPr="00D225FF">
        <w:t>: Revised</w:t>
      </w:r>
    </w:p>
    <w:p w14:paraId="0782386C" w14:textId="77777777" w:rsidR="00C43087" w:rsidRPr="00D225FF" w:rsidRDefault="00C43087" w:rsidP="00C43087"/>
    <w:p w14:paraId="29BB31A5" w14:textId="4FEECCC9" w:rsidR="00C43087" w:rsidRPr="00906BF4" w:rsidRDefault="00C43087" w:rsidP="00C43087">
      <w:r w:rsidRPr="005950C0">
        <w:rPr>
          <w:i/>
        </w:rPr>
        <w:t>Discussion:</w:t>
      </w:r>
      <w:r>
        <w:t xml:space="preserve"> </w:t>
      </w:r>
      <w:r w:rsidRPr="00906BF4">
        <w:t xml:space="preserve">A motion </w:t>
      </w:r>
      <w:r>
        <w:t>approved</w:t>
      </w:r>
      <w:r w:rsidRPr="00906BF4">
        <w:t xml:space="preserve"> in the July 2017 plenary </w:t>
      </w:r>
      <w:r>
        <w:t>(</w:t>
      </w:r>
      <w:r w:rsidRPr="00D91C07">
        <w:t>#252, based on the draft text proposed in 11-17-1042-01-00ay</w:t>
      </w:r>
      <w:r>
        <w:t>) addressed the transmission of CE TRN subfields in BRP TXSS when the data and TRN fields are transmitted with different antennas.  As suggested by the commenter, TRN-Unit configuration modes with P = 0 were included in the specification draft.  If CE TRN subfields are transmitted, an implementation chose</w:t>
      </w:r>
      <w:r w:rsidR="00ED6AD2">
        <w:t>n</w:t>
      </w:r>
      <w:r>
        <w:t xml:space="preserve"> AWV may be used.</w:t>
      </w:r>
    </w:p>
    <w:p w14:paraId="5E71B0AC" w14:textId="77777777" w:rsidR="00C43087" w:rsidRDefault="00C43087" w:rsidP="00EF14C9"/>
    <w:p w14:paraId="0D6C5971" w14:textId="77777777" w:rsidR="00C43087" w:rsidRDefault="00C43087" w:rsidP="00EF14C9"/>
    <w:p w14:paraId="1555D59F" w14:textId="77777777" w:rsidR="00C43087" w:rsidRDefault="00C43087" w:rsidP="00EF14C9"/>
    <w:p w14:paraId="18F0FF51" w14:textId="77777777" w:rsidR="00C43087" w:rsidRDefault="00C43087" w:rsidP="00EF14C9"/>
    <w:p w14:paraId="707F95FF" w14:textId="77777777" w:rsidR="00C43087" w:rsidRDefault="00C43087" w:rsidP="00EF14C9"/>
    <w:p w14:paraId="69AA5417" w14:textId="77777777" w:rsidR="00C43087" w:rsidRDefault="00C43087" w:rsidP="00EF14C9"/>
    <w:p w14:paraId="4A93B0EB" w14:textId="77777777" w:rsidR="00C43087" w:rsidRDefault="00C43087" w:rsidP="00EF14C9"/>
    <w:tbl>
      <w:tblPr>
        <w:tblStyle w:val="TableGrid"/>
        <w:tblW w:w="0" w:type="auto"/>
        <w:tblLook w:val="04A0" w:firstRow="1" w:lastRow="0" w:firstColumn="1" w:lastColumn="0" w:noHBand="0" w:noVBand="1"/>
      </w:tblPr>
      <w:tblGrid>
        <w:gridCol w:w="624"/>
        <w:gridCol w:w="991"/>
        <w:gridCol w:w="900"/>
        <w:gridCol w:w="4329"/>
        <w:gridCol w:w="2506"/>
      </w:tblGrid>
      <w:tr w:rsidR="00EF14C9" w14:paraId="4BBB4D79" w14:textId="77777777" w:rsidTr="00292052">
        <w:tc>
          <w:tcPr>
            <w:tcW w:w="624" w:type="dxa"/>
          </w:tcPr>
          <w:p w14:paraId="3AEA3813" w14:textId="77777777" w:rsidR="00EF14C9" w:rsidRPr="0064306F" w:rsidRDefault="00EF14C9" w:rsidP="00292052">
            <w:pPr>
              <w:rPr>
                <w:b/>
                <w:sz w:val="16"/>
                <w:szCs w:val="16"/>
              </w:rPr>
            </w:pPr>
            <w:r w:rsidRPr="0064306F">
              <w:rPr>
                <w:b/>
                <w:sz w:val="16"/>
                <w:szCs w:val="16"/>
              </w:rPr>
              <w:lastRenderedPageBreak/>
              <w:t>CID</w:t>
            </w:r>
          </w:p>
        </w:tc>
        <w:tc>
          <w:tcPr>
            <w:tcW w:w="991" w:type="dxa"/>
          </w:tcPr>
          <w:p w14:paraId="4676153B" w14:textId="77777777" w:rsidR="00EF14C9" w:rsidRPr="0064306F" w:rsidRDefault="00EF14C9" w:rsidP="00292052">
            <w:pPr>
              <w:rPr>
                <w:b/>
                <w:sz w:val="16"/>
                <w:szCs w:val="16"/>
              </w:rPr>
            </w:pPr>
            <w:r w:rsidRPr="0064306F">
              <w:rPr>
                <w:b/>
                <w:sz w:val="16"/>
                <w:szCs w:val="16"/>
              </w:rPr>
              <w:t>Clause</w:t>
            </w:r>
          </w:p>
        </w:tc>
        <w:tc>
          <w:tcPr>
            <w:tcW w:w="900" w:type="dxa"/>
          </w:tcPr>
          <w:p w14:paraId="3B195A97" w14:textId="77777777" w:rsidR="00EF14C9" w:rsidRPr="0064306F" w:rsidRDefault="00EF14C9" w:rsidP="00292052">
            <w:pPr>
              <w:rPr>
                <w:b/>
                <w:sz w:val="16"/>
                <w:szCs w:val="16"/>
              </w:rPr>
            </w:pPr>
            <w:r w:rsidRPr="0064306F">
              <w:rPr>
                <w:b/>
                <w:sz w:val="16"/>
                <w:szCs w:val="16"/>
              </w:rPr>
              <w:t>Page</w:t>
            </w:r>
          </w:p>
        </w:tc>
        <w:tc>
          <w:tcPr>
            <w:tcW w:w="4329" w:type="dxa"/>
          </w:tcPr>
          <w:p w14:paraId="56B52ABF" w14:textId="77777777" w:rsidR="00EF14C9" w:rsidRPr="0064306F" w:rsidRDefault="00EF14C9" w:rsidP="00292052">
            <w:pPr>
              <w:rPr>
                <w:b/>
                <w:sz w:val="16"/>
                <w:szCs w:val="16"/>
              </w:rPr>
            </w:pPr>
            <w:r w:rsidRPr="0064306F">
              <w:rPr>
                <w:b/>
                <w:sz w:val="16"/>
                <w:szCs w:val="16"/>
              </w:rPr>
              <w:t>Comment</w:t>
            </w:r>
          </w:p>
        </w:tc>
        <w:tc>
          <w:tcPr>
            <w:tcW w:w="2506" w:type="dxa"/>
          </w:tcPr>
          <w:p w14:paraId="7F35BDB2" w14:textId="77777777" w:rsidR="00EF14C9" w:rsidRPr="0064306F" w:rsidRDefault="00EF14C9" w:rsidP="00292052">
            <w:pPr>
              <w:rPr>
                <w:b/>
                <w:sz w:val="16"/>
                <w:szCs w:val="16"/>
              </w:rPr>
            </w:pPr>
            <w:r w:rsidRPr="0064306F">
              <w:rPr>
                <w:b/>
                <w:sz w:val="16"/>
                <w:szCs w:val="16"/>
              </w:rPr>
              <w:t>Proposed change</w:t>
            </w:r>
          </w:p>
        </w:tc>
      </w:tr>
      <w:tr w:rsidR="00EF14C9" w14:paraId="41239D03" w14:textId="77777777" w:rsidTr="00292052">
        <w:tc>
          <w:tcPr>
            <w:tcW w:w="624" w:type="dxa"/>
          </w:tcPr>
          <w:p w14:paraId="6B9805E1" w14:textId="77777777" w:rsidR="00EF14C9" w:rsidRDefault="00EF14C9" w:rsidP="00292052">
            <w:r>
              <w:t>292</w:t>
            </w:r>
          </w:p>
        </w:tc>
        <w:tc>
          <w:tcPr>
            <w:tcW w:w="991" w:type="dxa"/>
          </w:tcPr>
          <w:p w14:paraId="42266A4C" w14:textId="77777777" w:rsidR="00EF14C9" w:rsidRDefault="00EF14C9" w:rsidP="00292052">
            <w:r>
              <w:t>30.4.1</w:t>
            </w:r>
          </w:p>
        </w:tc>
        <w:tc>
          <w:tcPr>
            <w:tcW w:w="900" w:type="dxa"/>
          </w:tcPr>
          <w:p w14:paraId="56C8AC44" w14:textId="77777777" w:rsidR="00EF14C9" w:rsidRDefault="00EF14C9" w:rsidP="00292052">
            <w:r>
              <w:t>127.12</w:t>
            </w:r>
          </w:p>
        </w:tc>
        <w:tc>
          <w:tcPr>
            <w:tcW w:w="4329" w:type="dxa"/>
          </w:tcPr>
          <w:p w14:paraId="6B85918E" w14:textId="77777777" w:rsidR="00EF14C9" w:rsidRDefault="00EF14C9" w:rsidP="00292052">
            <w:r w:rsidRPr="00DC2C19">
              <w:t xml:space="preserve">According </w:t>
            </w:r>
            <w:proofErr w:type="spellStart"/>
            <w:r w:rsidRPr="00DC2C19">
              <w:t>to"All</w:t>
            </w:r>
            <w:proofErr w:type="spellEnd"/>
            <w:r w:rsidRPr="00DC2C19">
              <w:t xml:space="preserve"> fields of an EDMG control mode PPDU except for the TRN field shall be transmitted using a single spatial stream. The TRN field of an EDMG control mode PPDU may be transmitted with multiple </w:t>
            </w:r>
            <w:proofErr w:type="gramStart"/>
            <w:r w:rsidRPr="00DC2C19">
              <w:t>spatial  streams</w:t>
            </w:r>
            <w:proofErr w:type="gramEnd"/>
            <w:r w:rsidRPr="00DC2C19">
              <w:t xml:space="preserve">, depending on the capability of the transmitter and receiver in supporting multiple streams. </w:t>
            </w:r>
            <w:proofErr w:type="gramStart"/>
            <w:r w:rsidRPr="00DC2C19">
              <w:t>"  ,</w:t>
            </w:r>
            <w:proofErr w:type="gramEnd"/>
            <w:r w:rsidRPr="00DC2C19">
              <w:t>the number of spatial stream for Data field and TRN subfields may be different.</w:t>
            </w:r>
          </w:p>
        </w:tc>
        <w:tc>
          <w:tcPr>
            <w:tcW w:w="2506" w:type="dxa"/>
          </w:tcPr>
          <w:p w14:paraId="7E2DE127" w14:textId="77777777" w:rsidR="00EF14C9" w:rsidRDefault="00EF14C9" w:rsidP="00292052">
            <w:r w:rsidRPr="00DC2C19">
              <w:t>add an indication for the Number  of TRN spatial streams which may be different with the number of Data spatial streams</w:t>
            </w:r>
          </w:p>
        </w:tc>
      </w:tr>
    </w:tbl>
    <w:p w14:paraId="7CFE082E" w14:textId="77777777" w:rsidR="00EF14C9" w:rsidRPr="00881F0B" w:rsidRDefault="00EF14C9" w:rsidP="00837697"/>
    <w:p w14:paraId="6CD4B515" w14:textId="0D484D7B" w:rsidR="00837697" w:rsidRDefault="00837697" w:rsidP="00837697">
      <w:r w:rsidRPr="00547F72">
        <w:rPr>
          <w:b/>
        </w:rPr>
        <w:t>Proposed resolution</w:t>
      </w:r>
      <w:r>
        <w:t>: Revised</w:t>
      </w:r>
    </w:p>
    <w:p w14:paraId="3733C87C" w14:textId="77777777" w:rsidR="00837697" w:rsidRDefault="00837697" w:rsidP="00837697"/>
    <w:p w14:paraId="0C9D7818" w14:textId="1D85C594" w:rsidR="00226E6D" w:rsidRDefault="005950C0" w:rsidP="00837697">
      <w:r w:rsidRPr="005950C0">
        <w:rPr>
          <w:i/>
        </w:rPr>
        <w:t>Discussion</w:t>
      </w:r>
      <w:r w:rsidR="00BB5D7F" w:rsidRPr="005950C0">
        <w:rPr>
          <w:i/>
        </w:rPr>
        <w:t>:</w:t>
      </w:r>
      <w:r w:rsidR="00BB5D7F">
        <w:t xml:space="preserve"> </w:t>
      </w:r>
      <w:r w:rsidR="00226E6D" w:rsidRPr="00906BF4">
        <w:t xml:space="preserve">A motion </w:t>
      </w:r>
      <w:r w:rsidR="006B5D67">
        <w:t>approved</w:t>
      </w:r>
      <w:r w:rsidR="00226E6D" w:rsidRPr="00906BF4">
        <w:t xml:space="preserve"> in the July 2017 plenary </w:t>
      </w:r>
      <w:r w:rsidR="00226E6D">
        <w:t>(</w:t>
      </w:r>
      <w:r w:rsidR="00226E6D" w:rsidRPr="00D91C07">
        <w:t>#2</w:t>
      </w:r>
      <w:r w:rsidR="00226E6D">
        <w:t>45</w:t>
      </w:r>
      <w:r w:rsidR="00226E6D" w:rsidRPr="00D91C07">
        <w:t>, based on the draft text proposed in 11-17-104</w:t>
      </w:r>
      <w:r w:rsidR="00226E6D">
        <w:t>0</w:t>
      </w:r>
      <w:r w:rsidR="00226E6D" w:rsidRPr="00D91C07">
        <w:t>-0</w:t>
      </w:r>
      <w:r w:rsidR="00226E6D">
        <w:t>0</w:t>
      </w:r>
      <w:r w:rsidR="00226E6D" w:rsidRPr="00D91C07">
        <w:t>-00ay</w:t>
      </w:r>
      <w:r w:rsidR="00226E6D">
        <w:t xml:space="preserve">) added text </w:t>
      </w:r>
      <w:r w:rsidR="006B5D67">
        <w:t>to</w:t>
      </w:r>
      <w:r w:rsidR="00226E6D">
        <w:t xml:space="preserve"> the spec draft that specifies that</w:t>
      </w:r>
      <w:r w:rsidR="00EF14C9">
        <w:t xml:space="preserve"> “</w:t>
      </w:r>
      <w:r w:rsidR="006B5D67">
        <w:t>(</w:t>
      </w:r>
      <w:proofErr w:type="spellStart"/>
      <w:r w:rsidR="006B5D67">
        <w:t>i</w:t>
      </w:r>
      <w:proofErr w:type="spellEnd"/>
      <w:r w:rsidR="006B5D67">
        <w:t>)</w:t>
      </w:r>
      <w:r w:rsidR="00EF14C9" w:rsidRPr="00EF14C9">
        <w:t xml:space="preserve">f an EDMG control mode PPDU is transmitted with multiple transmit chains, all fields of the EDMG control mode PPDU except for the TRN field shall be transmitted using the non-EDMG duplicate format and, as defined in 30.9, the TRN field shall consist of </w:t>
      </w:r>
      <w:r w:rsidR="00EF14C9" w:rsidRPr="00EF14C9">
        <w:rPr>
          <w:i/>
        </w:rPr>
        <w:t>N</w:t>
      </w:r>
      <w:r w:rsidR="00EF14C9" w:rsidRPr="00EF14C9">
        <w:t xml:space="preserve"> orthogonal waveforms, where </w:t>
      </w:r>
      <w:r w:rsidR="00EF14C9" w:rsidRPr="00EF14C9">
        <w:rPr>
          <w:i/>
        </w:rPr>
        <w:t>N</w:t>
      </w:r>
      <w:r w:rsidR="00EF14C9" w:rsidRPr="00EF14C9">
        <w:t xml:space="preserve"> is the number of transmit chains used in the transmission of the EDMG control mode PPDU.</w:t>
      </w:r>
      <w:r w:rsidR="00EF14C9">
        <w:t xml:space="preserve">”  In addition, a new </w:t>
      </w:r>
      <w:r w:rsidR="005B73FB">
        <w:t xml:space="preserve">3 bit </w:t>
      </w:r>
      <w:r w:rsidR="00EF14C9">
        <w:t>field labelled “</w:t>
      </w:r>
      <w:r w:rsidR="00EF14C9" w:rsidRPr="00EF14C9">
        <w:t>Number of transmit chains</w:t>
      </w:r>
      <w:r w:rsidR="00EF14C9">
        <w:t>”</w:t>
      </w:r>
      <w:r w:rsidR="005B73FB">
        <w:t xml:space="preserve"> was defined in the EDMG-Header-A of EDMG Control Mode PPDUs that “</w:t>
      </w:r>
      <w:r w:rsidR="006B5D67">
        <w:t>i</w:t>
      </w:r>
      <w:r w:rsidR="005B73FB" w:rsidRPr="005B73FB">
        <w:t>ndicates the number of transmit chains used in the transmission of the PPDU</w:t>
      </w:r>
      <w:r w:rsidR="005B73FB">
        <w:t>.”</w:t>
      </w:r>
    </w:p>
    <w:p w14:paraId="6724FD6D" w14:textId="77777777" w:rsidR="00C43087" w:rsidRDefault="00C43087" w:rsidP="00766747"/>
    <w:p w14:paraId="111B3211" w14:textId="77777777" w:rsidR="00C43087" w:rsidRDefault="00C43087" w:rsidP="00766747"/>
    <w:p w14:paraId="5B5C6621" w14:textId="77777777" w:rsidR="00C43087" w:rsidRDefault="00C43087" w:rsidP="00766747"/>
    <w:tbl>
      <w:tblPr>
        <w:tblStyle w:val="TableGrid"/>
        <w:tblW w:w="0" w:type="auto"/>
        <w:tblLook w:val="04A0" w:firstRow="1" w:lastRow="0" w:firstColumn="1" w:lastColumn="0" w:noHBand="0" w:noVBand="1"/>
      </w:tblPr>
      <w:tblGrid>
        <w:gridCol w:w="624"/>
        <w:gridCol w:w="991"/>
        <w:gridCol w:w="900"/>
        <w:gridCol w:w="4329"/>
        <w:gridCol w:w="2506"/>
      </w:tblGrid>
      <w:tr w:rsidR="00766747" w14:paraId="1AC9CAF4" w14:textId="77777777" w:rsidTr="00292052">
        <w:tc>
          <w:tcPr>
            <w:tcW w:w="624" w:type="dxa"/>
          </w:tcPr>
          <w:p w14:paraId="13EB67DA" w14:textId="77777777" w:rsidR="00766747" w:rsidRPr="0064306F" w:rsidRDefault="00766747" w:rsidP="00292052">
            <w:pPr>
              <w:rPr>
                <w:b/>
                <w:sz w:val="16"/>
                <w:szCs w:val="16"/>
              </w:rPr>
            </w:pPr>
            <w:r w:rsidRPr="0064306F">
              <w:rPr>
                <w:b/>
                <w:sz w:val="16"/>
                <w:szCs w:val="16"/>
              </w:rPr>
              <w:t>CID</w:t>
            </w:r>
          </w:p>
        </w:tc>
        <w:tc>
          <w:tcPr>
            <w:tcW w:w="991" w:type="dxa"/>
          </w:tcPr>
          <w:p w14:paraId="48FBC0C1" w14:textId="77777777" w:rsidR="00766747" w:rsidRPr="0064306F" w:rsidRDefault="00766747" w:rsidP="00292052">
            <w:pPr>
              <w:rPr>
                <w:b/>
                <w:sz w:val="16"/>
                <w:szCs w:val="16"/>
              </w:rPr>
            </w:pPr>
            <w:r w:rsidRPr="0064306F">
              <w:rPr>
                <w:b/>
                <w:sz w:val="16"/>
                <w:szCs w:val="16"/>
              </w:rPr>
              <w:t>Clause</w:t>
            </w:r>
          </w:p>
        </w:tc>
        <w:tc>
          <w:tcPr>
            <w:tcW w:w="900" w:type="dxa"/>
          </w:tcPr>
          <w:p w14:paraId="7D1E8C8B" w14:textId="77777777" w:rsidR="00766747" w:rsidRPr="0064306F" w:rsidRDefault="00766747" w:rsidP="00292052">
            <w:pPr>
              <w:rPr>
                <w:b/>
                <w:sz w:val="16"/>
                <w:szCs w:val="16"/>
              </w:rPr>
            </w:pPr>
            <w:r w:rsidRPr="0064306F">
              <w:rPr>
                <w:b/>
                <w:sz w:val="16"/>
                <w:szCs w:val="16"/>
              </w:rPr>
              <w:t>Page</w:t>
            </w:r>
          </w:p>
        </w:tc>
        <w:tc>
          <w:tcPr>
            <w:tcW w:w="4329" w:type="dxa"/>
          </w:tcPr>
          <w:p w14:paraId="1802A7EF" w14:textId="77777777" w:rsidR="00766747" w:rsidRPr="0064306F" w:rsidRDefault="00766747" w:rsidP="00292052">
            <w:pPr>
              <w:rPr>
                <w:b/>
                <w:sz w:val="16"/>
                <w:szCs w:val="16"/>
              </w:rPr>
            </w:pPr>
            <w:r w:rsidRPr="0064306F">
              <w:rPr>
                <w:b/>
                <w:sz w:val="16"/>
                <w:szCs w:val="16"/>
              </w:rPr>
              <w:t>Comment</w:t>
            </w:r>
          </w:p>
        </w:tc>
        <w:tc>
          <w:tcPr>
            <w:tcW w:w="2506" w:type="dxa"/>
          </w:tcPr>
          <w:p w14:paraId="38F143FB" w14:textId="77777777" w:rsidR="00766747" w:rsidRPr="0064306F" w:rsidRDefault="00766747" w:rsidP="00292052">
            <w:pPr>
              <w:rPr>
                <w:b/>
                <w:sz w:val="16"/>
                <w:szCs w:val="16"/>
              </w:rPr>
            </w:pPr>
            <w:r w:rsidRPr="0064306F">
              <w:rPr>
                <w:b/>
                <w:sz w:val="16"/>
                <w:szCs w:val="16"/>
              </w:rPr>
              <w:t>Proposed change</w:t>
            </w:r>
          </w:p>
        </w:tc>
      </w:tr>
      <w:tr w:rsidR="00766747" w14:paraId="5BB84093" w14:textId="77777777" w:rsidTr="00292052">
        <w:tc>
          <w:tcPr>
            <w:tcW w:w="624" w:type="dxa"/>
          </w:tcPr>
          <w:p w14:paraId="4A7BB327" w14:textId="77777777" w:rsidR="00766747" w:rsidRDefault="00766747" w:rsidP="00292052">
            <w:r>
              <w:t>295</w:t>
            </w:r>
          </w:p>
        </w:tc>
        <w:tc>
          <w:tcPr>
            <w:tcW w:w="991" w:type="dxa"/>
          </w:tcPr>
          <w:p w14:paraId="0694C812" w14:textId="77777777" w:rsidR="00766747" w:rsidRDefault="00766747" w:rsidP="00292052">
            <w:r>
              <w:t>30.9.2.2</w:t>
            </w:r>
          </w:p>
        </w:tc>
        <w:tc>
          <w:tcPr>
            <w:tcW w:w="900" w:type="dxa"/>
          </w:tcPr>
          <w:p w14:paraId="14CC1968" w14:textId="77777777" w:rsidR="00766747" w:rsidRDefault="00766747" w:rsidP="00292052">
            <w:r>
              <w:t>155.03</w:t>
            </w:r>
          </w:p>
        </w:tc>
        <w:tc>
          <w:tcPr>
            <w:tcW w:w="4329" w:type="dxa"/>
          </w:tcPr>
          <w:p w14:paraId="74F76D77" w14:textId="77777777" w:rsidR="00766747" w:rsidRDefault="00766747" w:rsidP="00292052">
            <w:r w:rsidRPr="001E0720">
              <w:t xml:space="preserve">This is not clear in an EDMG BRP-TX packet or EDMG BRP-RX/TX </w:t>
            </w:r>
            <w:proofErr w:type="gramStart"/>
            <w:r w:rsidRPr="001E0720">
              <w:t>packet ,the</w:t>
            </w:r>
            <w:proofErr w:type="gramEnd"/>
            <w:r w:rsidRPr="001E0720">
              <w:t xml:space="preserve"> transmitter should keep the same DMG antenna or may change DMG antenna intra or inter- TRN-Units.</w:t>
            </w:r>
          </w:p>
        </w:tc>
        <w:tc>
          <w:tcPr>
            <w:tcW w:w="2506" w:type="dxa"/>
          </w:tcPr>
          <w:p w14:paraId="532F6165" w14:textId="77777777" w:rsidR="00766747" w:rsidRPr="00832257" w:rsidRDefault="00766747" w:rsidP="00292052">
            <w:r w:rsidRPr="001E0720">
              <w:t>please clarify it</w:t>
            </w:r>
          </w:p>
        </w:tc>
      </w:tr>
    </w:tbl>
    <w:p w14:paraId="2962B941" w14:textId="77777777" w:rsidR="00766747" w:rsidRDefault="00766747" w:rsidP="00766747"/>
    <w:p w14:paraId="4B69B8AC" w14:textId="71A032EB" w:rsidR="00766747" w:rsidRDefault="00766747" w:rsidP="00766747">
      <w:r w:rsidRPr="00547F72">
        <w:rPr>
          <w:b/>
        </w:rPr>
        <w:t>Proposed resolution</w:t>
      </w:r>
      <w:r>
        <w:t xml:space="preserve">: </w:t>
      </w:r>
      <w:r w:rsidR="00635150">
        <w:t>Revised</w:t>
      </w:r>
    </w:p>
    <w:p w14:paraId="31DE71F5" w14:textId="77777777" w:rsidR="00766747" w:rsidRDefault="00766747" w:rsidP="00766747"/>
    <w:p w14:paraId="1598CBFD" w14:textId="0FA925D0" w:rsidR="00766747" w:rsidRPr="00766747" w:rsidRDefault="005950C0" w:rsidP="00766747">
      <w:r w:rsidRPr="005950C0">
        <w:rPr>
          <w:i/>
        </w:rPr>
        <w:t>Discussion</w:t>
      </w:r>
      <w:r w:rsidR="00BB5D7F" w:rsidRPr="005950C0">
        <w:rPr>
          <w:i/>
        </w:rPr>
        <w:t>:</w:t>
      </w:r>
      <w:r w:rsidR="00BB5D7F">
        <w:t xml:space="preserve"> </w:t>
      </w:r>
      <w:r w:rsidR="00766747">
        <w:t xml:space="preserve">In order for a STA switch DMG antennas during the transmission or reception of a PPDU, normative text that defines the procedure itself (e.g., transition interval) as well as the behaviour of the STAs involved in the training procedure </w:t>
      </w:r>
      <w:r w:rsidR="00AE7527">
        <w:t>must</w:t>
      </w:r>
      <w:r w:rsidR="00766747">
        <w:t xml:space="preserve"> be defined.  For example, for the BRP TXSS procedure, it is defined in </w:t>
      </w:r>
      <w:r w:rsidR="0036295B" w:rsidRPr="0036295B">
        <w:t>10.38.9.5.2 (DMG antenna and TRN-Unit configuration during BRP TXSS)</w:t>
      </w:r>
      <w:r w:rsidR="0036295B">
        <w:t xml:space="preserve"> that</w:t>
      </w:r>
    </w:p>
    <w:p w14:paraId="21D66D19" w14:textId="77777777" w:rsidR="00766747" w:rsidRDefault="00766747" w:rsidP="00766747"/>
    <w:p w14:paraId="3A2416CC" w14:textId="38DE6CEB" w:rsidR="00766747" w:rsidRDefault="0036295B" w:rsidP="0036295B">
      <w:r>
        <w:t>“</w:t>
      </w:r>
      <w:r w:rsidRPr="0036295B">
        <w:t>The first TRN-Unit in an EDMG BRP packet used in a BRP TXSS may be used for the initiator and responder to switch DMG antennas and shall not be processed by the responder</w:t>
      </w:r>
      <w:r>
        <w:t>… When transmitting an EDMG BRP-TX packet as part of a BRP TXSS, an EDMG STA may change the DMG antenna used in the transmission of its TRN field during the first TRN-Unit and shall not change DMG antenna during the remaining TRN-Units. When receiving EDMG BRP-TX packets as part of BRP TXSS, an EDMG STA may change the DMG antenna used in the reception of the TRN field during the first TRN-Unit and shall not change DMG antenna during the remaining TRN-Units.”</w:t>
      </w:r>
    </w:p>
    <w:p w14:paraId="46921BEC" w14:textId="77777777" w:rsidR="00766747" w:rsidRDefault="00766747" w:rsidP="00766747"/>
    <w:p w14:paraId="4F9B04C9" w14:textId="510C23B2" w:rsidR="00CA44AD" w:rsidRDefault="00903FA4" w:rsidP="00906BF4">
      <w:r>
        <w:t xml:space="preserve">The only normative text present in D0.3/D0.35 that defines specification necessary to enable the switching of antennas is in </w:t>
      </w:r>
      <w:r w:rsidR="00AE7527" w:rsidRPr="0036295B">
        <w:t>10.38.9.5.2 (DMG antenna and TRN-Unit configuration during BRP TXSS)</w:t>
      </w:r>
      <w:r w:rsidR="00AE7527">
        <w:t xml:space="preserve">, which defines that antenna switching </w:t>
      </w:r>
      <w:r w:rsidR="00BA0693">
        <w:t xml:space="preserve">as part of BRP TXSS </w:t>
      </w:r>
      <w:r w:rsidR="00AE7527">
        <w:t xml:space="preserve">may happen </w:t>
      </w:r>
      <w:r w:rsidR="00BA0693">
        <w:t xml:space="preserve">during </w:t>
      </w:r>
      <w:r w:rsidR="00AE7527">
        <w:t>the</w:t>
      </w:r>
      <w:r w:rsidR="00BA0693">
        <w:t xml:space="preserve"> transmission/reception of the</w:t>
      </w:r>
      <w:r w:rsidR="00AE7527">
        <w:t xml:space="preserve"> first TRN-Unit of an EDMG BRP packet</w:t>
      </w:r>
      <w:r w:rsidR="00BA0693">
        <w:t>.</w:t>
      </w:r>
    </w:p>
    <w:p w14:paraId="26EE37AA" w14:textId="77777777" w:rsidR="00892658" w:rsidRDefault="00892658" w:rsidP="00906BF4"/>
    <w:p w14:paraId="1BDA37E5" w14:textId="69556CCA" w:rsidR="00892658" w:rsidRDefault="00892658" w:rsidP="00906BF4">
      <w:r>
        <w:t>Also, please refer to the changes made in response to CID 297.</w:t>
      </w:r>
    </w:p>
    <w:p w14:paraId="2E8CFE6A" w14:textId="77777777" w:rsidR="00C43087" w:rsidRDefault="00C43087" w:rsidP="00906BF4"/>
    <w:p w14:paraId="77C19BFF" w14:textId="77777777" w:rsidR="00FD6ED9" w:rsidRDefault="00FD6ED9" w:rsidP="00137807"/>
    <w:p w14:paraId="598A7CEC" w14:textId="77777777" w:rsidR="00FD6ED9" w:rsidRDefault="00FD6ED9" w:rsidP="00137807"/>
    <w:tbl>
      <w:tblPr>
        <w:tblStyle w:val="TableGrid"/>
        <w:tblW w:w="0" w:type="auto"/>
        <w:tblLook w:val="04A0" w:firstRow="1" w:lastRow="0" w:firstColumn="1" w:lastColumn="0" w:noHBand="0" w:noVBand="1"/>
      </w:tblPr>
      <w:tblGrid>
        <w:gridCol w:w="623"/>
        <w:gridCol w:w="1096"/>
        <w:gridCol w:w="898"/>
        <w:gridCol w:w="4262"/>
        <w:gridCol w:w="2471"/>
      </w:tblGrid>
      <w:tr w:rsidR="00137807" w14:paraId="7C497319" w14:textId="77777777" w:rsidTr="00292052">
        <w:tc>
          <w:tcPr>
            <w:tcW w:w="624" w:type="dxa"/>
          </w:tcPr>
          <w:p w14:paraId="6AB59018" w14:textId="77777777" w:rsidR="00137807" w:rsidRPr="0064306F" w:rsidRDefault="00137807" w:rsidP="00292052">
            <w:pPr>
              <w:rPr>
                <w:b/>
                <w:sz w:val="16"/>
                <w:szCs w:val="16"/>
              </w:rPr>
            </w:pPr>
            <w:r w:rsidRPr="0064306F">
              <w:rPr>
                <w:b/>
                <w:sz w:val="16"/>
                <w:szCs w:val="16"/>
              </w:rPr>
              <w:t>CID</w:t>
            </w:r>
          </w:p>
        </w:tc>
        <w:tc>
          <w:tcPr>
            <w:tcW w:w="991" w:type="dxa"/>
          </w:tcPr>
          <w:p w14:paraId="5265E15A" w14:textId="77777777" w:rsidR="00137807" w:rsidRPr="0064306F" w:rsidRDefault="00137807" w:rsidP="00292052">
            <w:pPr>
              <w:rPr>
                <w:b/>
                <w:sz w:val="16"/>
                <w:szCs w:val="16"/>
              </w:rPr>
            </w:pPr>
            <w:r w:rsidRPr="0064306F">
              <w:rPr>
                <w:b/>
                <w:sz w:val="16"/>
                <w:szCs w:val="16"/>
              </w:rPr>
              <w:t>Clause</w:t>
            </w:r>
          </w:p>
        </w:tc>
        <w:tc>
          <w:tcPr>
            <w:tcW w:w="900" w:type="dxa"/>
          </w:tcPr>
          <w:p w14:paraId="29832478" w14:textId="77777777" w:rsidR="00137807" w:rsidRPr="0064306F" w:rsidRDefault="00137807" w:rsidP="00292052">
            <w:pPr>
              <w:rPr>
                <w:b/>
                <w:sz w:val="16"/>
                <w:szCs w:val="16"/>
              </w:rPr>
            </w:pPr>
            <w:r w:rsidRPr="0064306F">
              <w:rPr>
                <w:b/>
                <w:sz w:val="16"/>
                <w:szCs w:val="16"/>
              </w:rPr>
              <w:t>Page</w:t>
            </w:r>
          </w:p>
        </w:tc>
        <w:tc>
          <w:tcPr>
            <w:tcW w:w="4329" w:type="dxa"/>
          </w:tcPr>
          <w:p w14:paraId="271AE337" w14:textId="77777777" w:rsidR="00137807" w:rsidRPr="0064306F" w:rsidRDefault="00137807" w:rsidP="00292052">
            <w:pPr>
              <w:rPr>
                <w:b/>
                <w:sz w:val="16"/>
                <w:szCs w:val="16"/>
              </w:rPr>
            </w:pPr>
            <w:r w:rsidRPr="0064306F">
              <w:rPr>
                <w:b/>
                <w:sz w:val="16"/>
                <w:szCs w:val="16"/>
              </w:rPr>
              <w:t>Comment</w:t>
            </w:r>
          </w:p>
        </w:tc>
        <w:tc>
          <w:tcPr>
            <w:tcW w:w="2506" w:type="dxa"/>
          </w:tcPr>
          <w:p w14:paraId="4D8B83BB" w14:textId="77777777" w:rsidR="00137807" w:rsidRPr="0064306F" w:rsidRDefault="00137807" w:rsidP="00292052">
            <w:pPr>
              <w:rPr>
                <w:b/>
                <w:sz w:val="16"/>
                <w:szCs w:val="16"/>
              </w:rPr>
            </w:pPr>
            <w:r w:rsidRPr="0064306F">
              <w:rPr>
                <w:b/>
                <w:sz w:val="16"/>
                <w:szCs w:val="16"/>
              </w:rPr>
              <w:t>Proposed change</w:t>
            </w:r>
          </w:p>
        </w:tc>
      </w:tr>
      <w:tr w:rsidR="00137807" w14:paraId="74069161" w14:textId="77777777" w:rsidTr="00292052">
        <w:tc>
          <w:tcPr>
            <w:tcW w:w="624" w:type="dxa"/>
          </w:tcPr>
          <w:p w14:paraId="28D181F1" w14:textId="77777777" w:rsidR="00137807" w:rsidRDefault="00137807" w:rsidP="00292052">
            <w:r>
              <w:t>297</w:t>
            </w:r>
          </w:p>
        </w:tc>
        <w:tc>
          <w:tcPr>
            <w:tcW w:w="991" w:type="dxa"/>
          </w:tcPr>
          <w:p w14:paraId="0872B7C5" w14:textId="77777777" w:rsidR="00137807" w:rsidRDefault="00137807" w:rsidP="00292052">
            <w:r w:rsidRPr="001E0720">
              <w:t>30.9.2.2.6</w:t>
            </w:r>
          </w:p>
        </w:tc>
        <w:tc>
          <w:tcPr>
            <w:tcW w:w="900" w:type="dxa"/>
          </w:tcPr>
          <w:p w14:paraId="3400C367" w14:textId="77777777" w:rsidR="00137807" w:rsidRDefault="00137807" w:rsidP="00292052">
            <w:r>
              <w:t>157.15</w:t>
            </w:r>
          </w:p>
        </w:tc>
        <w:tc>
          <w:tcPr>
            <w:tcW w:w="4329" w:type="dxa"/>
          </w:tcPr>
          <w:p w14:paraId="1C552129" w14:textId="77777777" w:rsidR="00137807" w:rsidRDefault="00137807" w:rsidP="00292052">
            <w:r w:rsidRPr="001E0720">
              <w:t>Not clear the number of spatial streams for the first P TRN subfields and the last M TRN subfields should be same or possible to be set  differently</w:t>
            </w:r>
          </w:p>
        </w:tc>
        <w:tc>
          <w:tcPr>
            <w:tcW w:w="2506" w:type="dxa"/>
          </w:tcPr>
          <w:p w14:paraId="08E5D41A" w14:textId="77777777" w:rsidR="00137807" w:rsidRPr="00832257" w:rsidRDefault="00137807" w:rsidP="00292052">
            <w:proofErr w:type="gramStart"/>
            <w:r w:rsidRPr="001E0720">
              <w:t>please</w:t>
            </w:r>
            <w:proofErr w:type="gramEnd"/>
            <w:r w:rsidRPr="001E0720">
              <w:t xml:space="preserve"> clarify it.</w:t>
            </w:r>
          </w:p>
        </w:tc>
      </w:tr>
    </w:tbl>
    <w:p w14:paraId="3B042F53" w14:textId="77777777" w:rsidR="00137807" w:rsidRDefault="00137807" w:rsidP="00137807"/>
    <w:p w14:paraId="2A984B03" w14:textId="2A26A836" w:rsidR="00137807" w:rsidRDefault="00137807" w:rsidP="00137807">
      <w:r w:rsidRPr="00547F72">
        <w:rPr>
          <w:b/>
        </w:rPr>
        <w:t>Proposed resolution</w:t>
      </w:r>
      <w:r>
        <w:t xml:space="preserve">: </w:t>
      </w:r>
      <w:r w:rsidR="006B5D67">
        <w:t>Revised</w:t>
      </w:r>
    </w:p>
    <w:p w14:paraId="1BEFFFC9" w14:textId="7CC544DA" w:rsidR="005950C0" w:rsidRDefault="005950C0" w:rsidP="00137807"/>
    <w:p w14:paraId="71D6911F" w14:textId="77777777" w:rsidR="00C0117F" w:rsidRDefault="00111203" w:rsidP="00137807">
      <w:r w:rsidRPr="005950C0">
        <w:rPr>
          <w:i/>
        </w:rPr>
        <w:t>Discussion:</w:t>
      </w:r>
      <w:r>
        <w:rPr>
          <w:i/>
        </w:rPr>
        <w:t xml:space="preserve"> </w:t>
      </w:r>
    </w:p>
    <w:p w14:paraId="0379DA9D" w14:textId="582EC928" w:rsidR="00137807" w:rsidRDefault="006B5D67" w:rsidP="00C0117F">
      <w:pPr>
        <w:pStyle w:val="ListParagraph"/>
        <w:numPr>
          <w:ilvl w:val="0"/>
          <w:numId w:val="2"/>
        </w:numPr>
      </w:pPr>
      <w:r w:rsidRPr="00906BF4">
        <w:t xml:space="preserve">A motion </w:t>
      </w:r>
      <w:r>
        <w:t>approved</w:t>
      </w:r>
      <w:r w:rsidRPr="00906BF4">
        <w:t xml:space="preserve"> in the July 2017 plenary </w:t>
      </w:r>
      <w:r>
        <w:t>(</w:t>
      </w:r>
      <w:r w:rsidRPr="00D91C07">
        <w:t>#2</w:t>
      </w:r>
      <w:r>
        <w:t>45</w:t>
      </w:r>
      <w:r w:rsidRPr="00D91C07">
        <w:t>, based on the draft text proposed in 11-17-104</w:t>
      </w:r>
      <w:r>
        <w:t>0</w:t>
      </w:r>
      <w:r w:rsidRPr="00D91C07">
        <w:t>-0</w:t>
      </w:r>
      <w:r>
        <w:t>0</w:t>
      </w:r>
      <w:r w:rsidRPr="00D91C07">
        <w:t>-00ay</w:t>
      </w:r>
      <w:r>
        <w:t xml:space="preserve">) added text to the spec draft that specifies that </w:t>
      </w:r>
      <w:r w:rsidR="0020467A">
        <w:t>“…</w:t>
      </w:r>
      <w:r w:rsidRPr="00EF14C9">
        <w:t xml:space="preserve">all fields of the EDMG control mode PPDU except for the TRN field shall be transmitted using the non-EDMG duplicate format and, as defined in 30.9, the TRN field shall consist of </w:t>
      </w:r>
      <w:r w:rsidRPr="00C0117F">
        <w:rPr>
          <w:i/>
        </w:rPr>
        <w:t>N</w:t>
      </w:r>
      <w:r w:rsidRPr="00EF14C9">
        <w:t xml:space="preserve"> orthogonal waveforms, where </w:t>
      </w:r>
      <w:r w:rsidRPr="00C0117F">
        <w:rPr>
          <w:i/>
        </w:rPr>
        <w:t>N</w:t>
      </w:r>
      <w:r w:rsidRPr="00EF14C9">
        <w:t xml:space="preserve"> is the number of transmit chains used in the transmission of the EDMG control mode PPDU.</w:t>
      </w:r>
      <w:r>
        <w:t xml:space="preserve">”  </w:t>
      </w:r>
    </w:p>
    <w:p w14:paraId="71946940" w14:textId="77777777" w:rsidR="00C046B9" w:rsidRDefault="00C046B9" w:rsidP="00C046B9">
      <w:pPr>
        <w:pStyle w:val="ListParagraph"/>
        <w:numPr>
          <w:ilvl w:val="0"/>
          <w:numId w:val="2"/>
        </w:numPr>
      </w:pPr>
      <w:r w:rsidRPr="00906BF4">
        <w:t xml:space="preserve">A motion </w:t>
      </w:r>
      <w:r>
        <w:t>approved</w:t>
      </w:r>
      <w:r w:rsidRPr="00906BF4">
        <w:t xml:space="preserve"> in the July 2017 plenary </w:t>
      </w:r>
      <w:r>
        <w:t>(</w:t>
      </w:r>
      <w:r w:rsidRPr="00D91C07">
        <w:t>#2</w:t>
      </w:r>
      <w:r>
        <w:t>46</w:t>
      </w:r>
      <w:r w:rsidRPr="00D91C07">
        <w:t>, based on the draft text proposed in 11-17-104</w:t>
      </w:r>
      <w:r>
        <w:t>3</w:t>
      </w:r>
      <w:r w:rsidRPr="00D91C07">
        <w:t>-0</w:t>
      </w:r>
      <w:r>
        <w:t>0</w:t>
      </w:r>
      <w:r w:rsidRPr="00D91C07">
        <w:t>-00ay</w:t>
      </w:r>
      <w:r>
        <w:t>) added text to the spec draft that specifies that “(t</w:t>
      </w:r>
      <w:proofErr w:type="gramStart"/>
      <w:r>
        <w:t>)</w:t>
      </w:r>
      <w:r w:rsidRPr="00B036DC">
        <w:rPr>
          <w:szCs w:val="22"/>
          <w:lang w:eastAsia="ja-JP"/>
        </w:rPr>
        <w:t>he</w:t>
      </w:r>
      <w:proofErr w:type="gramEnd"/>
      <w:r w:rsidRPr="00B036DC">
        <w:rPr>
          <w:szCs w:val="22"/>
          <w:lang w:eastAsia="ja-JP"/>
        </w:rPr>
        <w:t xml:space="preserve"> total number of transmit chains </w:t>
      </w:r>
      <w:r w:rsidRPr="00B036DC">
        <w:rPr>
          <w:i/>
          <w:szCs w:val="22"/>
          <w:lang w:eastAsia="ja-JP"/>
        </w:rPr>
        <w:t>N</w:t>
      </w:r>
      <w:r w:rsidRPr="00B036DC">
        <w:rPr>
          <w:i/>
          <w:szCs w:val="22"/>
          <w:vertAlign w:val="subscript"/>
          <w:lang w:eastAsia="ja-JP"/>
        </w:rPr>
        <w:t>TX</w:t>
      </w:r>
      <w:r w:rsidRPr="00B036DC">
        <w:rPr>
          <w:szCs w:val="22"/>
          <w:lang w:eastAsia="ja-JP"/>
        </w:rPr>
        <w:t xml:space="preserve"> shall be constant over the different fields of EDMG </w:t>
      </w:r>
      <w:r>
        <w:rPr>
          <w:szCs w:val="22"/>
          <w:lang w:eastAsia="ja-JP"/>
        </w:rPr>
        <w:t xml:space="preserve">SU </w:t>
      </w:r>
      <w:r w:rsidRPr="00B036DC">
        <w:rPr>
          <w:szCs w:val="22"/>
          <w:lang w:eastAsia="ja-JP"/>
        </w:rPr>
        <w:t>PPDU</w:t>
      </w:r>
      <w:r>
        <w:t xml:space="preserve">” and “(t)he </w:t>
      </w:r>
      <w:r w:rsidRPr="00B036DC">
        <w:rPr>
          <w:szCs w:val="22"/>
          <w:lang w:eastAsia="ja-JP"/>
        </w:rPr>
        <w:t xml:space="preserve">total number of transmit chains </w:t>
      </w:r>
      <w:r w:rsidRPr="00B036DC">
        <w:rPr>
          <w:i/>
          <w:szCs w:val="22"/>
          <w:lang w:eastAsia="ja-JP"/>
        </w:rPr>
        <w:t>N</w:t>
      </w:r>
      <w:r w:rsidRPr="00B036DC">
        <w:rPr>
          <w:i/>
          <w:szCs w:val="22"/>
          <w:vertAlign w:val="subscript"/>
          <w:lang w:eastAsia="ja-JP"/>
        </w:rPr>
        <w:t>TX</w:t>
      </w:r>
      <w:r w:rsidRPr="00B036DC">
        <w:rPr>
          <w:szCs w:val="22"/>
          <w:lang w:eastAsia="ja-JP"/>
        </w:rPr>
        <w:t xml:space="preserve"> shall be constant over the different fields of EDMG </w:t>
      </w:r>
      <w:r>
        <w:rPr>
          <w:szCs w:val="22"/>
          <w:lang w:eastAsia="ja-JP"/>
        </w:rPr>
        <w:t xml:space="preserve">MU non-FDMA </w:t>
      </w:r>
      <w:r w:rsidRPr="00B036DC">
        <w:rPr>
          <w:szCs w:val="22"/>
          <w:lang w:eastAsia="ja-JP"/>
        </w:rPr>
        <w:t>PPDU</w:t>
      </w:r>
      <w:r>
        <w:t>.”</w:t>
      </w:r>
    </w:p>
    <w:p w14:paraId="58089AF4" w14:textId="15E7D967" w:rsidR="00C046B9" w:rsidRDefault="00C046B9" w:rsidP="00C046B9">
      <w:pPr>
        <w:pStyle w:val="ListParagraph"/>
        <w:numPr>
          <w:ilvl w:val="0"/>
          <w:numId w:val="2"/>
        </w:numPr>
      </w:pPr>
      <w:r w:rsidRPr="00EF14C9">
        <w:t xml:space="preserve">TRN field shall consist of </w:t>
      </w:r>
      <w:r w:rsidRPr="00C0117F">
        <w:rPr>
          <w:i/>
        </w:rPr>
        <w:t>N</w:t>
      </w:r>
      <w:r w:rsidRPr="00EF14C9">
        <w:t xml:space="preserve"> orthogonal waveforms, where </w:t>
      </w:r>
      <w:r w:rsidRPr="00C0117F">
        <w:rPr>
          <w:i/>
        </w:rPr>
        <w:t>N</w:t>
      </w:r>
      <w:r w:rsidRPr="00EF14C9">
        <w:t xml:space="preserve"> is the number of transmit chains used in the transmission of </w:t>
      </w:r>
      <w:r>
        <w:t>all fields of an</w:t>
      </w:r>
      <w:r w:rsidRPr="00EF14C9">
        <w:t xml:space="preserve"> EDMG PPDU.</w:t>
      </w:r>
    </w:p>
    <w:p w14:paraId="4A8F4252" w14:textId="77777777" w:rsidR="00B85AFC" w:rsidRDefault="00B85AFC" w:rsidP="002A6C56"/>
    <w:p w14:paraId="76F9082B" w14:textId="124AA022" w:rsidR="00686D03" w:rsidRPr="00D225FF" w:rsidRDefault="00686D03" w:rsidP="00686D03">
      <w:pPr>
        <w:rPr>
          <w:i/>
        </w:rPr>
      </w:pPr>
      <w:r>
        <w:rPr>
          <w:i/>
        </w:rPr>
        <w:t xml:space="preserve">Modify </w:t>
      </w:r>
      <w:r w:rsidRPr="00686D03">
        <w:rPr>
          <w:i/>
        </w:rPr>
        <w:t xml:space="preserve">30.9.2.2.6 </w:t>
      </w:r>
      <w:r>
        <w:rPr>
          <w:i/>
        </w:rPr>
        <w:t>(</w:t>
      </w:r>
      <w:r w:rsidRPr="00686D03">
        <w:rPr>
          <w:i/>
        </w:rPr>
        <w:t>TRN subfield definition</w:t>
      </w:r>
      <w:r>
        <w:rPr>
          <w:i/>
        </w:rPr>
        <w:t>) as follows</w:t>
      </w:r>
    </w:p>
    <w:p w14:paraId="10BC3FEA" w14:textId="77777777" w:rsidR="006A0543" w:rsidRDefault="006A0543" w:rsidP="00962D62">
      <w:pPr>
        <w:rPr>
          <w:u w:val="single"/>
        </w:rPr>
      </w:pPr>
    </w:p>
    <w:p w14:paraId="105D1529" w14:textId="28233247" w:rsidR="00DF0160" w:rsidRDefault="00E8741E" w:rsidP="00962D62">
      <w:r w:rsidRPr="006A0543">
        <w:rPr>
          <w:u w:val="single"/>
        </w:rPr>
        <w:t xml:space="preserve">The TRN field shall consist of </w:t>
      </w:r>
      <w:r w:rsidRPr="006A0543">
        <w:rPr>
          <w:i/>
          <w:szCs w:val="22"/>
          <w:u w:val="single"/>
          <w:lang w:eastAsia="ja-JP"/>
        </w:rPr>
        <w:t>N</w:t>
      </w:r>
      <w:r w:rsidRPr="006A0543">
        <w:rPr>
          <w:i/>
          <w:szCs w:val="22"/>
          <w:u w:val="single"/>
          <w:vertAlign w:val="subscript"/>
          <w:lang w:eastAsia="ja-JP"/>
        </w:rPr>
        <w:t>TX</w:t>
      </w:r>
      <w:r w:rsidRPr="006A0543">
        <w:rPr>
          <w:szCs w:val="22"/>
          <w:u w:val="single"/>
          <w:lang w:eastAsia="ja-JP"/>
        </w:rPr>
        <w:t xml:space="preserve"> </w:t>
      </w:r>
      <w:r w:rsidRPr="006A0543">
        <w:rPr>
          <w:u w:val="single"/>
        </w:rPr>
        <w:t xml:space="preserve">orthogonal waveforms, where </w:t>
      </w:r>
      <w:r w:rsidRPr="006A0543">
        <w:rPr>
          <w:i/>
          <w:szCs w:val="22"/>
          <w:u w:val="single"/>
          <w:lang w:eastAsia="ja-JP"/>
        </w:rPr>
        <w:t>N</w:t>
      </w:r>
      <w:r w:rsidRPr="006A0543">
        <w:rPr>
          <w:i/>
          <w:szCs w:val="22"/>
          <w:u w:val="single"/>
          <w:vertAlign w:val="subscript"/>
          <w:lang w:eastAsia="ja-JP"/>
        </w:rPr>
        <w:t>TX</w:t>
      </w:r>
      <w:r w:rsidRPr="006A0543">
        <w:rPr>
          <w:szCs w:val="22"/>
          <w:u w:val="single"/>
          <w:lang w:eastAsia="ja-JP"/>
        </w:rPr>
        <w:t xml:space="preserve"> </w:t>
      </w:r>
      <w:r w:rsidRPr="006A0543">
        <w:rPr>
          <w:u w:val="single"/>
        </w:rPr>
        <w:t>is the number of transmit chains used in the transmission of the EDMG PPDU.</w:t>
      </w:r>
      <w:r w:rsidR="00CA73CD" w:rsidRPr="00CA73CD">
        <w:t xml:space="preserve">  </w:t>
      </w:r>
      <w:r w:rsidR="00DF0160" w:rsidRPr="00F50160">
        <w:t xml:space="preserve">The </w:t>
      </w:r>
      <w:r w:rsidR="00DF0160">
        <w:t>basic TRN subfield for the</w:t>
      </w:r>
      <w:r w:rsidR="00CA73CD">
        <w:t xml:space="preserve"> </w:t>
      </w:r>
      <w:r w:rsidR="00CA73CD">
        <w:rPr>
          <w:u w:val="single"/>
        </w:rPr>
        <w:t>waveform transmitted with the</w:t>
      </w:r>
      <w:r w:rsidR="00DF0160">
        <w:t xml:space="preserve"> </w:t>
      </w:r>
      <w:proofErr w:type="spellStart"/>
      <w:r w:rsidR="00DF0160" w:rsidRPr="00FF6D20">
        <w:rPr>
          <w:i/>
        </w:rPr>
        <w:t>i</w:t>
      </w:r>
      <w:r w:rsidR="00DF0160" w:rsidRPr="00FF6D20">
        <w:rPr>
          <w:vertAlign w:val="superscript"/>
        </w:rPr>
        <w:t>th</w:t>
      </w:r>
      <w:proofErr w:type="spellEnd"/>
      <w:r w:rsidR="00DF0160" w:rsidRPr="00F50160">
        <w:t xml:space="preserve"> </w:t>
      </w:r>
      <w:r w:rsidR="00DF0160" w:rsidRPr="00CA73CD">
        <w:rPr>
          <w:strike/>
        </w:rPr>
        <w:t>spatial stream</w:t>
      </w:r>
      <w:r w:rsidR="00CA73CD">
        <w:t xml:space="preserve"> </w:t>
      </w:r>
      <w:r w:rsidR="00CA73CD">
        <w:rPr>
          <w:u w:val="single"/>
        </w:rPr>
        <w:t>transmit chain</w:t>
      </w:r>
      <w:r w:rsidR="00DF0160">
        <w:t xml:space="preserve">, </w:t>
      </w:r>
      <w:proofErr w:type="spellStart"/>
      <w:r w:rsidR="00DF0160" w:rsidRPr="00F50160">
        <w:t>TRN</w:t>
      </w:r>
      <w:r w:rsidR="00DF0160" w:rsidRPr="00C05D7E">
        <w:rPr>
          <w:vertAlign w:val="superscript"/>
        </w:rPr>
        <w:t>i</w:t>
      </w:r>
      <w:r w:rsidR="00DF0160" w:rsidRPr="00C05D7E">
        <w:rPr>
          <w:vertAlign w:val="subscript"/>
        </w:rPr>
        <w:t>basic</w:t>
      </w:r>
      <w:proofErr w:type="spellEnd"/>
      <w:r w:rsidR="00DF0160">
        <w:t>,</w:t>
      </w:r>
      <w:r w:rsidR="00DF0160" w:rsidRPr="00F50160">
        <w:t xml:space="preserve"> is composed of 6 </w:t>
      </w:r>
      <w:proofErr w:type="spellStart"/>
      <w:r w:rsidR="00DF0160" w:rsidRPr="00F50160">
        <w:t>Golay</w:t>
      </w:r>
      <w:proofErr w:type="spellEnd"/>
      <w:r w:rsidR="00DF0160" w:rsidRPr="00F50160">
        <w:t xml:space="preserve"> complementary sequences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xml:space="preserve"> and </w:t>
      </w:r>
      <w:proofErr w:type="spellStart"/>
      <w:r w:rsidR="00DF0160" w:rsidRPr="00F50160">
        <w:t>G</w:t>
      </w:r>
      <w:r w:rsidR="00DF0160">
        <w:t>b</w:t>
      </w:r>
      <w:r w:rsidR="00DF0160" w:rsidRPr="00C05D7E">
        <w:rPr>
          <w:vertAlign w:val="superscript"/>
        </w:rPr>
        <w:t>i</w:t>
      </w:r>
      <w:r w:rsidR="00DF0160" w:rsidRPr="00C05D7E">
        <w:rPr>
          <w:vertAlign w:val="subscript"/>
        </w:rPr>
        <w:t>N</w:t>
      </w:r>
      <w:proofErr w:type="spellEnd"/>
      <w:r w:rsidR="00DF0160" w:rsidRPr="00F50160">
        <w:t xml:space="preserve"> as follows </w:t>
      </w:r>
      <w:proofErr w:type="spellStart"/>
      <w:r w:rsidR="00DF0160" w:rsidRPr="00F50160">
        <w:t>TRN</w:t>
      </w:r>
      <w:r w:rsidR="00DF0160" w:rsidRPr="00FF6D20">
        <w:rPr>
          <w:vertAlign w:val="superscript"/>
        </w:rPr>
        <w:t>i</w:t>
      </w:r>
      <w:r w:rsidR="00DF0160" w:rsidRPr="00FF6D20">
        <w:rPr>
          <w:vertAlign w:val="subscript"/>
        </w:rPr>
        <w:t>basic</w:t>
      </w:r>
      <w:proofErr w:type="spellEnd"/>
      <w:r w:rsidR="00DF0160" w:rsidRPr="00F50160">
        <w:t xml:space="preserve"> =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xml:space="preserve">, </w:t>
      </w:r>
      <w:proofErr w:type="spellStart"/>
      <w:r w:rsidR="00DF0160" w:rsidRPr="00F50160">
        <w:t>Ga</w:t>
      </w:r>
      <w:r w:rsidR="00DF0160" w:rsidRPr="00FF6D20">
        <w:rPr>
          <w:vertAlign w:val="superscript"/>
        </w:rPr>
        <w:t>i</w:t>
      </w:r>
      <w:r w:rsidR="00DF0160" w:rsidRPr="00FF6D20">
        <w:rPr>
          <w:vertAlign w:val="subscript"/>
        </w:rPr>
        <w:t>N</w:t>
      </w:r>
      <w:proofErr w:type="spellEnd"/>
      <w:r w:rsidR="00DF0160" w:rsidRPr="00F50160">
        <w:t>, -</w:t>
      </w:r>
      <w:proofErr w:type="spellStart"/>
      <w:r w:rsidR="00DF0160" w:rsidRPr="00F50160">
        <w:t>Gb</w:t>
      </w:r>
      <w:r w:rsidR="00DF0160" w:rsidRPr="00FF6D20">
        <w:rPr>
          <w:vertAlign w:val="superscript"/>
        </w:rPr>
        <w:t>i</w:t>
      </w:r>
      <w:r w:rsidR="00DF0160" w:rsidRPr="00FF6D20">
        <w:rPr>
          <w:vertAlign w:val="subscript"/>
        </w:rPr>
        <w:t>N</w:t>
      </w:r>
      <w:proofErr w:type="spellEnd"/>
      <w:r w:rsidR="00DF0160" w:rsidRPr="00F50160">
        <w:t>], where:</w:t>
      </w:r>
    </w:p>
    <w:p w14:paraId="5E0186B5" w14:textId="77777777" w:rsidR="00DF0160" w:rsidRDefault="00DF0160" w:rsidP="00962D62">
      <w:pPr>
        <w:pStyle w:val="ListParagraph"/>
        <w:numPr>
          <w:ilvl w:val="0"/>
          <w:numId w:val="4"/>
        </w:numPr>
      </w:pPr>
      <w:r>
        <w:t xml:space="preserve">N is the </w:t>
      </w:r>
      <w:proofErr w:type="spellStart"/>
      <w:r>
        <w:t>Golay</w:t>
      </w:r>
      <w:proofErr w:type="spellEnd"/>
      <w:r>
        <w:t xml:space="preserve"> sequence length and is equal to TRN_BL × NCB; and</w:t>
      </w:r>
    </w:p>
    <w:p w14:paraId="7B99AC29" w14:textId="77777777" w:rsidR="00DF0160" w:rsidRPr="00CA73CD" w:rsidRDefault="00DF0160" w:rsidP="00962D62">
      <w:pPr>
        <w:pStyle w:val="ListParagraph"/>
        <w:numPr>
          <w:ilvl w:val="0"/>
          <w:numId w:val="4"/>
        </w:numPr>
        <w:rPr>
          <w:szCs w:val="22"/>
        </w:rPr>
      </w:pPr>
      <w:r w:rsidRPr="00CA73CD">
        <w:rPr>
          <w:szCs w:val="22"/>
        </w:rPr>
        <w:t xml:space="preserve">TRN_BL represents the length of the </w:t>
      </w:r>
      <w:proofErr w:type="spellStart"/>
      <w:r w:rsidRPr="00CA73CD">
        <w:rPr>
          <w:szCs w:val="22"/>
        </w:rPr>
        <w:t>Golay</w:t>
      </w:r>
      <w:proofErr w:type="spellEnd"/>
      <w:r w:rsidRPr="00CA73CD">
        <w:rPr>
          <w:szCs w:val="22"/>
        </w:rPr>
        <w:t xml:space="preserve">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 </w:t>
      </w:r>
    </w:p>
    <w:p w14:paraId="516E9C00" w14:textId="77777777" w:rsidR="00DF0160" w:rsidRDefault="00DF0160" w:rsidP="00962D62">
      <w:pPr>
        <w:pStyle w:val="ListParagraph"/>
        <w:numPr>
          <w:ilvl w:val="0"/>
          <w:numId w:val="4"/>
        </w:numPr>
      </w:pPr>
      <w:r>
        <w:t>NCB represents the integer number of contiguous 2.16 GHz channels over which the TRN subfield is transmitted and 1 ≤ NCB ≤ 4.</w:t>
      </w:r>
    </w:p>
    <w:p w14:paraId="6AEE0239" w14:textId="77777777" w:rsidR="00E8741E" w:rsidRDefault="00E8741E" w:rsidP="00962D62"/>
    <w:p w14:paraId="1B6396A0" w14:textId="77777777" w:rsidR="00DF0160" w:rsidRDefault="00DF0160" w:rsidP="00962D62">
      <w:r w:rsidRPr="004F4992">
        <w:t xml:space="preserve">An EDMG STA shall support </w:t>
      </w:r>
      <w:proofErr w:type="spellStart"/>
      <w:r w:rsidRPr="004F4992">
        <w:t>Golay</w:t>
      </w:r>
      <w:proofErr w:type="spellEnd"/>
      <w:r w:rsidRPr="004F4992">
        <w:t xml:space="preserve"> sequences of length</w:t>
      </w:r>
      <w:r>
        <w:t xml:space="preserve"> 128 (i.e., TRN_BL equal to 128). Other lengths are optional and support is indicated in the STA’s EDMG Capabilities element.</w:t>
      </w:r>
    </w:p>
    <w:p w14:paraId="180DC9B2" w14:textId="77777777" w:rsidR="00CA73CD" w:rsidRDefault="00CA73CD" w:rsidP="00962D62"/>
    <w:p w14:paraId="56963DCF" w14:textId="672095D4" w:rsidR="00DF0160" w:rsidRDefault="00DF0160" w:rsidP="00962D62">
      <w:r>
        <w:t>The sequences (GA</w:t>
      </w:r>
      <w:r w:rsidRPr="00793D5A">
        <w:rPr>
          <w:vertAlign w:val="superscript"/>
        </w:rPr>
        <w:t>i</w:t>
      </w:r>
      <w:r>
        <w:rPr>
          <w:vertAlign w:val="subscript"/>
        </w:rPr>
        <w:t>64</w:t>
      </w:r>
      <w:r>
        <w:t>, GB</w:t>
      </w:r>
      <w:r w:rsidRPr="00014CF2">
        <w:rPr>
          <w:vertAlign w:val="superscript"/>
        </w:rPr>
        <w:t>i</w:t>
      </w:r>
      <w:r>
        <w:rPr>
          <w:vertAlign w:val="subscript"/>
        </w:rPr>
        <w:t>64</w:t>
      </w:r>
      <w:r>
        <w:t>), (Ga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(Ga</w:t>
      </w:r>
      <w:r w:rsidRPr="00014CF2">
        <w:rPr>
          <w:vertAlign w:val="superscript"/>
        </w:rPr>
        <w:t>i</w:t>
      </w:r>
      <w:r>
        <w:rPr>
          <w:vertAlign w:val="subscript"/>
        </w:rPr>
        <w:t>512</w:t>
      </w:r>
      <w:r>
        <w:t>, Gb</w:t>
      </w:r>
      <w:r w:rsidRPr="00014CF2">
        <w:rPr>
          <w:vertAlign w:val="superscript"/>
        </w:rPr>
        <w:t>i</w:t>
      </w:r>
      <w:r>
        <w:rPr>
          <w:vertAlign w:val="subscript"/>
        </w:rPr>
        <w:t>512</w:t>
      </w:r>
      <w:r>
        <w:t>), (Ga</w:t>
      </w:r>
      <w:r w:rsidRPr="00014CF2">
        <w:rPr>
          <w:vertAlign w:val="superscript"/>
        </w:rPr>
        <w:t>i</w:t>
      </w:r>
      <w:r>
        <w:rPr>
          <w:vertAlign w:val="subscript"/>
        </w:rPr>
        <w:t>768</w:t>
      </w:r>
      <w:r>
        <w:t>, Gb</w:t>
      </w:r>
      <w:r w:rsidRPr="00014CF2">
        <w:rPr>
          <w:vertAlign w:val="superscript"/>
        </w:rPr>
        <w:t>i</w:t>
      </w:r>
      <w:r>
        <w:rPr>
          <w:vertAlign w:val="subscript"/>
        </w:rPr>
        <w:t>768</w:t>
      </w:r>
      <w:r>
        <w:t>), and (Ga</w:t>
      </w:r>
      <w:r w:rsidRPr="00014CF2">
        <w:rPr>
          <w:vertAlign w:val="superscript"/>
        </w:rPr>
        <w:t>i</w:t>
      </w:r>
      <w:r>
        <w:rPr>
          <w:vertAlign w:val="subscript"/>
        </w:rPr>
        <w:t>1024</w:t>
      </w:r>
      <w:r>
        <w:t>, Gb</w:t>
      </w:r>
      <w:r w:rsidRPr="00014CF2">
        <w:rPr>
          <w:vertAlign w:val="superscript"/>
        </w:rPr>
        <w:t>i</w:t>
      </w:r>
      <w:r>
        <w:rPr>
          <w:vertAlign w:val="subscript"/>
        </w:rPr>
        <w:t>1024</w:t>
      </w:r>
      <w:r>
        <w:t xml:space="preserve">) are defined in </w:t>
      </w:r>
      <w:proofErr w:type="spellStart"/>
      <w:r>
        <w:t>subclause</w:t>
      </w:r>
      <w:proofErr w:type="spellEnd"/>
      <w:r>
        <w:t xml:space="preserve"> </w:t>
      </w:r>
      <w:r>
        <w:fldChar w:fldCharType="begin"/>
      </w:r>
      <w:r>
        <w:instrText xml:space="preserve"> REF _Ref452987539 \r \h </w:instrText>
      </w:r>
      <w:r w:rsidR="00962D62">
        <w:instrText xml:space="preserve"> \* MERGEFORMAT </w:instrText>
      </w:r>
      <w:r>
        <w:fldChar w:fldCharType="separate"/>
      </w:r>
      <w:r>
        <w:t>30.10</w:t>
      </w:r>
      <w:r>
        <w:fldChar w:fldCharType="end"/>
      </w:r>
      <w:r>
        <w:t>. These sequences shall be transmitted using rotated π/2-BPSK modulation.</w:t>
      </w:r>
    </w:p>
    <w:p w14:paraId="63FF6763" w14:textId="77777777" w:rsidR="00CA73CD" w:rsidRDefault="00CA73CD" w:rsidP="00962D62"/>
    <w:p w14:paraId="5CCE0531" w14:textId="3C539D29" w:rsidR="00DF0160" w:rsidRDefault="00DF0160" w:rsidP="00962D62">
      <w:pPr>
        <w:rPr>
          <w:strike/>
        </w:rPr>
      </w:pPr>
      <w:r>
        <w:fldChar w:fldCharType="begin"/>
      </w:r>
      <w:r>
        <w:instrText xml:space="preserve"> REF _Ref470117026 \r \h </w:instrText>
      </w:r>
      <w:r w:rsidR="00962D62">
        <w:instrText xml:space="preserve"> \* MERGEFORMAT </w:instrText>
      </w:r>
      <w:r>
        <w:fldChar w:fldCharType="separate"/>
      </w:r>
      <w:r>
        <w:t>Table 42</w:t>
      </w:r>
      <w:r>
        <w:fldChar w:fldCharType="end"/>
      </w:r>
      <w:r>
        <w:t xml:space="preserve"> </w:t>
      </w:r>
      <w:r w:rsidRPr="00F50160">
        <w:t xml:space="preserve">defines the </w:t>
      </w:r>
      <w:proofErr w:type="spellStart"/>
      <w:r w:rsidRPr="00F50160">
        <w:t>TRN</w:t>
      </w:r>
      <w:r w:rsidRPr="00FF6D20">
        <w:rPr>
          <w:vertAlign w:val="superscript"/>
        </w:rPr>
        <w:t>i</w:t>
      </w:r>
      <w:proofErr w:type="spellEnd"/>
      <w:r w:rsidRPr="00F50160">
        <w:t xml:space="preserve"> subfield that shall be used </w:t>
      </w:r>
      <w:r w:rsidR="00E70E45">
        <w:rPr>
          <w:u w:val="single"/>
        </w:rPr>
        <w:t xml:space="preserve">in the waveform transmitted with the </w:t>
      </w:r>
      <w:proofErr w:type="spellStart"/>
      <w:r w:rsidR="00E70E45">
        <w:rPr>
          <w:i/>
          <w:u w:val="single"/>
        </w:rPr>
        <w:t>i</w:t>
      </w:r>
      <w:r w:rsidR="00E70E45">
        <w:rPr>
          <w:u w:val="single"/>
          <w:vertAlign w:val="superscript"/>
        </w:rPr>
        <w:t>th</w:t>
      </w:r>
      <w:proofErr w:type="spellEnd"/>
      <w:r w:rsidR="00E70E45">
        <w:rPr>
          <w:u w:val="single"/>
        </w:rPr>
        <w:t xml:space="preserve"> </w:t>
      </w:r>
      <w:r w:rsidR="00467B4D">
        <w:rPr>
          <w:u w:val="single"/>
        </w:rPr>
        <w:t xml:space="preserve">transmit </w:t>
      </w:r>
      <w:r w:rsidR="00467B4D" w:rsidRPr="00467B4D">
        <w:rPr>
          <w:u w:val="single"/>
        </w:rPr>
        <w:t>chain</w:t>
      </w:r>
      <w:r w:rsidR="00467B4D">
        <w:rPr>
          <w:u w:val="single"/>
        </w:rPr>
        <w:t>, where</w:t>
      </w:r>
      <w:r w:rsidR="00467B4D" w:rsidRPr="00467B4D">
        <w:rPr>
          <w:u w:val="single"/>
        </w:rPr>
        <w:t xml:space="preserve"> 1 ≤ </w:t>
      </w:r>
      <w:proofErr w:type="spellStart"/>
      <w:r w:rsidR="00467B4D" w:rsidRPr="00467B4D">
        <w:rPr>
          <w:i/>
          <w:u w:val="single"/>
        </w:rPr>
        <w:t>i</w:t>
      </w:r>
      <w:proofErr w:type="spellEnd"/>
      <w:r w:rsidR="00467B4D" w:rsidRPr="00467B4D">
        <w:rPr>
          <w:u w:val="single"/>
        </w:rPr>
        <w:t xml:space="preserve"> ≤ 8</w:t>
      </w:r>
      <w:r w:rsidR="00467B4D">
        <w:rPr>
          <w:u w:val="single"/>
        </w:rPr>
        <w:t>, for a given total number of transmit chains.</w:t>
      </w:r>
      <w:r w:rsidR="00467B4D" w:rsidRPr="00467B4D">
        <w:t xml:space="preserve"> </w:t>
      </w:r>
      <w:proofErr w:type="gramStart"/>
      <w:r w:rsidRPr="00467B4D">
        <w:rPr>
          <w:strike/>
        </w:rPr>
        <w:t>for</w:t>
      </w:r>
      <w:proofErr w:type="gramEnd"/>
      <w:r w:rsidRPr="00467B4D">
        <w:rPr>
          <w:strike/>
        </w:rPr>
        <w:t xml:space="preserve"> given total number of spatial streams and spatial stream number </w:t>
      </w:r>
      <w:proofErr w:type="spellStart"/>
      <w:r w:rsidRPr="00467B4D">
        <w:rPr>
          <w:i/>
          <w:strike/>
        </w:rPr>
        <w:t>i</w:t>
      </w:r>
      <w:proofErr w:type="spellEnd"/>
      <w:r w:rsidRPr="00467B4D">
        <w:rPr>
          <w:strike/>
        </w:rPr>
        <w:t xml:space="preserve">, 1 ≤ </w:t>
      </w:r>
      <w:proofErr w:type="spellStart"/>
      <w:r w:rsidRPr="00467B4D">
        <w:rPr>
          <w:i/>
          <w:strike/>
        </w:rPr>
        <w:t>i</w:t>
      </w:r>
      <w:proofErr w:type="spellEnd"/>
      <w:r w:rsidRPr="00467B4D">
        <w:rPr>
          <w:strike/>
        </w:rPr>
        <w:t xml:space="preserve"> ≤ 8.</w:t>
      </w:r>
    </w:p>
    <w:p w14:paraId="6EC1155E" w14:textId="77777777" w:rsidR="00467B4D" w:rsidRDefault="00467B4D" w:rsidP="00962D62"/>
    <w:p w14:paraId="7D7E45AA" w14:textId="5D3190B9" w:rsidR="00DF0160" w:rsidRDefault="00467B4D" w:rsidP="00467B4D">
      <w:pPr>
        <w:pStyle w:val="IEEEStdsRegularTableCaption"/>
        <w:numPr>
          <w:ilvl w:val="0"/>
          <w:numId w:val="0"/>
        </w:numPr>
      </w:pPr>
      <w:bookmarkStart w:id="0" w:name="_Ref470117026"/>
      <w:bookmarkStart w:id="1" w:name="_Toc477712227"/>
      <w:r>
        <w:lastRenderedPageBreak/>
        <w:t xml:space="preserve">Table 42 </w:t>
      </w:r>
      <w:r w:rsidR="00DF0160">
        <w:t>—TRN subfield definition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50"/>
        <w:gridCol w:w="4648"/>
      </w:tblGrid>
      <w:tr w:rsidR="00DF0160" w14:paraId="0D151B05" w14:textId="77777777" w:rsidTr="00292052">
        <w:tc>
          <w:tcPr>
            <w:tcW w:w="2452" w:type="dxa"/>
            <w:shd w:val="clear" w:color="auto" w:fill="auto"/>
          </w:tcPr>
          <w:p w14:paraId="704392AD" w14:textId="29020CC4" w:rsidR="00DF0160" w:rsidRPr="00467B4D" w:rsidRDefault="00DF0160" w:rsidP="00292052">
            <w:pPr>
              <w:pStyle w:val="IEEEStdsTableColumnHead"/>
              <w:rPr>
                <w:u w:val="single"/>
              </w:rPr>
            </w:pPr>
            <w:r>
              <w:t xml:space="preserve">Total number of </w:t>
            </w:r>
            <w:r w:rsidRPr="00467B4D">
              <w:rPr>
                <w:strike/>
              </w:rPr>
              <w:t>spatial streams</w:t>
            </w:r>
            <w:r w:rsidR="00467B4D">
              <w:rPr>
                <w:strike/>
              </w:rPr>
              <w:t xml:space="preserve"> </w:t>
            </w:r>
            <w:r w:rsidR="00467B4D" w:rsidRPr="00467B4D">
              <w:rPr>
                <w:u w:val="single"/>
              </w:rPr>
              <w:t>transmit chains</w:t>
            </w:r>
          </w:p>
        </w:tc>
        <w:tc>
          <w:tcPr>
            <w:tcW w:w="2250" w:type="dxa"/>
            <w:shd w:val="clear" w:color="auto" w:fill="auto"/>
          </w:tcPr>
          <w:p w14:paraId="6B5EE3DE" w14:textId="2DD84FB9" w:rsidR="00DF0160" w:rsidRDefault="00DF0160" w:rsidP="00292052">
            <w:pPr>
              <w:pStyle w:val="IEEEStdsTableColumnHead"/>
            </w:pPr>
            <w:r w:rsidRPr="00467B4D">
              <w:rPr>
                <w:strike/>
              </w:rPr>
              <w:t>Spatial stream</w:t>
            </w:r>
            <w:r>
              <w:t xml:space="preserve"> </w:t>
            </w:r>
            <w:r w:rsidR="00467B4D">
              <w:rPr>
                <w:u w:val="single"/>
              </w:rPr>
              <w:t>Transmit chain</w:t>
            </w:r>
            <w:r w:rsidR="00467B4D">
              <w:t xml:space="preserve"> </w:t>
            </w:r>
            <w:r>
              <w:t>number</w:t>
            </w:r>
          </w:p>
        </w:tc>
        <w:tc>
          <w:tcPr>
            <w:tcW w:w="4648" w:type="dxa"/>
            <w:shd w:val="clear" w:color="auto" w:fill="auto"/>
          </w:tcPr>
          <w:p w14:paraId="3258A094" w14:textId="77777777" w:rsidR="00DF0160" w:rsidRDefault="00DF0160" w:rsidP="00292052">
            <w:pPr>
              <w:pStyle w:val="IEEEStdsTableColumnHead"/>
            </w:pPr>
            <w:r>
              <w:t>TRN subfield definition</w:t>
            </w:r>
          </w:p>
        </w:tc>
      </w:tr>
      <w:tr w:rsidR="00DF0160" w14:paraId="40DE8B32" w14:textId="77777777" w:rsidTr="00292052">
        <w:tc>
          <w:tcPr>
            <w:tcW w:w="2452" w:type="dxa"/>
            <w:vMerge w:val="restart"/>
            <w:shd w:val="clear" w:color="auto" w:fill="auto"/>
          </w:tcPr>
          <w:p w14:paraId="7DBA4CB4" w14:textId="77777777" w:rsidR="00DF0160" w:rsidRDefault="00DF0160" w:rsidP="00292052">
            <w:pPr>
              <w:pStyle w:val="IEEEStdsTableData-Left"/>
            </w:pPr>
            <w:r>
              <w:t>1, 2</w:t>
            </w:r>
          </w:p>
        </w:tc>
        <w:tc>
          <w:tcPr>
            <w:tcW w:w="2250" w:type="dxa"/>
            <w:shd w:val="clear" w:color="auto" w:fill="auto"/>
          </w:tcPr>
          <w:p w14:paraId="6F1D96F0" w14:textId="77777777" w:rsidR="00DF0160" w:rsidRDefault="00DF0160" w:rsidP="00292052">
            <w:pPr>
              <w:pStyle w:val="IEEEStdsTableData-Center"/>
            </w:pPr>
            <w:r>
              <w:t>1</w:t>
            </w:r>
          </w:p>
        </w:tc>
        <w:tc>
          <w:tcPr>
            <w:tcW w:w="4648" w:type="dxa"/>
            <w:shd w:val="clear" w:color="auto" w:fill="auto"/>
          </w:tcPr>
          <w:p w14:paraId="5D3477A3" w14:textId="77777777" w:rsidR="00DF0160" w:rsidRDefault="00DF0160" w:rsidP="00292052">
            <w:pPr>
              <w:pStyle w:val="IEEEStdsTableData-Left"/>
            </w:pPr>
            <w:r>
              <w:t>TRN</w:t>
            </w:r>
            <w:r w:rsidRPr="00FF6D20">
              <w:rPr>
                <w:vertAlign w:val="superscript"/>
              </w:rPr>
              <w:t>1</w:t>
            </w:r>
            <w:r w:rsidRPr="00FF6D20">
              <w:rPr>
                <w:vertAlign w:val="subscript"/>
              </w:rPr>
              <w:t>basic</w:t>
            </w:r>
          </w:p>
        </w:tc>
      </w:tr>
      <w:tr w:rsidR="00DF0160" w14:paraId="5DB6C125" w14:textId="77777777" w:rsidTr="00292052">
        <w:tc>
          <w:tcPr>
            <w:tcW w:w="2452" w:type="dxa"/>
            <w:vMerge/>
            <w:shd w:val="clear" w:color="auto" w:fill="auto"/>
          </w:tcPr>
          <w:p w14:paraId="348ED4FB" w14:textId="77777777" w:rsidR="00DF0160" w:rsidRDefault="00DF0160" w:rsidP="00292052">
            <w:pPr>
              <w:pStyle w:val="IEEEStdsTableData-Left"/>
            </w:pPr>
          </w:p>
        </w:tc>
        <w:tc>
          <w:tcPr>
            <w:tcW w:w="2250" w:type="dxa"/>
            <w:shd w:val="clear" w:color="auto" w:fill="auto"/>
          </w:tcPr>
          <w:p w14:paraId="668D7686" w14:textId="77777777" w:rsidR="00DF0160" w:rsidRDefault="00DF0160" w:rsidP="00292052">
            <w:pPr>
              <w:pStyle w:val="IEEEStdsTableData-Center"/>
            </w:pPr>
            <w:r>
              <w:t>2</w:t>
            </w:r>
          </w:p>
        </w:tc>
        <w:tc>
          <w:tcPr>
            <w:tcW w:w="4648" w:type="dxa"/>
            <w:shd w:val="clear" w:color="auto" w:fill="auto"/>
          </w:tcPr>
          <w:p w14:paraId="5C08EE9C" w14:textId="77777777" w:rsidR="00DF0160" w:rsidRDefault="00DF0160" w:rsidP="00292052">
            <w:pPr>
              <w:pStyle w:val="IEEEStdsTableData-Left"/>
            </w:pPr>
            <w:r>
              <w:t>TRN</w:t>
            </w:r>
            <w:r w:rsidRPr="00FF6D20">
              <w:rPr>
                <w:vertAlign w:val="superscript"/>
              </w:rPr>
              <w:t>2</w:t>
            </w:r>
            <w:r w:rsidRPr="00FF6D20">
              <w:rPr>
                <w:vertAlign w:val="subscript"/>
              </w:rPr>
              <w:t>basic</w:t>
            </w:r>
          </w:p>
        </w:tc>
      </w:tr>
      <w:tr w:rsidR="00DF0160" w14:paraId="7CD9E290" w14:textId="77777777" w:rsidTr="00292052">
        <w:tc>
          <w:tcPr>
            <w:tcW w:w="2452" w:type="dxa"/>
            <w:vMerge w:val="restart"/>
            <w:shd w:val="clear" w:color="auto" w:fill="auto"/>
          </w:tcPr>
          <w:p w14:paraId="471C868D" w14:textId="77777777" w:rsidR="00DF0160" w:rsidRDefault="00DF0160" w:rsidP="00292052">
            <w:pPr>
              <w:pStyle w:val="IEEEStdsTableData-Left"/>
            </w:pPr>
            <w:r>
              <w:t>3, 4</w:t>
            </w:r>
          </w:p>
        </w:tc>
        <w:tc>
          <w:tcPr>
            <w:tcW w:w="2250" w:type="dxa"/>
            <w:shd w:val="clear" w:color="auto" w:fill="auto"/>
          </w:tcPr>
          <w:p w14:paraId="2C62AE75" w14:textId="77777777" w:rsidR="00DF0160" w:rsidRDefault="00DF0160" w:rsidP="00292052">
            <w:pPr>
              <w:pStyle w:val="IEEEStdsTableData-Center"/>
            </w:pPr>
            <w:r>
              <w:t>1</w:t>
            </w:r>
          </w:p>
        </w:tc>
        <w:tc>
          <w:tcPr>
            <w:tcW w:w="4648" w:type="dxa"/>
            <w:shd w:val="clear" w:color="auto" w:fill="auto"/>
          </w:tcPr>
          <w:p w14:paraId="60CB932C" w14:textId="77777777" w:rsidR="00DF0160" w:rsidRDefault="00DF0160" w:rsidP="00292052">
            <w:pPr>
              <w:pStyle w:val="IEEEStdsTableData-Left"/>
            </w:pPr>
            <w:r>
              <w:t>[TRN</w:t>
            </w:r>
            <w:r w:rsidRPr="00FF6D20">
              <w:rPr>
                <w:vertAlign w:val="superscript"/>
              </w:rPr>
              <w:t>1</w:t>
            </w:r>
            <w:r w:rsidRPr="00FF6D20">
              <w:rPr>
                <w:vertAlign w:val="subscript"/>
              </w:rPr>
              <w:t>basic</w:t>
            </w:r>
            <w:r>
              <w:t>, TRN</w:t>
            </w:r>
            <w:r w:rsidRPr="00FF6D20">
              <w:rPr>
                <w:vertAlign w:val="superscript"/>
              </w:rPr>
              <w:t>1</w:t>
            </w:r>
            <w:r w:rsidRPr="00FF6D20">
              <w:rPr>
                <w:vertAlign w:val="subscript"/>
              </w:rPr>
              <w:t>basic</w:t>
            </w:r>
            <w:r>
              <w:t>]</w:t>
            </w:r>
          </w:p>
        </w:tc>
      </w:tr>
      <w:tr w:rsidR="00DF0160" w14:paraId="5DF895ED" w14:textId="77777777" w:rsidTr="00292052">
        <w:tc>
          <w:tcPr>
            <w:tcW w:w="2452" w:type="dxa"/>
            <w:vMerge/>
            <w:shd w:val="clear" w:color="auto" w:fill="auto"/>
          </w:tcPr>
          <w:p w14:paraId="4DD59783" w14:textId="77777777" w:rsidR="00DF0160" w:rsidRDefault="00DF0160" w:rsidP="00292052">
            <w:pPr>
              <w:pStyle w:val="IEEEStdsTableData-Left"/>
            </w:pPr>
          </w:p>
        </w:tc>
        <w:tc>
          <w:tcPr>
            <w:tcW w:w="2250" w:type="dxa"/>
            <w:shd w:val="clear" w:color="auto" w:fill="auto"/>
          </w:tcPr>
          <w:p w14:paraId="16225755" w14:textId="77777777" w:rsidR="00DF0160" w:rsidRDefault="00DF0160" w:rsidP="00292052">
            <w:pPr>
              <w:pStyle w:val="IEEEStdsTableData-Center"/>
            </w:pPr>
            <w:r>
              <w:t>2</w:t>
            </w:r>
          </w:p>
        </w:tc>
        <w:tc>
          <w:tcPr>
            <w:tcW w:w="4648" w:type="dxa"/>
            <w:shd w:val="clear" w:color="auto" w:fill="auto"/>
          </w:tcPr>
          <w:p w14:paraId="3E7D0A15" w14:textId="77777777" w:rsidR="00DF0160" w:rsidRDefault="00DF0160" w:rsidP="00292052">
            <w:pPr>
              <w:pStyle w:val="IEEEStdsTableData-Left"/>
            </w:pPr>
            <w:r>
              <w:t>[TRN</w:t>
            </w:r>
            <w:r w:rsidRPr="000C7A53">
              <w:rPr>
                <w:vertAlign w:val="superscript"/>
              </w:rPr>
              <w:t>2</w:t>
            </w:r>
            <w:r w:rsidRPr="000C7A53">
              <w:rPr>
                <w:vertAlign w:val="subscript"/>
              </w:rPr>
              <w:t>basic</w:t>
            </w:r>
            <w:r>
              <w:t>, TRN</w:t>
            </w:r>
            <w:r w:rsidRPr="000C7A53">
              <w:rPr>
                <w:vertAlign w:val="superscript"/>
              </w:rPr>
              <w:t>2</w:t>
            </w:r>
            <w:r w:rsidRPr="000C7A53">
              <w:rPr>
                <w:vertAlign w:val="subscript"/>
              </w:rPr>
              <w:t>basic</w:t>
            </w:r>
            <w:r>
              <w:t>]</w:t>
            </w:r>
          </w:p>
        </w:tc>
      </w:tr>
      <w:tr w:rsidR="00DF0160" w14:paraId="0F85DAD8" w14:textId="77777777" w:rsidTr="00292052">
        <w:tc>
          <w:tcPr>
            <w:tcW w:w="2452" w:type="dxa"/>
            <w:vMerge/>
            <w:shd w:val="clear" w:color="auto" w:fill="auto"/>
          </w:tcPr>
          <w:p w14:paraId="249C9E2F" w14:textId="77777777" w:rsidR="00DF0160" w:rsidRDefault="00DF0160" w:rsidP="00292052">
            <w:pPr>
              <w:pStyle w:val="IEEEStdsTableData-Left"/>
            </w:pPr>
          </w:p>
        </w:tc>
        <w:tc>
          <w:tcPr>
            <w:tcW w:w="2250" w:type="dxa"/>
            <w:shd w:val="clear" w:color="auto" w:fill="auto"/>
          </w:tcPr>
          <w:p w14:paraId="276D38EF" w14:textId="77777777" w:rsidR="00DF0160" w:rsidRDefault="00DF0160" w:rsidP="00292052">
            <w:pPr>
              <w:pStyle w:val="IEEEStdsTableData-Center"/>
            </w:pPr>
            <w:r>
              <w:t>3</w:t>
            </w:r>
          </w:p>
        </w:tc>
        <w:tc>
          <w:tcPr>
            <w:tcW w:w="4648" w:type="dxa"/>
            <w:shd w:val="clear" w:color="auto" w:fill="auto"/>
          </w:tcPr>
          <w:p w14:paraId="242DE3B8" w14:textId="77777777" w:rsidR="00DF0160" w:rsidRDefault="00DF0160" w:rsidP="00292052">
            <w:pPr>
              <w:pStyle w:val="IEEEStdsTableData-Left"/>
            </w:pPr>
            <w:r>
              <w:t>[TRN</w:t>
            </w:r>
            <w:r w:rsidRPr="000C7A53">
              <w:rPr>
                <w:vertAlign w:val="superscript"/>
              </w:rPr>
              <w:t>3</w:t>
            </w:r>
            <w:r w:rsidRPr="000C7A53">
              <w:rPr>
                <w:vertAlign w:val="subscript"/>
              </w:rPr>
              <w:t>basic</w:t>
            </w:r>
            <w:r>
              <w:t>, -TRN</w:t>
            </w:r>
            <w:r w:rsidRPr="000C7A53">
              <w:rPr>
                <w:vertAlign w:val="superscript"/>
              </w:rPr>
              <w:t>3</w:t>
            </w:r>
            <w:r w:rsidRPr="000C7A53">
              <w:rPr>
                <w:vertAlign w:val="subscript"/>
              </w:rPr>
              <w:t>basic</w:t>
            </w:r>
            <w:r>
              <w:t>]</w:t>
            </w:r>
          </w:p>
        </w:tc>
      </w:tr>
      <w:tr w:rsidR="00DF0160" w14:paraId="527B5407" w14:textId="77777777" w:rsidTr="00292052">
        <w:tc>
          <w:tcPr>
            <w:tcW w:w="2452" w:type="dxa"/>
            <w:vMerge/>
            <w:shd w:val="clear" w:color="auto" w:fill="auto"/>
          </w:tcPr>
          <w:p w14:paraId="1D295182" w14:textId="77777777" w:rsidR="00DF0160" w:rsidRDefault="00DF0160" w:rsidP="00292052">
            <w:pPr>
              <w:pStyle w:val="IEEEStdsTableData-Left"/>
            </w:pPr>
          </w:p>
        </w:tc>
        <w:tc>
          <w:tcPr>
            <w:tcW w:w="2250" w:type="dxa"/>
            <w:shd w:val="clear" w:color="auto" w:fill="auto"/>
          </w:tcPr>
          <w:p w14:paraId="5528B52D" w14:textId="77777777" w:rsidR="00DF0160" w:rsidRDefault="00DF0160" w:rsidP="00292052">
            <w:pPr>
              <w:pStyle w:val="IEEEStdsTableData-Center"/>
            </w:pPr>
            <w:r>
              <w:t>4</w:t>
            </w:r>
          </w:p>
        </w:tc>
        <w:tc>
          <w:tcPr>
            <w:tcW w:w="4648" w:type="dxa"/>
            <w:shd w:val="clear" w:color="auto" w:fill="auto"/>
          </w:tcPr>
          <w:p w14:paraId="15BB6E18" w14:textId="77777777" w:rsidR="00DF0160" w:rsidRDefault="00DF0160" w:rsidP="00292052">
            <w:pPr>
              <w:pStyle w:val="IEEEStdsTableData-Left"/>
            </w:pPr>
            <w:r>
              <w:t>[TRN</w:t>
            </w:r>
            <w:r w:rsidRPr="000C7A53">
              <w:rPr>
                <w:vertAlign w:val="superscript"/>
              </w:rPr>
              <w:t>4</w:t>
            </w:r>
            <w:r w:rsidRPr="000C7A53">
              <w:rPr>
                <w:vertAlign w:val="subscript"/>
              </w:rPr>
              <w:t>basic</w:t>
            </w:r>
            <w:r>
              <w:t>, -TRN</w:t>
            </w:r>
            <w:r w:rsidRPr="000C7A53">
              <w:rPr>
                <w:vertAlign w:val="superscript"/>
              </w:rPr>
              <w:t>4</w:t>
            </w:r>
            <w:r w:rsidRPr="000C7A53">
              <w:rPr>
                <w:vertAlign w:val="subscript"/>
              </w:rPr>
              <w:t>basic</w:t>
            </w:r>
            <w:r>
              <w:t>]</w:t>
            </w:r>
          </w:p>
        </w:tc>
      </w:tr>
      <w:tr w:rsidR="00DF0160" w14:paraId="475FB17D" w14:textId="77777777" w:rsidTr="00292052">
        <w:tc>
          <w:tcPr>
            <w:tcW w:w="2452" w:type="dxa"/>
            <w:vMerge w:val="restart"/>
            <w:shd w:val="clear" w:color="auto" w:fill="auto"/>
          </w:tcPr>
          <w:p w14:paraId="60536B0E" w14:textId="77777777" w:rsidR="00DF0160" w:rsidRDefault="00DF0160" w:rsidP="00292052">
            <w:pPr>
              <w:pStyle w:val="IEEEStdsTableData-Left"/>
            </w:pPr>
            <w:r>
              <w:t>5, 6, 7, 8</w:t>
            </w:r>
          </w:p>
        </w:tc>
        <w:tc>
          <w:tcPr>
            <w:tcW w:w="2250" w:type="dxa"/>
            <w:shd w:val="clear" w:color="auto" w:fill="auto"/>
          </w:tcPr>
          <w:p w14:paraId="7B3EE21B" w14:textId="77777777" w:rsidR="00DF0160" w:rsidRDefault="00DF0160" w:rsidP="00292052">
            <w:pPr>
              <w:pStyle w:val="IEEEStdsTableData-Center"/>
            </w:pPr>
            <w:r>
              <w:t>1</w:t>
            </w:r>
          </w:p>
        </w:tc>
        <w:tc>
          <w:tcPr>
            <w:tcW w:w="4648" w:type="dxa"/>
            <w:shd w:val="clear" w:color="auto" w:fill="auto"/>
          </w:tcPr>
          <w:p w14:paraId="367526D6" w14:textId="77777777" w:rsidR="00DF0160" w:rsidRPr="00D71F76" w:rsidRDefault="00DF0160" w:rsidP="00292052">
            <w:pPr>
              <w:pStyle w:val="IEEEStdsTableData-Left"/>
            </w:pPr>
            <w:r w:rsidRPr="00D71F76">
              <w:t>[</w:t>
            </w:r>
            <w:r w:rsidRPr="00FF6D20">
              <w:rPr>
                <w:bCs/>
                <w:lang w:val="en-GB"/>
              </w:rPr>
              <w:t>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FF6D20">
              <w:rPr>
                <w:bCs/>
                <w:lang w:val="en-GB"/>
              </w:rPr>
              <w:t>, TRN</w:t>
            </w:r>
            <w:r w:rsidRPr="000C7A53">
              <w:rPr>
                <w:bCs/>
                <w:vertAlign w:val="superscript"/>
                <w:lang w:val="en-GB"/>
              </w:rPr>
              <w:t>1</w:t>
            </w:r>
            <w:r w:rsidRPr="00FF6D20">
              <w:rPr>
                <w:bCs/>
                <w:vertAlign w:val="subscript"/>
                <w:lang w:val="en-GB"/>
              </w:rPr>
              <w:t>basic</w:t>
            </w:r>
            <w:r w:rsidRPr="00D71F76">
              <w:t>]</w:t>
            </w:r>
          </w:p>
        </w:tc>
      </w:tr>
      <w:tr w:rsidR="00DF0160" w14:paraId="126AE87E" w14:textId="77777777" w:rsidTr="00292052">
        <w:tc>
          <w:tcPr>
            <w:tcW w:w="2452" w:type="dxa"/>
            <w:vMerge/>
            <w:shd w:val="clear" w:color="auto" w:fill="auto"/>
          </w:tcPr>
          <w:p w14:paraId="3D28E8C5" w14:textId="77777777" w:rsidR="00DF0160" w:rsidRDefault="00DF0160" w:rsidP="00292052">
            <w:pPr>
              <w:pStyle w:val="IEEEStdsTableData-Left"/>
            </w:pPr>
          </w:p>
        </w:tc>
        <w:tc>
          <w:tcPr>
            <w:tcW w:w="2250" w:type="dxa"/>
            <w:shd w:val="clear" w:color="auto" w:fill="auto"/>
          </w:tcPr>
          <w:p w14:paraId="657697AB" w14:textId="77777777" w:rsidR="00DF0160" w:rsidRDefault="00DF0160" w:rsidP="00292052">
            <w:pPr>
              <w:pStyle w:val="IEEEStdsTableData-Center"/>
            </w:pPr>
            <w:r>
              <w:t>2</w:t>
            </w:r>
          </w:p>
        </w:tc>
        <w:tc>
          <w:tcPr>
            <w:tcW w:w="4648" w:type="dxa"/>
            <w:shd w:val="clear" w:color="auto" w:fill="auto"/>
          </w:tcPr>
          <w:p w14:paraId="11A56D9D" w14:textId="77777777" w:rsidR="00DF0160" w:rsidRPr="00D71F76" w:rsidRDefault="00DF0160" w:rsidP="00292052">
            <w:pPr>
              <w:pStyle w:val="IEEEStdsTableData-Left"/>
            </w:pPr>
            <w:r w:rsidRPr="00D71F76">
              <w:t>[</w:t>
            </w:r>
            <w:r w:rsidRPr="000C7A53">
              <w:rPr>
                <w:bCs/>
                <w:lang w:val="en-GB"/>
              </w:rPr>
              <w:t>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0C7A53">
              <w:rPr>
                <w:bCs/>
                <w:lang w:val="en-GB"/>
              </w:rPr>
              <w:t>, TRN</w:t>
            </w:r>
            <w:r w:rsidRPr="000C7A53">
              <w:rPr>
                <w:bCs/>
                <w:vertAlign w:val="superscript"/>
                <w:lang w:val="en-GB"/>
              </w:rPr>
              <w:t>2</w:t>
            </w:r>
            <w:r w:rsidRPr="000C7A53">
              <w:rPr>
                <w:bCs/>
                <w:vertAlign w:val="subscript"/>
                <w:lang w:val="en-GB"/>
              </w:rPr>
              <w:t>basic</w:t>
            </w:r>
            <w:r w:rsidRPr="00D71F76">
              <w:t>]</w:t>
            </w:r>
          </w:p>
        </w:tc>
      </w:tr>
      <w:tr w:rsidR="00DF0160" w14:paraId="5E7040F7" w14:textId="77777777" w:rsidTr="00292052">
        <w:tc>
          <w:tcPr>
            <w:tcW w:w="2452" w:type="dxa"/>
            <w:vMerge/>
            <w:shd w:val="clear" w:color="auto" w:fill="auto"/>
          </w:tcPr>
          <w:p w14:paraId="2A65F60D" w14:textId="77777777" w:rsidR="00DF0160" w:rsidRDefault="00DF0160" w:rsidP="00292052">
            <w:pPr>
              <w:pStyle w:val="IEEEStdsTableData-Left"/>
            </w:pPr>
          </w:p>
        </w:tc>
        <w:tc>
          <w:tcPr>
            <w:tcW w:w="2250" w:type="dxa"/>
            <w:shd w:val="clear" w:color="auto" w:fill="auto"/>
          </w:tcPr>
          <w:p w14:paraId="249D271E" w14:textId="77777777" w:rsidR="00DF0160" w:rsidRDefault="00DF0160" w:rsidP="00292052">
            <w:pPr>
              <w:pStyle w:val="IEEEStdsTableData-Center"/>
            </w:pPr>
            <w:r>
              <w:t>3</w:t>
            </w:r>
          </w:p>
        </w:tc>
        <w:tc>
          <w:tcPr>
            <w:tcW w:w="4648" w:type="dxa"/>
            <w:shd w:val="clear" w:color="auto" w:fill="auto"/>
          </w:tcPr>
          <w:p w14:paraId="3BF26DEF" w14:textId="77777777" w:rsidR="00DF0160" w:rsidRPr="00286E24"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FF6D20">
              <w:rPr>
                <w:bCs/>
                <w:lang w:val="en-GB"/>
              </w:rPr>
              <w:t>, -TRN</w:t>
            </w:r>
            <w:r w:rsidRPr="000C7A53">
              <w:rPr>
                <w:bCs/>
                <w:vertAlign w:val="superscript"/>
                <w:lang w:val="en-GB"/>
              </w:rPr>
              <w:t>3</w:t>
            </w:r>
            <w:r w:rsidRPr="00FF6D20">
              <w:rPr>
                <w:bCs/>
                <w:vertAlign w:val="subscript"/>
                <w:lang w:val="en-GB"/>
              </w:rPr>
              <w:t>basic</w:t>
            </w:r>
            <w:r w:rsidRPr="000C7A53">
              <w:rPr>
                <w:bCs/>
                <w:lang w:val="en-GB"/>
              </w:rPr>
              <w:t>]</w:t>
            </w:r>
          </w:p>
        </w:tc>
      </w:tr>
      <w:tr w:rsidR="00DF0160" w14:paraId="30D6A934" w14:textId="77777777" w:rsidTr="00292052">
        <w:tc>
          <w:tcPr>
            <w:tcW w:w="2452" w:type="dxa"/>
            <w:vMerge/>
            <w:shd w:val="clear" w:color="auto" w:fill="auto"/>
          </w:tcPr>
          <w:p w14:paraId="13792717" w14:textId="77777777" w:rsidR="00DF0160" w:rsidRDefault="00DF0160" w:rsidP="00292052">
            <w:pPr>
              <w:pStyle w:val="IEEEStdsTableData-Left"/>
            </w:pPr>
          </w:p>
        </w:tc>
        <w:tc>
          <w:tcPr>
            <w:tcW w:w="2250" w:type="dxa"/>
            <w:shd w:val="clear" w:color="auto" w:fill="auto"/>
          </w:tcPr>
          <w:p w14:paraId="29DD4B4A" w14:textId="77777777" w:rsidR="00DF0160" w:rsidRDefault="00DF0160" w:rsidP="00292052">
            <w:pPr>
              <w:pStyle w:val="IEEEStdsTableData-Center"/>
            </w:pPr>
            <w:r>
              <w:t>4</w:t>
            </w:r>
          </w:p>
        </w:tc>
        <w:tc>
          <w:tcPr>
            <w:tcW w:w="4648" w:type="dxa"/>
            <w:shd w:val="clear" w:color="auto" w:fill="auto"/>
          </w:tcPr>
          <w:p w14:paraId="299E169F" w14:textId="77777777" w:rsidR="00DF0160" w:rsidRDefault="00DF0160" w:rsidP="00292052">
            <w:pPr>
              <w:pStyle w:val="IEEEStdsTableData-Left"/>
            </w:pPr>
            <w:r w:rsidRPr="000C7A53">
              <w:rPr>
                <w:bCs/>
                <w:lang w:val="en-GB"/>
              </w:rPr>
              <w:t>[TRN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 -TRN</w:t>
            </w:r>
            <w:r w:rsidRPr="000C7A53">
              <w:rPr>
                <w:bCs/>
                <w:vertAlign w:val="superscript"/>
                <w:lang w:val="en-GB"/>
              </w:rPr>
              <w:t>4</w:t>
            </w:r>
            <w:r w:rsidRPr="000C7A53">
              <w:rPr>
                <w:bCs/>
                <w:vertAlign w:val="subscript"/>
                <w:lang w:val="en-GB"/>
              </w:rPr>
              <w:t>basic</w:t>
            </w:r>
            <w:r w:rsidRPr="000C7A53">
              <w:rPr>
                <w:bCs/>
                <w:lang w:val="en-GB"/>
              </w:rPr>
              <w:t>]</w:t>
            </w:r>
          </w:p>
        </w:tc>
      </w:tr>
      <w:tr w:rsidR="00DF0160" w14:paraId="3AC6719E" w14:textId="77777777" w:rsidTr="00292052">
        <w:tc>
          <w:tcPr>
            <w:tcW w:w="2452" w:type="dxa"/>
            <w:vMerge/>
            <w:shd w:val="clear" w:color="auto" w:fill="auto"/>
          </w:tcPr>
          <w:p w14:paraId="362608C2" w14:textId="77777777" w:rsidR="00DF0160" w:rsidRDefault="00DF0160" w:rsidP="00292052">
            <w:pPr>
              <w:pStyle w:val="IEEEStdsTableData-Left"/>
            </w:pPr>
          </w:p>
        </w:tc>
        <w:tc>
          <w:tcPr>
            <w:tcW w:w="2250" w:type="dxa"/>
            <w:shd w:val="clear" w:color="auto" w:fill="auto"/>
          </w:tcPr>
          <w:p w14:paraId="6C2ABE49" w14:textId="77777777" w:rsidR="00DF0160" w:rsidRDefault="00DF0160" w:rsidP="00292052">
            <w:pPr>
              <w:pStyle w:val="IEEEStdsTableData-Center"/>
            </w:pPr>
            <w:r>
              <w:t>5</w:t>
            </w:r>
          </w:p>
        </w:tc>
        <w:tc>
          <w:tcPr>
            <w:tcW w:w="4648" w:type="dxa"/>
            <w:shd w:val="clear" w:color="auto" w:fill="auto"/>
          </w:tcPr>
          <w:p w14:paraId="3ED2DF1F" w14:textId="77777777" w:rsidR="00DF0160" w:rsidRPr="00086535"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5</w:t>
            </w:r>
            <w:r w:rsidRPr="00FF6D20">
              <w:rPr>
                <w:bCs/>
                <w:vertAlign w:val="subscript"/>
                <w:lang w:val="en-GB"/>
              </w:rPr>
              <w:t>basic</w:t>
            </w:r>
            <w:r w:rsidRPr="000C7A53">
              <w:rPr>
                <w:bCs/>
                <w:lang w:val="en-GB"/>
              </w:rPr>
              <w:t xml:space="preserve">, </w:t>
            </w:r>
            <w:r w:rsidRPr="00FF6D20">
              <w:rPr>
                <w:bCs/>
                <w:lang w:val="en-GB"/>
              </w:rPr>
              <w:t>TRN</w:t>
            </w:r>
            <w:r w:rsidRPr="000C7A53">
              <w:rPr>
                <w:bCs/>
                <w:vertAlign w:val="superscript"/>
                <w:lang w:val="en-GB"/>
              </w:rPr>
              <w:t>5</w:t>
            </w:r>
            <w:r w:rsidRPr="00FF6D20">
              <w:rPr>
                <w:bCs/>
                <w:vertAlign w:val="subscript"/>
                <w:lang w:val="en-GB"/>
              </w:rPr>
              <w:t>basic</w:t>
            </w:r>
            <w:r w:rsidRPr="00FF6D20">
              <w:rPr>
                <w:bCs/>
                <w:lang w:val="en-GB"/>
              </w:rPr>
              <w:t>, -TRN</w:t>
            </w:r>
            <w:r w:rsidRPr="000C7A53">
              <w:rPr>
                <w:bCs/>
                <w:vertAlign w:val="superscript"/>
                <w:lang w:val="en-GB"/>
              </w:rPr>
              <w:t>5</w:t>
            </w:r>
            <w:r w:rsidRPr="00FF6D20">
              <w:rPr>
                <w:bCs/>
                <w:vertAlign w:val="subscript"/>
                <w:lang w:val="en-GB"/>
              </w:rPr>
              <w:t>basic</w:t>
            </w:r>
            <w:r w:rsidRPr="00FF6D20">
              <w:rPr>
                <w:bCs/>
                <w:lang w:val="en-GB"/>
              </w:rPr>
              <w:t>, -TRN</w:t>
            </w:r>
            <w:r w:rsidRPr="000C7A53">
              <w:rPr>
                <w:bCs/>
                <w:vertAlign w:val="superscript"/>
                <w:lang w:val="en-GB"/>
              </w:rPr>
              <w:t>5</w:t>
            </w:r>
            <w:r w:rsidRPr="00FF6D20">
              <w:rPr>
                <w:bCs/>
                <w:vertAlign w:val="subscript"/>
                <w:lang w:val="en-GB"/>
              </w:rPr>
              <w:t>basic</w:t>
            </w:r>
            <w:r w:rsidRPr="00FF6D20">
              <w:rPr>
                <w:bCs/>
                <w:lang w:val="en-GB"/>
              </w:rPr>
              <w:t>]</w:t>
            </w:r>
          </w:p>
        </w:tc>
      </w:tr>
      <w:tr w:rsidR="00DF0160" w14:paraId="08C3E6C0" w14:textId="77777777" w:rsidTr="00292052">
        <w:tc>
          <w:tcPr>
            <w:tcW w:w="2452" w:type="dxa"/>
            <w:vMerge/>
            <w:shd w:val="clear" w:color="auto" w:fill="auto"/>
          </w:tcPr>
          <w:p w14:paraId="6A018D91" w14:textId="77777777" w:rsidR="00DF0160" w:rsidRDefault="00DF0160" w:rsidP="00292052">
            <w:pPr>
              <w:pStyle w:val="IEEEStdsTableData-Left"/>
            </w:pPr>
          </w:p>
        </w:tc>
        <w:tc>
          <w:tcPr>
            <w:tcW w:w="2250" w:type="dxa"/>
            <w:shd w:val="clear" w:color="auto" w:fill="auto"/>
          </w:tcPr>
          <w:p w14:paraId="58A0E557" w14:textId="77777777" w:rsidR="00DF0160" w:rsidRDefault="00DF0160" w:rsidP="00292052">
            <w:pPr>
              <w:pStyle w:val="IEEEStdsTableData-Center"/>
            </w:pPr>
            <w:r>
              <w:t>6</w:t>
            </w:r>
          </w:p>
        </w:tc>
        <w:tc>
          <w:tcPr>
            <w:tcW w:w="4648" w:type="dxa"/>
            <w:shd w:val="clear" w:color="auto" w:fill="auto"/>
          </w:tcPr>
          <w:p w14:paraId="2F8B2980" w14:textId="77777777" w:rsidR="00DF0160" w:rsidRDefault="00DF0160" w:rsidP="00292052">
            <w:pPr>
              <w:pStyle w:val="IEEEStdsTableData-Left"/>
            </w:pPr>
            <w:r w:rsidRPr="000C7A53">
              <w:rPr>
                <w:bCs/>
                <w:lang w:val="en-GB"/>
              </w:rPr>
              <w:t>[TRN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 -TRN</w:t>
            </w:r>
            <w:r w:rsidRPr="000C7A53">
              <w:rPr>
                <w:bCs/>
                <w:vertAlign w:val="superscript"/>
                <w:lang w:val="en-GB"/>
              </w:rPr>
              <w:t>6</w:t>
            </w:r>
            <w:r w:rsidRPr="000C7A53">
              <w:rPr>
                <w:bCs/>
                <w:vertAlign w:val="subscript"/>
                <w:lang w:val="en-GB"/>
              </w:rPr>
              <w:t>basic</w:t>
            </w:r>
            <w:r w:rsidRPr="000C7A53">
              <w:rPr>
                <w:bCs/>
                <w:lang w:val="en-GB"/>
              </w:rPr>
              <w:t>]</w:t>
            </w:r>
          </w:p>
        </w:tc>
      </w:tr>
      <w:tr w:rsidR="00DF0160" w14:paraId="53DD0B41" w14:textId="77777777" w:rsidTr="00292052">
        <w:tc>
          <w:tcPr>
            <w:tcW w:w="2452" w:type="dxa"/>
            <w:vMerge/>
            <w:shd w:val="clear" w:color="auto" w:fill="auto"/>
          </w:tcPr>
          <w:p w14:paraId="5E77FFA8" w14:textId="77777777" w:rsidR="00DF0160" w:rsidRDefault="00DF0160" w:rsidP="00292052">
            <w:pPr>
              <w:pStyle w:val="IEEEStdsTableData-Left"/>
            </w:pPr>
          </w:p>
        </w:tc>
        <w:tc>
          <w:tcPr>
            <w:tcW w:w="2250" w:type="dxa"/>
            <w:shd w:val="clear" w:color="auto" w:fill="auto"/>
          </w:tcPr>
          <w:p w14:paraId="3C97BACE" w14:textId="77777777" w:rsidR="00DF0160" w:rsidRDefault="00DF0160" w:rsidP="00292052">
            <w:pPr>
              <w:pStyle w:val="IEEEStdsTableData-Center"/>
            </w:pPr>
            <w:r>
              <w:t>7</w:t>
            </w:r>
          </w:p>
        </w:tc>
        <w:tc>
          <w:tcPr>
            <w:tcW w:w="4648" w:type="dxa"/>
            <w:shd w:val="clear" w:color="auto" w:fill="auto"/>
          </w:tcPr>
          <w:p w14:paraId="23E64475" w14:textId="77777777" w:rsidR="00DF0160" w:rsidRPr="005D3DAD" w:rsidRDefault="00DF0160" w:rsidP="00292052">
            <w:pPr>
              <w:pStyle w:val="IEEEStdsTableData-Left"/>
            </w:pPr>
            <w:r w:rsidRPr="000C7A53">
              <w:rPr>
                <w:bCs/>
                <w:lang w:val="en-GB"/>
              </w:rPr>
              <w:t>[</w:t>
            </w:r>
            <w:r w:rsidRPr="00FF6D20">
              <w:rPr>
                <w:bCs/>
                <w:lang w:val="en-GB"/>
              </w:rPr>
              <w:t>TRN</w:t>
            </w:r>
            <w:r w:rsidRPr="000C7A53">
              <w:rPr>
                <w:bCs/>
                <w:vertAlign w:val="superscript"/>
                <w:lang w:val="en-GB"/>
              </w:rPr>
              <w:t>7</w:t>
            </w:r>
            <w:r w:rsidRPr="00FF6D20">
              <w:rPr>
                <w:bCs/>
                <w:vertAlign w:val="subscript"/>
                <w:lang w:val="en-GB"/>
              </w:rPr>
              <w:t>basic</w:t>
            </w:r>
            <w:r w:rsidRPr="00FF6D20">
              <w:rPr>
                <w:bCs/>
                <w:lang w:val="en-GB"/>
              </w:rPr>
              <w:t>, -TRN</w:t>
            </w:r>
            <w:r w:rsidRPr="000C7A53">
              <w:rPr>
                <w:bCs/>
                <w:vertAlign w:val="superscript"/>
                <w:lang w:val="en-GB"/>
              </w:rPr>
              <w:t>7</w:t>
            </w:r>
            <w:r w:rsidRPr="00FF6D20">
              <w:rPr>
                <w:bCs/>
                <w:vertAlign w:val="subscript"/>
                <w:lang w:val="en-GB"/>
              </w:rPr>
              <w:t>basic</w:t>
            </w:r>
            <w:r w:rsidRPr="00FF6D20">
              <w:rPr>
                <w:bCs/>
                <w:lang w:val="en-GB"/>
              </w:rPr>
              <w:t>, -TRN</w:t>
            </w:r>
            <w:r w:rsidRPr="000C7A53">
              <w:rPr>
                <w:bCs/>
                <w:vertAlign w:val="superscript"/>
                <w:lang w:val="en-GB"/>
              </w:rPr>
              <w:t>7</w:t>
            </w:r>
            <w:r w:rsidRPr="00FF6D20">
              <w:rPr>
                <w:bCs/>
                <w:vertAlign w:val="subscript"/>
                <w:lang w:val="en-GB"/>
              </w:rPr>
              <w:t>basic</w:t>
            </w:r>
            <w:r w:rsidRPr="000C7A53">
              <w:rPr>
                <w:bCs/>
                <w:lang w:val="en-GB"/>
              </w:rPr>
              <w:t xml:space="preserve">, </w:t>
            </w:r>
            <w:r w:rsidRPr="00FF6D20">
              <w:rPr>
                <w:bCs/>
                <w:lang w:val="en-GB"/>
              </w:rPr>
              <w:t>TRN</w:t>
            </w:r>
            <w:r w:rsidRPr="000C7A53">
              <w:rPr>
                <w:bCs/>
                <w:vertAlign w:val="superscript"/>
                <w:lang w:val="en-GB"/>
              </w:rPr>
              <w:t>7</w:t>
            </w:r>
            <w:r w:rsidRPr="00FF6D20">
              <w:rPr>
                <w:bCs/>
                <w:vertAlign w:val="subscript"/>
                <w:lang w:val="en-GB"/>
              </w:rPr>
              <w:t>basic</w:t>
            </w:r>
            <w:r w:rsidRPr="000C7A53">
              <w:rPr>
                <w:bCs/>
                <w:lang w:val="en-GB"/>
              </w:rPr>
              <w:t>]</w:t>
            </w:r>
          </w:p>
        </w:tc>
      </w:tr>
      <w:tr w:rsidR="00DF0160" w14:paraId="6DD471EE" w14:textId="77777777" w:rsidTr="00292052">
        <w:tc>
          <w:tcPr>
            <w:tcW w:w="2452" w:type="dxa"/>
            <w:vMerge/>
            <w:shd w:val="clear" w:color="auto" w:fill="auto"/>
          </w:tcPr>
          <w:p w14:paraId="620592C7" w14:textId="77777777" w:rsidR="00DF0160" w:rsidRDefault="00DF0160" w:rsidP="00292052">
            <w:pPr>
              <w:pStyle w:val="IEEEStdsTableData-Left"/>
            </w:pPr>
          </w:p>
        </w:tc>
        <w:tc>
          <w:tcPr>
            <w:tcW w:w="2250" w:type="dxa"/>
            <w:shd w:val="clear" w:color="auto" w:fill="auto"/>
          </w:tcPr>
          <w:p w14:paraId="0ADCD827" w14:textId="77777777" w:rsidR="00DF0160" w:rsidRDefault="00DF0160" w:rsidP="00292052">
            <w:pPr>
              <w:pStyle w:val="IEEEStdsTableData-Center"/>
            </w:pPr>
            <w:r>
              <w:t>8</w:t>
            </w:r>
          </w:p>
        </w:tc>
        <w:tc>
          <w:tcPr>
            <w:tcW w:w="4648" w:type="dxa"/>
            <w:shd w:val="clear" w:color="auto" w:fill="auto"/>
          </w:tcPr>
          <w:p w14:paraId="555D0D4F" w14:textId="77777777" w:rsidR="00DF0160" w:rsidRDefault="00DF0160" w:rsidP="00292052">
            <w:pPr>
              <w:pStyle w:val="IEEEStdsTableData-Left"/>
            </w:pPr>
            <w:r w:rsidRPr="000C7A53">
              <w:rPr>
                <w:bCs/>
                <w:lang w:val="en-GB"/>
              </w:rPr>
              <w:t>[TRN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 TRN</w:t>
            </w:r>
            <w:r w:rsidRPr="000C7A53">
              <w:rPr>
                <w:bCs/>
                <w:vertAlign w:val="superscript"/>
                <w:lang w:val="en-GB"/>
              </w:rPr>
              <w:t>8</w:t>
            </w:r>
            <w:r w:rsidRPr="000C7A53">
              <w:rPr>
                <w:bCs/>
                <w:vertAlign w:val="subscript"/>
                <w:lang w:val="en-GB"/>
              </w:rPr>
              <w:t>basic</w:t>
            </w:r>
            <w:r w:rsidRPr="000C7A53">
              <w:rPr>
                <w:bCs/>
                <w:lang w:val="en-GB"/>
              </w:rPr>
              <w:t>]</w:t>
            </w:r>
          </w:p>
        </w:tc>
      </w:tr>
    </w:tbl>
    <w:p w14:paraId="2D9BEB28" w14:textId="77777777" w:rsidR="00A566BF" w:rsidRDefault="00A566BF" w:rsidP="00A566BF"/>
    <w:p w14:paraId="575E175D" w14:textId="77777777" w:rsidR="00FD6ED9" w:rsidRDefault="00FD6ED9" w:rsidP="00FD6ED9"/>
    <w:p w14:paraId="700FC570" w14:textId="77777777" w:rsidR="00FD6ED9" w:rsidRDefault="00FD6ED9" w:rsidP="00FD6ED9"/>
    <w:tbl>
      <w:tblPr>
        <w:tblStyle w:val="TableGrid"/>
        <w:tblW w:w="0" w:type="auto"/>
        <w:tblLook w:val="04A0" w:firstRow="1" w:lastRow="0" w:firstColumn="1" w:lastColumn="0" w:noHBand="0" w:noVBand="1"/>
      </w:tblPr>
      <w:tblGrid>
        <w:gridCol w:w="622"/>
        <w:gridCol w:w="1096"/>
        <w:gridCol w:w="898"/>
        <w:gridCol w:w="4263"/>
        <w:gridCol w:w="2471"/>
      </w:tblGrid>
      <w:tr w:rsidR="00FD6ED9" w14:paraId="116902BE" w14:textId="77777777" w:rsidTr="00292052">
        <w:tc>
          <w:tcPr>
            <w:tcW w:w="624" w:type="dxa"/>
          </w:tcPr>
          <w:p w14:paraId="4FB32A8B" w14:textId="77777777" w:rsidR="00FD6ED9" w:rsidRPr="0064306F" w:rsidRDefault="00FD6ED9" w:rsidP="00292052">
            <w:pPr>
              <w:rPr>
                <w:b/>
                <w:sz w:val="16"/>
                <w:szCs w:val="16"/>
              </w:rPr>
            </w:pPr>
            <w:r w:rsidRPr="0064306F">
              <w:rPr>
                <w:b/>
                <w:sz w:val="16"/>
                <w:szCs w:val="16"/>
              </w:rPr>
              <w:t>CID</w:t>
            </w:r>
          </w:p>
        </w:tc>
        <w:tc>
          <w:tcPr>
            <w:tcW w:w="991" w:type="dxa"/>
          </w:tcPr>
          <w:p w14:paraId="2773F595" w14:textId="77777777" w:rsidR="00FD6ED9" w:rsidRPr="0064306F" w:rsidRDefault="00FD6ED9" w:rsidP="00292052">
            <w:pPr>
              <w:rPr>
                <w:b/>
                <w:sz w:val="16"/>
                <w:szCs w:val="16"/>
              </w:rPr>
            </w:pPr>
            <w:r w:rsidRPr="0064306F">
              <w:rPr>
                <w:b/>
                <w:sz w:val="16"/>
                <w:szCs w:val="16"/>
              </w:rPr>
              <w:t>Clause</w:t>
            </w:r>
          </w:p>
        </w:tc>
        <w:tc>
          <w:tcPr>
            <w:tcW w:w="900" w:type="dxa"/>
          </w:tcPr>
          <w:p w14:paraId="26A11BDD" w14:textId="77777777" w:rsidR="00FD6ED9" w:rsidRPr="0064306F" w:rsidRDefault="00FD6ED9" w:rsidP="00292052">
            <w:pPr>
              <w:rPr>
                <w:b/>
                <w:sz w:val="16"/>
                <w:szCs w:val="16"/>
              </w:rPr>
            </w:pPr>
            <w:r w:rsidRPr="0064306F">
              <w:rPr>
                <w:b/>
                <w:sz w:val="16"/>
                <w:szCs w:val="16"/>
              </w:rPr>
              <w:t>Page</w:t>
            </w:r>
          </w:p>
        </w:tc>
        <w:tc>
          <w:tcPr>
            <w:tcW w:w="4329" w:type="dxa"/>
          </w:tcPr>
          <w:p w14:paraId="0DB6B2BF" w14:textId="77777777" w:rsidR="00FD6ED9" w:rsidRPr="0064306F" w:rsidRDefault="00FD6ED9" w:rsidP="00292052">
            <w:pPr>
              <w:rPr>
                <w:b/>
                <w:sz w:val="16"/>
                <w:szCs w:val="16"/>
              </w:rPr>
            </w:pPr>
            <w:r w:rsidRPr="0064306F">
              <w:rPr>
                <w:b/>
                <w:sz w:val="16"/>
                <w:szCs w:val="16"/>
              </w:rPr>
              <w:t>Comment</w:t>
            </w:r>
          </w:p>
        </w:tc>
        <w:tc>
          <w:tcPr>
            <w:tcW w:w="2506" w:type="dxa"/>
          </w:tcPr>
          <w:p w14:paraId="34F40B79" w14:textId="77777777" w:rsidR="00FD6ED9" w:rsidRPr="0064306F" w:rsidRDefault="00FD6ED9" w:rsidP="00292052">
            <w:pPr>
              <w:rPr>
                <w:b/>
                <w:sz w:val="16"/>
                <w:szCs w:val="16"/>
              </w:rPr>
            </w:pPr>
            <w:r w:rsidRPr="0064306F">
              <w:rPr>
                <w:b/>
                <w:sz w:val="16"/>
                <w:szCs w:val="16"/>
              </w:rPr>
              <w:t>Proposed change</w:t>
            </w:r>
          </w:p>
        </w:tc>
      </w:tr>
      <w:tr w:rsidR="00FD6ED9" w14:paraId="7D6CD689" w14:textId="77777777" w:rsidTr="00292052">
        <w:tc>
          <w:tcPr>
            <w:tcW w:w="624" w:type="dxa"/>
          </w:tcPr>
          <w:p w14:paraId="049AE814" w14:textId="77777777" w:rsidR="00FD6ED9" w:rsidRDefault="00FD6ED9" w:rsidP="00292052">
            <w:r>
              <w:t>76</w:t>
            </w:r>
          </w:p>
        </w:tc>
        <w:tc>
          <w:tcPr>
            <w:tcW w:w="991" w:type="dxa"/>
          </w:tcPr>
          <w:p w14:paraId="45C5EB75" w14:textId="77777777" w:rsidR="00FD6ED9" w:rsidRDefault="00FD6ED9" w:rsidP="00292052">
            <w:r w:rsidRPr="00A434C6">
              <w:t>30.9.2.2.6</w:t>
            </w:r>
          </w:p>
        </w:tc>
        <w:tc>
          <w:tcPr>
            <w:tcW w:w="900" w:type="dxa"/>
          </w:tcPr>
          <w:p w14:paraId="54E6B714" w14:textId="77777777" w:rsidR="00FD6ED9" w:rsidRDefault="00FD6ED9" w:rsidP="00292052">
            <w:r>
              <w:t>157.15</w:t>
            </w:r>
          </w:p>
        </w:tc>
        <w:tc>
          <w:tcPr>
            <w:tcW w:w="4329" w:type="dxa"/>
          </w:tcPr>
          <w:p w14:paraId="320A505C" w14:textId="77777777" w:rsidR="00FD6ED9" w:rsidRDefault="00FD6ED9" w:rsidP="00292052">
            <w:r w:rsidRPr="00A434C6">
              <w:t xml:space="preserve">TRN subfields definition:  </w:t>
            </w:r>
            <w:proofErr w:type="spellStart"/>
            <w:r w:rsidRPr="00A434C6">
              <w:t>Throughtout</w:t>
            </w:r>
            <w:proofErr w:type="spellEnd"/>
            <w:r w:rsidRPr="00A434C6">
              <w:t xml:space="preserve"> this </w:t>
            </w:r>
            <w:proofErr w:type="spellStart"/>
            <w:r w:rsidRPr="00A434C6">
              <w:t>subclause</w:t>
            </w:r>
            <w:proofErr w:type="spellEnd"/>
            <w:r w:rsidRPr="00A434C6">
              <w:t xml:space="preserve">, "spatial streams: are used.  I think that since these fields are to be used for beamforming training without </w:t>
            </w:r>
            <w:proofErr w:type="spellStart"/>
            <w:r w:rsidRPr="00A434C6">
              <w:t>sptial</w:t>
            </w:r>
            <w:proofErr w:type="spellEnd"/>
            <w:r w:rsidRPr="00A434C6">
              <w:t xml:space="preserve"> expansion, TX chains should be used instead</w:t>
            </w:r>
          </w:p>
        </w:tc>
        <w:tc>
          <w:tcPr>
            <w:tcW w:w="2506" w:type="dxa"/>
          </w:tcPr>
          <w:p w14:paraId="50B9A7F2" w14:textId="77777777" w:rsidR="00FD6ED9" w:rsidRDefault="00FD6ED9" w:rsidP="00292052">
            <w:r w:rsidRPr="00A434C6">
              <w:t>Change spatial streams to transmit chains</w:t>
            </w:r>
          </w:p>
        </w:tc>
      </w:tr>
    </w:tbl>
    <w:p w14:paraId="536F4DFD" w14:textId="77777777" w:rsidR="00FD6ED9" w:rsidRDefault="00FD6ED9" w:rsidP="00FD6ED9"/>
    <w:p w14:paraId="09FF640D" w14:textId="77777777" w:rsidR="00FD6ED9" w:rsidRDefault="00FD6ED9" w:rsidP="00FD6ED9">
      <w:r w:rsidRPr="00547F72">
        <w:rPr>
          <w:b/>
        </w:rPr>
        <w:t>Proposed resolution</w:t>
      </w:r>
      <w:r>
        <w:t>: Revised</w:t>
      </w:r>
    </w:p>
    <w:p w14:paraId="25AE0B6F" w14:textId="77777777" w:rsidR="00FD6ED9" w:rsidRDefault="00FD6ED9" w:rsidP="00FD6ED9"/>
    <w:p w14:paraId="63D2358F" w14:textId="12D26B93" w:rsidR="000A02ED" w:rsidRDefault="00FD6ED9" w:rsidP="000A02ED">
      <w:r w:rsidRPr="005950C0">
        <w:rPr>
          <w:i/>
        </w:rPr>
        <w:t>Discussion:</w:t>
      </w:r>
      <w:r>
        <w:rPr>
          <w:i/>
        </w:rPr>
        <w:t xml:space="preserve"> </w:t>
      </w:r>
      <w:r w:rsidR="000A02ED">
        <w:t>The problem identified by the commenter is resolved with the solution proposed to CID 297.</w:t>
      </w:r>
    </w:p>
    <w:p w14:paraId="1C87DE53" w14:textId="77777777" w:rsidR="00ED6AD2" w:rsidRDefault="00ED6AD2" w:rsidP="000A02ED"/>
    <w:p w14:paraId="2368CF2D" w14:textId="77777777" w:rsidR="00ED6AD2" w:rsidRDefault="00ED6AD2" w:rsidP="000A02ED"/>
    <w:p w14:paraId="44BCF93C" w14:textId="77777777" w:rsidR="006A6401" w:rsidRDefault="006A6401" w:rsidP="006A6401"/>
    <w:tbl>
      <w:tblPr>
        <w:tblStyle w:val="TableGrid"/>
        <w:tblW w:w="0" w:type="auto"/>
        <w:tblLook w:val="04A0" w:firstRow="1" w:lastRow="0" w:firstColumn="1" w:lastColumn="0" w:noHBand="0" w:noVBand="1"/>
      </w:tblPr>
      <w:tblGrid>
        <w:gridCol w:w="623"/>
        <w:gridCol w:w="1096"/>
        <w:gridCol w:w="898"/>
        <w:gridCol w:w="4258"/>
        <w:gridCol w:w="2475"/>
      </w:tblGrid>
      <w:tr w:rsidR="00ED6AD2" w14:paraId="7CD29A78" w14:textId="77777777" w:rsidTr="00F603D1">
        <w:tc>
          <w:tcPr>
            <w:tcW w:w="623" w:type="dxa"/>
          </w:tcPr>
          <w:p w14:paraId="56D6966D" w14:textId="77777777" w:rsidR="00ED6AD2" w:rsidRPr="0064306F" w:rsidRDefault="00ED6AD2" w:rsidP="00F603D1">
            <w:pPr>
              <w:rPr>
                <w:b/>
                <w:sz w:val="16"/>
                <w:szCs w:val="16"/>
              </w:rPr>
            </w:pPr>
            <w:r w:rsidRPr="0064306F">
              <w:rPr>
                <w:b/>
                <w:sz w:val="16"/>
                <w:szCs w:val="16"/>
              </w:rPr>
              <w:t>CID</w:t>
            </w:r>
          </w:p>
        </w:tc>
        <w:tc>
          <w:tcPr>
            <w:tcW w:w="1096" w:type="dxa"/>
          </w:tcPr>
          <w:p w14:paraId="0155A8CC" w14:textId="77777777" w:rsidR="00ED6AD2" w:rsidRPr="0064306F" w:rsidRDefault="00ED6AD2" w:rsidP="00F603D1">
            <w:pPr>
              <w:rPr>
                <w:b/>
                <w:sz w:val="16"/>
                <w:szCs w:val="16"/>
              </w:rPr>
            </w:pPr>
            <w:r w:rsidRPr="0064306F">
              <w:rPr>
                <w:b/>
                <w:sz w:val="16"/>
                <w:szCs w:val="16"/>
              </w:rPr>
              <w:t>Clause</w:t>
            </w:r>
          </w:p>
        </w:tc>
        <w:tc>
          <w:tcPr>
            <w:tcW w:w="898" w:type="dxa"/>
          </w:tcPr>
          <w:p w14:paraId="4E393B61" w14:textId="77777777" w:rsidR="00ED6AD2" w:rsidRPr="0064306F" w:rsidRDefault="00ED6AD2" w:rsidP="00F603D1">
            <w:pPr>
              <w:rPr>
                <w:b/>
                <w:sz w:val="16"/>
                <w:szCs w:val="16"/>
              </w:rPr>
            </w:pPr>
            <w:r w:rsidRPr="0064306F">
              <w:rPr>
                <w:b/>
                <w:sz w:val="16"/>
                <w:szCs w:val="16"/>
              </w:rPr>
              <w:t>Page</w:t>
            </w:r>
          </w:p>
        </w:tc>
        <w:tc>
          <w:tcPr>
            <w:tcW w:w="4258" w:type="dxa"/>
          </w:tcPr>
          <w:p w14:paraId="04A7C498" w14:textId="77777777" w:rsidR="00ED6AD2" w:rsidRPr="0064306F" w:rsidRDefault="00ED6AD2" w:rsidP="00F603D1">
            <w:pPr>
              <w:rPr>
                <w:b/>
                <w:sz w:val="16"/>
                <w:szCs w:val="16"/>
              </w:rPr>
            </w:pPr>
            <w:r w:rsidRPr="0064306F">
              <w:rPr>
                <w:b/>
                <w:sz w:val="16"/>
                <w:szCs w:val="16"/>
              </w:rPr>
              <w:t>Comment</w:t>
            </w:r>
          </w:p>
        </w:tc>
        <w:tc>
          <w:tcPr>
            <w:tcW w:w="2475" w:type="dxa"/>
          </w:tcPr>
          <w:p w14:paraId="332DBDAE" w14:textId="77777777" w:rsidR="00ED6AD2" w:rsidRPr="0064306F" w:rsidRDefault="00ED6AD2" w:rsidP="00F603D1">
            <w:pPr>
              <w:rPr>
                <w:b/>
                <w:sz w:val="16"/>
                <w:szCs w:val="16"/>
              </w:rPr>
            </w:pPr>
            <w:r w:rsidRPr="0064306F">
              <w:rPr>
                <w:b/>
                <w:sz w:val="16"/>
                <w:szCs w:val="16"/>
              </w:rPr>
              <w:t>Proposed change</w:t>
            </w:r>
          </w:p>
        </w:tc>
      </w:tr>
      <w:tr w:rsidR="00ED6AD2" w14:paraId="2B786000" w14:textId="77777777" w:rsidTr="00F603D1">
        <w:tc>
          <w:tcPr>
            <w:tcW w:w="623" w:type="dxa"/>
          </w:tcPr>
          <w:p w14:paraId="367CDAC4" w14:textId="77777777" w:rsidR="00ED6AD2" w:rsidRDefault="00ED6AD2" w:rsidP="00F603D1">
            <w:r>
              <w:t>431</w:t>
            </w:r>
          </w:p>
        </w:tc>
        <w:tc>
          <w:tcPr>
            <w:tcW w:w="1096" w:type="dxa"/>
          </w:tcPr>
          <w:p w14:paraId="6EE15DB4" w14:textId="77777777" w:rsidR="00ED6AD2" w:rsidRDefault="00ED6AD2" w:rsidP="00F603D1">
            <w:r>
              <w:t>30.9.2.2.3</w:t>
            </w:r>
          </w:p>
        </w:tc>
        <w:tc>
          <w:tcPr>
            <w:tcW w:w="898" w:type="dxa"/>
          </w:tcPr>
          <w:p w14:paraId="56D4ADB0" w14:textId="77777777" w:rsidR="00ED6AD2" w:rsidRDefault="00ED6AD2" w:rsidP="00F603D1">
            <w:r>
              <w:t>156.03</w:t>
            </w:r>
          </w:p>
        </w:tc>
        <w:tc>
          <w:tcPr>
            <w:tcW w:w="4258" w:type="dxa"/>
          </w:tcPr>
          <w:p w14:paraId="381816F9" w14:textId="77777777" w:rsidR="00ED6AD2" w:rsidRDefault="00ED6AD2" w:rsidP="00F603D1">
            <w:proofErr w:type="gramStart"/>
            <w:r w:rsidRPr="006F39D1">
              <w:t>Statement :</w:t>
            </w:r>
            <w:proofErr w:type="gramEnd"/>
            <w:r w:rsidRPr="006F39D1">
              <w:t xml:space="preserve"> "The total number of TRN-Units present in the TRN field of an EDMG PPDU is equal to the value of the EDMG TRN Length field." . Note the sentence is repeated verbatim in 30.9.2.2.5 where it is a better fit.</w:t>
            </w:r>
          </w:p>
        </w:tc>
        <w:tc>
          <w:tcPr>
            <w:tcW w:w="2475" w:type="dxa"/>
          </w:tcPr>
          <w:p w14:paraId="0F3626BA" w14:textId="77777777" w:rsidR="00ED6AD2" w:rsidRPr="00832257" w:rsidRDefault="00ED6AD2" w:rsidP="00F603D1">
            <w:r w:rsidRPr="006F39D1">
              <w:t>Delete entire paragraph as repeated verbatim in 30.9.2.2.5</w:t>
            </w:r>
          </w:p>
        </w:tc>
      </w:tr>
    </w:tbl>
    <w:p w14:paraId="44079CD8" w14:textId="77777777" w:rsidR="00ED6AD2" w:rsidRDefault="00ED6AD2" w:rsidP="00ED6AD2"/>
    <w:p w14:paraId="7318D0D3" w14:textId="77777777" w:rsidR="00ED6AD2" w:rsidRDefault="00ED6AD2" w:rsidP="00ED6AD2">
      <w:r w:rsidRPr="00547F72">
        <w:rPr>
          <w:b/>
        </w:rPr>
        <w:t>Proposed resolution</w:t>
      </w:r>
      <w:r>
        <w:t>: Revised</w:t>
      </w:r>
    </w:p>
    <w:p w14:paraId="1A101E00" w14:textId="77777777" w:rsidR="00ED6AD2" w:rsidRDefault="00ED6AD2" w:rsidP="00ED6AD2"/>
    <w:p w14:paraId="775B967A" w14:textId="77777777" w:rsidR="00ED6AD2" w:rsidRPr="00D225FF" w:rsidRDefault="00ED6AD2" w:rsidP="00ED6AD2">
      <w:pPr>
        <w:rPr>
          <w:i/>
        </w:rPr>
      </w:pPr>
      <w:r>
        <w:rPr>
          <w:i/>
        </w:rPr>
        <w:t>Delete the fourth</w:t>
      </w:r>
      <w:r w:rsidRPr="00D225FF">
        <w:rPr>
          <w:i/>
        </w:rPr>
        <w:t xml:space="preserve"> paragraph </w:t>
      </w:r>
      <w:r>
        <w:rPr>
          <w:i/>
        </w:rPr>
        <w:t xml:space="preserve">of </w:t>
      </w:r>
      <w:r w:rsidRPr="002A4163">
        <w:rPr>
          <w:i/>
        </w:rPr>
        <w:t xml:space="preserve">30.9.2.2.3 </w:t>
      </w:r>
      <w:r>
        <w:rPr>
          <w:i/>
        </w:rPr>
        <w:t>(</w:t>
      </w:r>
      <w:r w:rsidRPr="002A4163">
        <w:rPr>
          <w:i/>
        </w:rPr>
        <w:t>EDMG BRP packet header fields</w:t>
      </w:r>
      <w:r>
        <w:rPr>
          <w:i/>
        </w:rPr>
        <w:t>)</w:t>
      </w:r>
    </w:p>
    <w:p w14:paraId="0FA8B42B" w14:textId="77777777" w:rsidR="00ED6AD2" w:rsidRDefault="00ED6AD2" w:rsidP="00ED6AD2">
      <w:r>
        <w:t>“</w:t>
      </w:r>
      <w:r w:rsidRPr="002A4163">
        <w:rPr>
          <w:strike/>
        </w:rPr>
        <w:t>The total number of TRN-Units present in the TRN field of an EDMG PPDU is equal to the value of the EDMG TRN Length field. The value of the RX TRN-Units per Each TX TRN-Unit field indicates the number of consecutive TRN-Units for which the transmit AWV shall remain with the same AWV configuration.</w:t>
      </w:r>
      <w:r>
        <w:t>”</w:t>
      </w:r>
    </w:p>
    <w:p w14:paraId="20B2393B" w14:textId="77777777" w:rsidR="006A6401" w:rsidRDefault="006A6401" w:rsidP="006A6401"/>
    <w:p w14:paraId="5614942F" w14:textId="77777777" w:rsidR="00ED6AD2" w:rsidRDefault="00ED6AD2" w:rsidP="006A6401"/>
    <w:p w14:paraId="553F23BD" w14:textId="77777777" w:rsidR="007423C7" w:rsidRDefault="007423C7" w:rsidP="006A6401"/>
    <w:p w14:paraId="724AE2F9" w14:textId="77777777" w:rsidR="007423C7" w:rsidRDefault="007423C7" w:rsidP="006A6401"/>
    <w:p w14:paraId="3DF25814" w14:textId="77777777" w:rsidR="007423C7" w:rsidRDefault="007423C7" w:rsidP="006A6401"/>
    <w:p w14:paraId="1529C738" w14:textId="77777777" w:rsidR="007423C7" w:rsidRDefault="007423C7" w:rsidP="006A6401"/>
    <w:p w14:paraId="7ECC5B8C" w14:textId="77777777" w:rsidR="007423C7" w:rsidRDefault="007423C7" w:rsidP="006A6401"/>
    <w:p w14:paraId="00E11082" w14:textId="77777777" w:rsidR="007423C7" w:rsidRDefault="007423C7" w:rsidP="006A6401"/>
    <w:p w14:paraId="6E85C29C" w14:textId="77777777" w:rsidR="00ED6AD2" w:rsidRDefault="00ED6AD2" w:rsidP="006A6401"/>
    <w:tbl>
      <w:tblPr>
        <w:tblStyle w:val="TableGrid"/>
        <w:tblW w:w="0" w:type="auto"/>
        <w:tblLook w:val="04A0" w:firstRow="1" w:lastRow="0" w:firstColumn="1" w:lastColumn="0" w:noHBand="0" w:noVBand="1"/>
      </w:tblPr>
      <w:tblGrid>
        <w:gridCol w:w="624"/>
        <w:gridCol w:w="991"/>
        <w:gridCol w:w="900"/>
        <w:gridCol w:w="4329"/>
        <w:gridCol w:w="2506"/>
      </w:tblGrid>
      <w:tr w:rsidR="006A6401" w14:paraId="5F109674" w14:textId="77777777" w:rsidTr="00292052">
        <w:tc>
          <w:tcPr>
            <w:tcW w:w="624" w:type="dxa"/>
          </w:tcPr>
          <w:p w14:paraId="704A5C61" w14:textId="77777777" w:rsidR="006A6401" w:rsidRPr="0064306F" w:rsidRDefault="006A6401" w:rsidP="00292052">
            <w:pPr>
              <w:rPr>
                <w:b/>
                <w:sz w:val="16"/>
                <w:szCs w:val="16"/>
              </w:rPr>
            </w:pPr>
            <w:r w:rsidRPr="0064306F">
              <w:rPr>
                <w:b/>
                <w:sz w:val="16"/>
                <w:szCs w:val="16"/>
              </w:rPr>
              <w:lastRenderedPageBreak/>
              <w:t>CID</w:t>
            </w:r>
          </w:p>
        </w:tc>
        <w:tc>
          <w:tcPr>
            <w:tcW w:w="991" w:type="dxa"/>
          </w:tcPr>
          <w:p w14:paraId="6FC6EE2C" w14:textId="77777777" w:rsidR="006A6401" w:rsidRPr="0064306F" w:rsidRDefault="006A6401" w:rsidP="00292052">
            <w:pPr>
              <w:rPr>
                <w:b/>
                <w:sz w:val="16"/>
                <w:szCs w:val="16"/>
              </w:rPr>
            </w:pPr>
            <w:r w:rsidRPr="0064306F">
              <w:rPr>
                <w:b/>
                <w:sz w:val="16"/>
                <w:szCs w:val="16"/>
              </w:rPr>
              <w:t>Clause</w:t>
            </w:r>
          </w:p>
        </w:tc>
        <w:tc>
          <w:tcPr>
            <w:tcW w:w="900" w:type="dxa"/>
          </w:tcPr>
          <w:p w14:paraId="3DABEE6B" w14:textId="77777777" w:rsidR="006A6401" w:rsidRPr="0064306F" w:rsidRDefault="006A6401" w:rsidP="00292052">
            <w:pPr>
              <w:rPr>
                <w:b/>
                <w:sz w:val="16"/>
                <w:szCs w:val="16"/>
              </w:rPr>
            </w:pPr>
            <w:r w:rsidRPr="0064306F">
              <w:rPr>
                <w:b/>
                <w:sz w:val="16"/>
                <w:szCs w:val="16"/>
              </w:rPr>
              <w:t>Page</w:t>
            </w:r>
          </w:p>
        </w:tc>
        <w:tc>
          <w:tcPr>
            <w:tcW w:w="4329" w:type="dxa"/>
          </w:tcPr>
          <w:p w14:paraId="07E65006" w14:textId="77777777" w:rsidR="006A6401" w:rsidRPr="0064306F" w:rsidRDefault="006A6401" w:rsidP="00292052">
            <w:pPr>
              <w:rPr>
                <w:b/>
                <w:sz w:val="16"/>
                <w:szCs w:val="16"/>
              </w:rPr>
            </w:pPr>
            <w:r w:rsidRPr="0064306F">
              <w:rPr>
                <w:b/>
                <w:sz w:val="16"/>
                <w:szCs w:val="16"/>
              </w:rPr>
              <w:t>Comment</w:t>
            </w:r>
          </w:p>
        </w:tc>
        <w:tc>
          <w:tcPr>
            <w:tcW w:w="2506" w:type="dxa"/>
          </w:tcPr>
          <w:p w14:paraId="29989ECB" w14:textId="77777777" w:rsidR="006A6401" w:rsidRPr="0064306F" w:rsidRDefault="006A6401" w:rsidP="00292052">
            <w:pPr>
              <w:rPr>
                <w:b/>
                <w:sz w:val="16"/>
                <w:szCs w:val="16"/>
              </w:rPr>
            </w:pPr>
            <w:r w:rsidRPr="0064306F">
              <w:rPr>
                <w:b/>
                <w:sz w:val="16"/>
                <w:szCs w:val="16"/>
              </w:rPr>
              <w:t>Proposed change</w:t>
            </w:r>
          </w:p>
        </w:tc>
      </w:tr>
      <w:tr w:rsidR="006A6401" w14:paraId="17EFFE57" w14:textId="77777777" w:rsidTr="00292052">
        <w:tc>
          <w:tcPr>
            <w:tcW w:w="624" w:type="dxa"/>
          </w:tcPr>
          <w:p w14:paraId="1A68CFA3" w14:textId="77777777" w:rsidR="006A6401" w:rsidRDefault="006A6401" w:rsidP="00292052">
            <w:r>
              <w:t>332</w:t>
            </w:r>
          </w:p>
        </w:tc>
        <w:tc>
          <w:tcPr>
            <w:tcW w:w="991" w:type="dxa"/>
          </w:tcPr>
          <w:p w14:paraId="41F25E7B" w14:textId="77777777" w:rsidR="006A6401" w:rsidRDefault="006A6401" w:rsidP="00292052">
            <w:r>
              <w:t>30.9</w:t>
            </w:r>
          </w:p>
        </w:tc>
        <w:tc>
          <w:tcPr>
            <w:tcW w:w="900" w:type="dxa"/>
          </w:tcPr>
          <w:p w14:paraId="0A1F6C5A" w14:textId="77777777" w:rsidR="006A6401" w:rsidRDefault="006A6401" w:rsidP="00292052">
            <w:r>
              <w:t>152.10</w:t>
            </w:r>
          </w:p>
        </w:tc>
        <w:tc>
          <w:tcPr>
            <w:tcW w:w="4329" w:type="dxa"/>
          </w:tcPr>
          <w:p w14:paraId="728C8019" w14:textId="77777777" w:rsidR="006A6401" w:rsidRDefault="006A6401" w:rsidP="00292052">
            <w:r w:rsidRPr="008A2681">
              <w:t xml:space="preserve">Considering dense operation scenario, spatial reuse could be a very </w:t>
            </w:r>
            <w:proofErr w:type="spellStart"/>
            <w:r w:rsidRPr="008A2681">
              <w:t>imoprtant</w:t>
            </w:r>
            <w:proofErr w:type="spellEnd"/>
            <w:r w:rsidRPr="008A2681">
              <w:t xml:space="preserve"> feature of 802.11ay. When we consider interference mitigation, the best sector could be different from the one measured at SSW frame exchanges. i.e., 2nd or 3rd best sector may enable </w:t>
            </w:r>
            <w:proofErr w:type="spellStart"/>
            <w:r w:rsidRPr="008A2681">
              <w:t>conccurent</w:t>
            </w:r>
            <w:proofErr w:type="spellEnd"/>
            <w:r w:rsidRPr="008A2681">
              <w:t xml:space="preserve"> transmission per spatial sharing. However, 802.11ad or 802.11ad draft does not specify or hint such possibility. In 802.11ad, as in 10.38.2.3.2 (Responder TXSS), 10.38.2.4 (Sector sweep (SSW) feedback), etc. -- 802.11-2016, the spec reads "The determination of which frame is received with best quality is implementation dependent and beyond the scope of this standard." Also, it seems that the sector selection is done in a completely different context from spatial sharing.</w:t>
            </w:r>
          </w:p>
        </w:tc>
        <w:tc>
          <w:tcPr>
            <w:tcW w:w="2506" w:type="dxa"/>
          </w:tcPr>
          <w:p w14:paraId="131B4342" w14:textId="77777777" w:rsidR="006A6401" w:rsidRPr="00832257" w:rsidRDefault="006A6401" w:rsidP="00292052">
            <w:r w:rsidRPr="008A2681">
              <w:t>Please consider to insert a guideline to enable spatial sharing friendly sector selection method.</w:t>
            </w:r>
          </w:p>
        </w:tc>
      </w:tr>
    </w:tbl>
    <w:p w14:paraId="6CFD0E65" w14:textId="77777777" w:rsidR="006A6401" w:rsidRDefault="006A6401" w:rsidP="006A6401"/>
    <w:p w14:paraId="431E1AC6" w14:textId="77777777" w:rsidR="006A6401" w:rsidRDefault="006A6401" w:rsidP="006A6401">
      <w:r w:rsidRPr="00547F72">
        <w:rPr>
          <w:b/>
        </w:rPr>
        <w:t>Proposed resolution</w:t>
      </w:r>
      <w:r>
        <w:t>: Rejected</w:t>
      </w:r>
    </w:p>
    <w:p w14:paraId="74F5EEED" w14:textId="77777777" w:rsidR="006A6401" w:rsidRDefault="006A6401" w:rsidP="006A6401"/>
    <w:p w14:paraId="19DBE180" w14:textId="77777777" w:rsidR="006A6401" w:rsidRDefault="006A6401" w:rsidP="006A6401">
      <w:r w:rsidRPr="005950C0">
        <w:rPr>
          <w:i/>
        </w:rPr>
        <w:t>Discussion:</w:t>
      </w:r>
      <w:r>
        <w:t xml:space="preserve"> Non actionable.  Commenter is encouraged to bring a proposal to the Task Group to address the issue raised.</w:t>
      </w:r>
    </w:p>
    <w:p w14:paraId="4625C071" w14:textId="77777777" w:rsidR="007F3CF5" w:rsidRDefault="007F3CF5" w:rsidP="006A6401"/>
    <w:p w14:paraId="55430E70" w14:textId="77777777" w:rsidR="007423C7" w:rsidRDefault="007423C7" w:rsidP="006A6401"/>
    <w:p w14:paraId="31548CF0" w14:textId="77777777" w:rsidR="007F3CF5" w:rsidRDefault="007F3CF5" w:rsidP="006A6401"/>
    <w:tbl>
      <w:tblPr>
        <w:tblStyle w:val="TableGrid"/>
        <w:tblW w:w="0" w:type="auto"/>
        <w:tblLook w:val="04A0" w:firstRow="1" w:lastRow="0" w:firstColumn="1" w:lastColumn="0" w:noHBand="0" w:noVBand="1"/>
      </w:tblPr>
      <w:tblGrid>
        <w:gridCol w:w="616"/>
        <w:gridCol w:w="1096"/>
        <w:gridCol w:w="895"/>
        <w:gridCol w:w="4306"/>
        <w:gridCol w:w="2437"/>
      </w:tblGrid>
      <w:tr w:rsidR="00A566BF" w14:paraId="683B792E" w14:textId="77777777" w:rsidTr="00292052">
        <w:tc>
          <w:tcPr>
            <w:tcW w:w="616" w:type="dxa"/>
          </w:tcPr>
          <w:p w14:paraId="3DAFDA57" w14:textId="77777777" w:rsidR="00A566BF" w:rsidRPr="0064306F" w:rsidRDefault="00A566BF" w:rsidP="00292052">
            <w:pPr>
              <w:rPr>
                <w:b/>
                <w:sz w:val="16"/>
                <w:szCs w:val="16"/>
              </w:rPr>
            </w:pPr>
            <w:r w:rsidRPr="0064306F">
              <w:rPr>
                <w:b/>
                <w:sz w:val="16"/>
                <w:szCs w:val="16"/>
              </w:rPr>
              <w:t>CID</w:t>
            </w:r>
          </w:p>
        </w:tc>
        <w:tc>
          <w:tcPr>
            <w:tcW w:w="1096" w:type="dxa"/>
          </w:tcPr>
          <w:p w14:paraId="1E5806E9" w14:textId="77777777" w:rsidR="00A566BF" w:rsidRPr="0064306F" w:rsidRDefault="00A566BF" w:rsidP="00292052">
            <w:pPr>
              <w:rPr>
                <w:b/>
                <w:sz w:val="16"/>
                <w:szCs w:val="16"/>
              </w:rPr>
            </w:pPr>
            <w:r w:rsidRPr="0064306F">
              <w:rPr>
                <w:b/>
                <w:sz w:val="16"/>
                <w:szCs w:val="16"/>
              </w:rPr>
              <w:t>Clause</w:t>
            </w:r>
          </w:p>
        </w:tc>
        <w:tc>
          <w:tcPr>
            <w:tcW w:w="895" w:type="dxa"/>
          </w:tcPr>
          <w:p w14:paraId="320DE12D" w14:textId="77777777" w:rsidR="00A566BF" w:rsidRPr="0064306F" w:rsidRDefault="00A566BF" w:rsidP="00292052">
            <w:pPr>
              <w:rPr>
                <w:b/>
                <w:sz w:val="16"/>
                <w:szCs w:val="16"/>
              </w:rPr>
            </w:pPr>
            <w:r w:rsidRPr="0064306F">
              <w:rPr>
                <w:b/>
                <w:sz w:val="16"/>
                <w:szCs w:val="16"/>
              </w:rPr>
              <w:t>Page</w:t>
            </w:r>
          </w:p>
        </w:tc>
        <w:tc>
          <w:tcPr>
            <w:tcW w:w="4306" w:type="dxa"/>
          </w:tcPr>
          <w:p w14:paraId="59844E97" w14:textId="77777777" w:rsidR="00A566BF" w:rsidRPr="0064306F" w:rsidRDefault="00A566BF" w:rsidP="00292052">
            <w:pPr>
              <w:rPr>
                <w:b/>
                <w:sz w:val="16"/>
                <w:szCs w:val="16"/>
              </w:rPr>
            </w:pPr>
            <w:r w:rsidRPr="0064306F">
              <w:rPr>
                <w:b/>
                <w:sz w:val="16"/>
                <w:szCs w:val="16"/>
              </w:rPr>
              <w:t>Comment</w:t>
            </w:r>
          </w:p>
        </w:tc>
        <w:tc>
          <w:tcPr>
            <w:tcW w:w="2437" w:type="dxa"/>
          </w:tcPr>
          <w:p w14:paraId="43C7EF7D" w14:textId="77777777" w:rsidR="00A566BF" w:rsidRPr="0064306F" w:rsidRDefault="00A566BF" w:rsidP="00292052">
            <w:pPr>
              <w:rPr>
                <w:b/>
                <w:sz w:val="16"/>
                <w:szCs w:val="16"/>
              </w:rPr>
            </w:pPr>
            <w:r w:rsidRPr="0064306F">
              <w:rPr>
                <w:b/>
                <w:sz w:val="16"/>
                <w:szCs w:val="16"/>
              </w:rPr>
              <w:t>Proposed change</w:t>
            </w:r>
          </w:p>
        </w:tc>
      </w:tr>
      <w:tr w:rsidR="00A566BF" w14:paraId="6FE5D966" w14:textId="77777777" w:rsidTr="00292052">
        <w:tc>
          <w:tcPr>
            <w:tcW w:w="616" w:type="dxa"/>
          </w:tcPr>
          <w:p w14:paraId="4CA4D3B2" w14:textId="77777777" w:rsidR="00A566BF" w:rsidRDefault="00A566BF" w:rsidP="00292052">
            <w:r>
              <w:t>74</w:t>
            </w:r>
          </w:p>
        </w:tc>
        <w:tc>
          <w:tcPr>
            <w:tcW w:w="1096" w:type="dxa"/>
          </w:tcPr>
          <w:p w14:paraId="6A5A2269" w14:textId="77777777" w:rsidR="00A566BF" w:rsidRDefault="00A566BF" w:rsidP="00292052">
            <w:r w:rsidRPr="006B2925">
              <w:t>30.9.2.2.2</w:t>
            </w:r>
          </w:p>
        </w:tc>
        <w:tc>
          <w:tcPr>
            <w:tcW w:w="895" w:type="dxa"/>
          </w:tcPr>
          <w:p w14:paraId="1EE712AD" w14:textId="77777777" w:rsidR="00A566BF" w:rsidRDefault="00A566BF" w:rsidP="00292052">
            <w:r w:rsidRPr="006B2925">
              <w:t>115.21</w:t>
            </w:r>
          </w:p>
        </w:tc>
        <w:tc>
          <w:tcPr>
            <w:tcW w:w="4306" w:type="dxa"/>
          </w:tcPr>
          <w:p w14:paraId="21C44C58" w14:textId="77777777" w:rsidR="00A566BF" w:rsidRDefault="00A566BF" w:rsidP="00292052">
            <w:r w:rsidRPr="006B2925">
              <w:t>"If the PACKET-TYPE parameter in the RXVECTOR or TXVECTOR is equal to TRN-R-PACKET, then both BEAM_TRACKING_REQUEST and EDMG_BEAM_TRACKING_REQUEST parameters in the corresponding"  Only the TXVECTOR can be set, the RXVECTOR is received as is</w:t>
            </w:r>
          </w:p>
        </w:tc>
        <w:tc>
          <w:tcPr>
            <w:tcW w:w="2437" w:type="dxa"/>
          </w:tcPr>
          <w:p w14:paraId="02B1891D" w14:textId="77777777" w:rsidR="00A566BF" w:rsidRDefault="00A566BF" w:rsidP="00292052">
            <w:r w:rsidRPr="006B2925">
              <w:t>Remove reference to RXVECTOR in this paragraph</w:t>
            </w:r>
          </w:p>
        </w:tc>
      </w:tr>
    </w:tbl>
    <w:p w14:paraId="5FD22347" w14:textId="77777777" w:rsidR="00A566BF" w:rsidRDefault="00A566BF" w:rsidP="00A566BF"/>
    <w:p w14:paraId="1BA04A10" w14:textId="77777777" w:rsidR="00A566BF" w:rsidRDefault="00A566BF" w:rsidP="00A566BF">
      <w:r w:rsidRPr="00547F72">
        <w:rPr>
          <w:b/>
        </w:rPr>
        <w:t>Proposed resolution</w:t>
      </w:r>
      <w:r>
        <w:t>: Revised</w:t>
      </w:r>
    </w:p>
    <w:p w14:paraId="6F461789" w14:textId="77777777" w:rsidR="00A566BF" w:rsidRDefault="00A566BF" w:rsidP="00A566BF"/>
    <w:p w14:paraId="08E4F7DC" w14:textId="6C72DCBD" w:rsidR="007B1B08" w:rsidRDefault="007B1B08" w:rsidP="007B1B08">
      <w:r>
        <w:rPr>
          <w:i/>
        </w:rPr>
        <w:t>Discussion:</w:t>
      </w:r>
      <w:r>
        <w:t xml:space="preserve"> The first paragraph of 20.10.2.2.2 (BRP packet structure) in 802.11-2016 reads</w:t>
      </w:r>
    </w:p>
    <w:p w14:paraId="0D8B20AB" w14:textId="77777777" w:rsidR="007B1B08" w:rsidRDefault="007B1B08" w:rsidP="007B1B08"/>
    <w:p w14:paraId="0AA43B53" w14:textId="0DB11EA6" w:rsidR="007B1B08" w:rsidRDefault="007B1B08" w:rsidP="007B1B08">
      <w:r>
        <w:t>“The TRN-LEN parameter in the TVXVECTOR or RXVECTOR of a BRP packet shall be greater than zero. If the PACKET-TYPE parameter in the RXVECTOR or TXVECTOR is equal to TRN-R-PACKET, then the BEAM_TRACKING_REQUEST parameter in the corresponding RXVECTOR or TXVECTOR shall be set to Beam Tracking Not Requested.”</w:t>
      </w:r>
    </w:p>
    <w:p w14:paraId="3CB8C338" w14:textId="77777777" w:rsidR="00746750" w:rsidRDefault="00746750" w:rsidP="007B1B08"/>
    <w:p w14:paraId="4CB2BBAE" w14:textId="1F109AF9" w:rsidR="00854BE3" w:rsidRDefault="008F0A12" w:rsidP="00854BE3">
      <w:r>
        <w:t xml:space="preserve">The second sentence of the paragraph above is ambiguous and not correct.  Its intent </w:t>
      </w:r>
      <w:r w:rsidR="00854BE3">
        <w:t>is to specify that a packet with the Beam Tracking Request field in the PHY header equal to 1, the Packet Type field equal to 0, and the Training Length field greater than 0 shall not include a TRN field (that is, it is not a BRP packet).</w:t>
      </w:r>
    </w:p>
    <w:p w14:paraId="6F5A80B0" w14:textId="77777777" w:rsidR="00854BE3" w:rsidRDefault="00854BE3" w:rsidP="007B1B08"/>
    <w:p w14:paraId="7E07CDDB" w14:textId="218E5881" w:rsidR="00854BE3" w:rsidRDefault="00A97D33" w:rsidP="007B1B08">
      <w:r>
        <w:t>The text indicated by the commenter is an extension of the 802.11-2016 text to the EDMG case, and as such it propagated its ambiguity.</w:t>
      </w:r>
    </w:p>
    <w:p w14:paraId="4FFC8503" w14:textId="77777777" w:rsidR="007B1B08" w:rsidRDefault="007B1B08" w:rsidP="00A566BF">
      <w:pPr>
        <w:rPr>
          <w:i/>
        </w:rPr>
      </w:pPr>
    </w:p>
    <w:p w14:paraId="6F01C6CC" w14:textId="7C7722D4" w:rsidR="00A566BF" w:rsidRPr="00D225FF" w:rsidRDefault="00756346" w:rsidP="00A566BF">
      <w:pPr>
        <w:rPr>
          <w:i/>
        </w:rPr>
      </w:pPr>
      <w:r>
        <w:rPr>
          <w:i/>
        </w:rPr>
        <w:lastRenderedPageBreak/>
        <w:t>Modify th</w:t>
      </w:r>
      <w:r w:rsidR="00A97D33">
        <w:rPr>
          <w:i/>
        </w:rPr>
        <w:t>e first</w:t>
      </w:r>
      <w:r w:rsidR="00A566BF">
        <w:rPr>
          <w:i/>
        </w:rPr>
        <w:t xml:space="preserve"> paragraph of </w:t>
      </w:r>
      <w:r w:rsidR="00A566BF" w:rsidRPr="007E79F9">
        <w:rPr>
          <w:i/>
        </w:rPr>
        <w:t xml:space="preserve">30.9.2.2.2 </w:t>
      </w:r>
      <w:r w:rsidR="00A566BF">
        <w:rPr>
          <w:i/>
        </w:rPr>
        <w:t>(</w:t>
      </w:r>
      <w:r w:rsidR="00A566BF" w:rsidRPr="007E79F9">
        <w:rPr>
          <w:i/>
        </w:rPr>
        <w:t>EDMG BRP packet structure</w:t>
      </w:r>
      <w:r w:rsidR="00A566BF">
        <w:rPr>
          <w:i/>
        </w:rPr>
        <w:t>) as follows</w:t>
      </w:r>
    </w:p>
    <w:p w14:paraId="6CE60F66" w14:textId="77777777" w:rsidR="00A97D33" w:rsidRDefault="00A97D33" w:rsidP="00A566BF"/>
    <w:p w14:paraId="32346CD5" w14:textId="397870ED" w:rsidR="00A566BF" w:rsidRDefault="00A97D33" w:rsidP="00A97D33">
      <w:r>
        <w:t xml:space="preserve">“The EDMG_TRN_LEN parameter in the TVXVECTOR </w:t>
      </w:r>
      <w:r w:rsidRPr="00756346">
        <w:rPr>
          <w:strike/>
        </w:rPr>
        <w:t>or RXVECTOR</w:t>
      </w:r>
      <w:r>
        <w:t xml:space="preserve"> of an EDMG BRP packet shall be greater than zero. </w:t>
      </w:r>
      <w:r w:rsidRPr="00A97D33">
        <w:rPr>
          <w:strike/>
        </w:rPr>
        <w:t>If the PACKET-TYPE parameter in the RXVECTOR or TXVECTOR is equal to TRN-R-PACKET, then both BEAM_TRACKING_REQUEST and EDMG_BEAM_TRACKING_REQUEST parameters in the corresponding RXVECTOR or TXVECTOR shall be set to Beam Tracking Not Requested.</w:t>
      </w:r>
      <w:r>
        <w:t>”</w:t>
      </w:r>
    </w:p>
    <w:p w14:paraId="0372E02E" w14:textId="77777777" w:rsidR="00A97D33" w:rsidRDefault="00A97D33" w:rsidP="00A97D33"/>
    <w:p w14:paraId="5C91077E" w14:textId="75904E14" w:rsidR="00D91380" w:rsidRPr="00D91380" w:rsidRDefault="00D91380" w:rsidP="00A97D33">
      <w:pPr>
        <w:rPr>
          <w:i/>
        </w:rPr>
      </w:pPr>
      <w:r>
        <w:rPr>
          <w:i/>
        </w:rPr>
        <w:t xml:space="preserve">Add the following paragraph at the end of </w:t>
      </w:r>
      <w:r w:rsidRPr="00D91380">
        <w:rPr>
          <w:i/>
        </w:rPr>
        <w:t xml:space="preserve">30.9.2.1 </w:t>
      </w:r>
      <w:r>
        <w:rPr>
          <w:i/>
        </w:rPr>
        <w:t>(</w:t>
      </w:r>
      <w:r w:rsidRPr="00D91380">
        <w:rPr>
          <w:i/>
        </w:rPr>
        <w:t>General</w:t>
      </w:r>
      <w:r>
        <w:rPr>
          <w:i/>
        </w:rPr>
        <w:t>)</w:t>
      </w:r>
    </w:p>
    <w:p w14:paraId="6FFBB0C7" w14:textId="77777777" w:rsidR="00247B8F" w:rsidRDefault="00247B8F" w:rsidP="00247B8F">
      <w:pPr>
        <w:rPr>
          <w:lang w:val="en-US"/>
        </w:rPr>
      </w:pPr>
    </w:p>
    <w:p w14:paraId="25B9AA38" w14:textId="44AAAC80" w:rsidR="00247B8F" w:rsidRDefault="00247B8F" w:rsidP="00247B8F">
      <w:r>
        <w:t xml:space="preserve">“An EDMG PPDU with the Beam Tracking Request field in the L-Header equal to 0, the Packet Type field in the L-Header equal to 0, the EDMG Beam Tracking Request field in the EDMG-Header-A equal to 1, and the EDMG TRN Length field in the EDMG-Header-A </w:t>
      </w:r>
      <w:r w:rsidR="00686402">
        <w:t>greater than</w:t>
      </w:r>
      <w:r>
        <w:t xml:space="preserve"> 0 shall not include a TRN field.”</w:t>
      </w:r>
    </w:p>
    <w:p w14:paraId="690F000D" w14:textId="77777777" w:rsidR="00A97D33" w:rsidRDefault="00A97D33" w:rsidP="00A97D33"/>
    <w:p w14:paraId="65C370D8" w14:textId="77777777" w:rsidR="004E2E7F" w:rsidRDefault="004E2E7F" w:rsidP="004E2E7F"/>
    <w:p w14:paraId="15CCF084" w14:textId="77777777" w:rsidR="004E2E7F" w:rsidRDefault="004E2E7F" w:rsidP="004E2E7F"/>
    <w:tbl>
      <w:tblPr>
        <w:tblStyle w:val="TableGrid"/>
        <w:tblW w:w="0" w:type="auto"/>
        <w:tblLook w:val="04A0" w:firstRow="1" w:lastRow="0" w:firstColumn="1" w:lastColumn="0" w:noHBand="0" w:noVBand="1"/>
      </w:tblPr>
      <w:tblGrid>
        <w:gridCol w:w="620"/>
        <w:gridCol w:w="1096"/>
        <w:gridCol w:w="895"/>
        <w:gridCol w:w="4308"/>
        <w:gridCol w:w="2431"/>
      </w:tblGrid>
      <w:tr w:rsidR="004E2E7F" w14:paraId="3B808A88" w14:textId="77777777" w:rsidTr="00D91380">
        <w:tc>
          <w:tcPr>
            <w:tcW w:w="620" w:type="dxa"/>
          </w:tcPr>
          <w:p w14:paraId="7233B23F" w14:textId="77777777" w:rsidR="004E2E7F" w:rsidRPr="0064306F" w:rsidRDefault="004E2E7F" w:rsidP="00292052">
            <w:pPr>
              <w:rPr>
                <w:b/>
                <w:sz w:val="16"/>
                <w:szCs w:val="16"/>
              </w:rPr>
            </w:pPr>
            <w:r w:rsidRPr="0064306F">
              <w:rPr>
                <w:b/>
                <w:sz w:val="16"/>
                <w:szCs w:val="16"/>
              </w:rPr>
              <w:t>CID</w:t>
            </w:r>
          </w:p>
        </w:tc>
        <w:tc>
          <w:tcPr>
            <w:tcW w:w="1096" w:type="dxa"/>
          </w:tcPr>
          <w:p w14:paraId="444A00DD" w14:textId="77777777" w:rsidR="004E2E7F" w:rsidRPr="0064306F" w:rsidRDefault="004E2E7F" w:rsidP="00292052">
            <w:pPr>
              <w:rPr>
                <w:b/>
                <w:sz w:val="16"/>
                <w:szCs w:val="16"/>
              </w:rPr>
            </w:pPr>
            <w:r w:rsidRPr="0064306F">
              <w:rPr>
                <w:b/>
                <w:sz w:val="16"/>
                <w:szCs w:val="16"/>
              </w:rPr>
              <w:t>Clause</w:t>
            </w:r>
          </w:p>
        </w:tc>
        <w:tc>
          <w:tcPr>
            <w:tcW w:w="895" w:type="dxa"/>
          </w:tcPr>
          <w:p w14:paraId="6610005D" w14:textId="77777777" w:rsidR="004E2E7F" w:rsidRPr="0064306F" w:rsidRDefault="004E2E7F" w:rsidP="00292052">
            <w:pPr>
              <w:rPr>
                <w:b/>
                <w:sz w:val="16"/>
                <w:szCs w:val="16"/>
              </w:rPr>
            </w:pPr>
            <w:r w:rsidRPr="0064306F">
              <w:rPr>
                <w:b/>
                <w:sz w:val="16"/>
                <w:szCs w:val="16"/>
              </w:rPr>
              <w:t>Page</w:t>
            </w:r>
          </w:p>
        </w:tc>
        <w:tc>
          <w:tcPr>
            <w:tcW w:w="4308" w:type="dxa"/>
          </w:tcPr>
          <w:p w14:paraId="0EEAE713" w14:textId="77777777" w:rsidR="004E2E7F" w:rsidRPr="0064306F" w:rsidRDefault="004E2E7F" w:rsidP="00292052">
            <w:pPr>
              <w:rPr>
                <w:b/>
                <w:sz w:val="16"/>
                <w:szCs w:val="16"/>
              </w:rPr>
            </w:pPr>
            <w:r w:rsidRPr="0064306F">
              <w:rPr>
                <w:b/>
                <w:sz w:val="16"/>
                <w:szCs w:val="16"/>
              </w:rPr>
              <w:t>Comment</w:t>
            </w:r>
          </w:p>
        </w:tc>
        <w:tc>
          <w:tcPr>
            <w:tcW w:w="2431" w:type="dxa"/>
          </w:tcPr>
          <w:p w14:paraId="64AF7DF8" w14:textId="77777777" w:rsidR="004E2E7F" w:rsidRPr="0064306F" w:rsidRDefault="004E2E7F" w:rsidP="00292052">
            <w:pPr>
              <w:rPr>
                <w:b/>
                <w:sz w:val="16"/>
                <w:szCs w:val="16"/>
              </w:rPr>
            </w:pPr>
            <w:r w:rsidRPr="0064306F">
              <w:rPr>
                <w:b/>
                <w:sz w:val="16"/>
                <w:szCs w:val="16"/>
              </w:rPr>
              <w:t>Proposed change</w:t>
            </w:r>
          </w:p>
        </w:tc>
      </w:tr>
      <w:tr w:rsidR="004E2E7F" w14:paraId="23C7583F" w14:textId="77777777" w:rsidTr="00D91380">
        <w:tc>
          <w:tcPr>
            <w:tcW w:w="620" w:type="dxa"/>
          </w:tcPr>
          <w:p w14:paraId="4D4F4B69" w14:textId="77777777" w:rsidR="004E2E7F" w:rsidRDefault="004E2E7F" w:rsidP="00292052">
            <w:r>
              <w:t>430</w:t>
            </w:r>
          </w:p>
        </w:tc>
        <w:tc>
          <w:tcPr>
            <w:tcW w:w="1096" w:type="dxa"/>
          </w:tcPr>
          <w:p w14:paraId="760CEA56" w14:textId="77777777" w:rsidR="004E2E7F" w:rsidRDefault="004E2E7F" w:rsidP="00292052">
            <w:r>
              <w:t>30.9.2.2.2</w:t>
            </w:r>
          </w:p>
        </w:tc>
        <w:tc>
          <w:tcPr>
            <w:tcW w:w="895" w:type="dxa"/>
          </w:tcPr>
          <w:p w14:paraId="6886D45C" w14:textId="77777777" w:rsidR="004E2E7F" w:rsidRDefault="004E2E7F" w:rsidP="00292052">
            <w:r>
              <w:t>155.16</w:t>
            </w:r>
          </w:p>
        </w:tc>
        <w:tc>
          <w:tcPr>
            <w:tcW w:w="4308" w:type="dxa"/>
          </w:tcPr>
          <w:p w14:paraId="3755C27D" w14:textId="0AA9D8C3" w:rsidR="004E2E7F" w:rsidRDefault="004E2E7F" w:rsidP="00BC7F38">
            <w:r>
              <w:t>statement "If the PACKET-TYPE parameter in the RXVECTOR or TXVECTOR is equal to TRN-R-PACKET, then both BEAM_TRACKING_REQUEST and EDMG_BEAM_TRACKING_REQUEST parameters in the corresponding RXVECTOR or TXVECTOR shall be set to Beam Tracking Not Requested" contradicts statement in 10.38.7 "A beam tracking responder that receives a packet requesting beam tracking with the Beam Tracking  Request field in the PHY header equal to 1 (corresponding to the BEAM_TRACKING_REQUEST or</w:t>
            </w:r>
            <w:r w:rsidR="00BC7F38">
              <w:t xml:space="preserve"> </w:t>
            </w:r>
            <w:r>
              <w:t>EDMG_BEAM_TRACKING_REQUEST parameter in the RXVECTOR set to Beam Track Requested) and the Packet Type field in the PHY header equal to 0 (corresponding to PACKET-TYPE field in the RXVECTOR set to TRN-R-PACKET) shall.."</w:t>
            </w:r>
          </w:p>
        </w:tc>
        <w:tc>
          <w:tcPr>
            <w:tcW w:w="2431" w:type="dxa"/>
          </w:tcPr>
          <w:p w14:paraId="7012FED6" w14:textId="77777777" w:rsidR="004E2E7F" w:rsidRPr="00832257" w:rsidRDefault="004E2E7F" w:rsidP="00292052">
            <w:r w:rsidRPr="006F39D1">
              <w:t>Harmonize statements. Remove statement in 30.9.2.2.2</w:t>
            </w:r>
          </w:p>
        </w:tc>
      </w:tr>
    </w:tbl>
    <w:p w14:paraId="0DCECDB9" w14:textId="77777777" w:rsidR="00D91380" w:rsidRDefault="00D91380" w:rsidP="00D91380"/>
    <w:p w14:paraId="51B6DA25" w14:textId="77777777" w:rsidR="00D91380" w:rsidRDefault="00D91380" w:rsidP="00D91380">
      <w:r w:rsidRPr="00547F72">
        <w:rPr>
          <w:b/>
        </w:rPr>
        <w:t>Proposed resolution</w:t>
      </w:r>
      <w:r>
        <w:t>: Revised</w:t>
      </w:r>
    </w:p>
    <w:p w14:paraId="6EDB9029" w14:textId="77777777" w:rsidR="00D91380" w:rsidRDefault="00D91380" w:rsidP="00D91380"/>
    <w:p w14:paraId="598530DE" w14:textId="441FEA17" w:rsidR="00D91380" w:rsidRDefault="00D91380" w:rsidP="00D91380">
      <w:r>
        <w:rPr>
          <w:i/>
        </w:rPr>
        <w:t>Discussion:</w:t>
      </w:r>
      <w:r>
        <w:t xml:space="preserve"> The problem identified by the commenter is resolved with the solution proposed to CID </w:t>
      </w:r>
      <w:r w:rsidR="00792800">
        <w:t>74.</w:t>
      </w:r>
    </w:p>
    <w:p w14:paraId="77E53348" w14:textId="77777777" w:rsidR="005825E9" w:rsidRDefault="005825E9" w:rsidP="005825E9"/>
    <w:p w14:paraId="2E6EC133" w14:textId="77777777" w:rsidR="005825E9" w:rsidRDefault="005825E9" w:rsidP="005825E9"/>
    <w:p w14:paraId="088DB5E9" w14:textId="77777777" w:rsidR="007423C7" w:rsidRDefault="007423C7" w:rsidP="005825E9"/>
    <w:p w14:paraId="3F8854B5" w14:textId="77777777" w:rsidR="007423C7" w:rsidRDefault="007423C7" w:rsidP="005825E9"/>
    <w:p w14:paraId="6C266BE8" w14:textId="77777777" w:rsidR="007423C7" w:rsidRDefault="007423C7" w:rsidP="005825E9"/>
    <w:p w14:paraId="1906A06A" w14:textId="77777777" w:rsidR="007423C7" w:rsidRDefault="007423C7" w:rsidP="005825E9"/>
    <w:p w14:paraId="2E44C32C" w14:textId="77777777" w:rsidR="007423C7" w:rsidRDefault="007423C7" w:rsidP="005825E9"/>
    <w:p w14:paraId="1F003F76" w14:textId="77777777" w:rsidR="007423C7" w:rsidRDefault="007423C7" w:rsidP="005825E9"/>
    <w:p w14:paraId="678F487D" w14:textId="77777777" w:rsidR="007423C7" w:rsidRDefault="007423C7" w:rsidP="005825E9"/>
    <w:p w14:paraId="7EDCCD35" w14:textId="77777777" w:rsidR="007423C7" w:rsidRDefault="007423C7" w:rsidP="005825E9"/>
    <w:p w14:paraId="77B9565F" w14:textId="77777777" w:rsidR="007423C7" w:rsidRDefault="007423C7" w:rsidP="005825E9"/>
    <w:p w14:paraId="1C337EEA" w14:textId="77777777" w:rsidR="007423C7" w:rsidRDefault="007423C7" w:rsidP="005825E9"/>
    <w:p w14:paraId="69F695AB" w14:textId="77777777" w:rsidR="005825E9" w:rsidRDefault="005825E9" w:rsidP="005825E9"/>
    <w:tbl>
      <w:tblPr>
        <w:tblStyle w:val="TableGrid"/>
        <w:tblW w:w="0" w:type="auto"/>
        <w:tblLook w:val="04A0" w:firstRow="1" w:lastRow="0" w:firstColumn="1" w:lastColumn="0" w:noHBand="0" w:noVBand="1"/>
      </w:tblPr>
      <w:tblGrid>
        <w:gridCol w:w="622"/>
        <w:gridCol w:w="1096"/>
        <w:gridCol w:w="898"/>
        <w:gridCol w:w="4258"/>
        <w:gridCol w:w="2476"/>
      </w:tblGrid>
      <w:tr w:rsidR="005825E9" w14:paraId="3EDB7D54" w14:textId="77777777" w:rsidTr="00292052">
        <w:tc>
          <w:tcPr>
            <w:tcW w:w="624" w:type="dxa"/>
          </w:tcPr>
          <w:p w14:paraId="2EED4705" w14:textId="77777777" w:rsidR="005825E9" w:rsidRPr="0064306F" w:rsidRDefault="005825E9" w:rsidP="00292052">
            <w:pPr>
              <w:rPr>
                <w:b/>
                <w:sz w:val="16"/>
                <w:szCs w:val="16"/>
              </w:rPr>
            </w:pPr>
            <w:r w:rsidRPr="0064306F">
              <w:rPr>
                <w:b/>
                <w:sz w:val="16"/>
                <w:szCs w:val="16"/>
              </w:rPr>
              <w:lastRenderedPageBreak/>
              <w:t>CID</w:t>
            </w:r>
          </w:p>
        </w:tc>
        <w:tc>
          <w:tcPr>
            <w:tcW w:w="991" w:type="dxa"/>
          </w:tcPr>
          <w:p w14:paraId="5FCA5A04" w14:textId="77777777" w:rsidR="005825E9" w:rsidRPr="0064306F" w:rsidRDefault="005825E9" w:rsidP="00292052">
            <w:pPr>
              <w:rPr>
                <w:b/>
                <w:sz w:val="16"/>
                <w:szCs w:val="16"/>
              </w:rPr>
            </w:pPr>
            <w:r w:rsidRPr="0064306F">
              <w:rPr>
                <w:b/>
                <w:sz w:val="16"/>
                <w:szCs w:val="16"/>
              </w:rPr>
              <w:t>Clause</w:t>
            </w:r>
          </w:p>
        </w:tc>
        <w:tc>
          <w:tcPr>
            <w:tcW w:w="900" w:type="dxa"/>
          </w:tcPr>
          <w:p w14:paraId="70EC2511" w14:textId="77777777" w:rsidR="005825E9" w:rsidRPr="0064306F" w:rsidRDefault="005825E9" w:rsidP="00292052">
            <w:pPr>
              <w:rPr>
                <w:b/>
                <w:sz w:val="16"/>
                <w:szCs w:val="16"/>
              </w:rPr>
            </w:pPr>
            <w:r w:rsidRPr="0064306F">
              <w:rPr>
                <w:b/>
                <w:sz w:val="16"/>
                <w:szCs w:val="16"/>
              </w:rPr>
              <w:t>Page</w:t>
            </w:r>
          </w:p>
        </w:tc>
        <w:tc>
          <w:tcPr>
            <w:tcW w:w="4329" w:type="dxa"/>
          </w:tcPr>
          <w:p w14:paraId="2E56E04F" w14:textId="77777777" w:rsidR="005825E9" w:rsidRPr="0064306F" w:rsidRDefault="005825E9" w:rsidP="00292052">
            <w:pPr>
              <w:rPr>
                <w:b/>
                <w:sz w:val="16"/>
                <w:szCs w:val="16"/>
              </w:rPr>
            </w:pPr>
            <w:r w:rsidRPr="0064306F">
              <w:rPr>
                <w:b/>
                <w:sz w:val="16"/>
                <w:szCs w:val="16"/>
              </w:rPr>
              <w:t>Comment</w:t>
            </w:r>
          </w:p>
        </w:tc>
        <w:tc>
          <w:tcPr>
            <w:tcW w:w="2506" w:type="dxa"/>
          </w:tcPr>
          <w:p w14:paraId="55E7F62A" w14:textId="77777777" w:rsidR="005825E9" w:rsidRPr="0064306F" w:rsidRDefault="005825E9" w:rsidP="00292052">
            <w:pPr>
              <w:rPr>
                <w:b/>
                <w:sz w:val="16"/>
                <w:szCs w:val="16"/>
              </w:rPr>
            </w:pPr>
            <w:r w:rsidRPr="0064306F">
              <w:rPr>
                <w:b/>
                <w:sz w:val="16"/>
                <w:szCs w:val="16"/>
              </w:rPr>
              <w:t>Proposed change</w:t>
            </w:r>
          </w:p>
        </w:tc>
      </w:tr>
      <w:tr w:rsidR="005825E9" w14:paraId="2C8659CC" w14:textId="77777777" w:rsidTr="00292052">
        <w:tc>
          <w:tcPr>
            <w:tcW w:w="624" w:type="dxa"/>
          </w:tcPr>
          <w:p w14:paraId="0563D1B7" w14:textId="77777777" w:rsidR="005825E9" w:rsidRDefault="005825E9" w:rsidP="00292052">
            <w:r>
              <w:t>77</w:t>
            </w:r>
          </w:p>
        </w:tc>
        <w:tc>
          <w:tcPr>
            <w:tcW w:w="991" w:type="dxa"/>
          </w:tcPr>
          <w:p w14:paraId="617116EC" w14:textId="77777777" w:rsidR="005825E9" w:rsidRDefault="005825E9" w:rsidP="00292052">
            <w:r w:rsidRPr="00832257">
              <w:t>30.9.2.2.7</w:t>
            </w:r>
          </w:p>
        </w:tc>
        <w:tc>
          <w:tcPr>
            <w:tcW w:w="900" w:type="dxa"/>
          </w:tcPr>
          <w:p w14:paraId="4A89337A" w14:textId="77777777" w:rsidR="005825E9" w:rsidRDefault="005825E9" w:rsidP="00292052">
            <w:r w:rsidRPr="00832257">
              <w:t>158.0</w:t>
            </w:r>
            <w:r>
              <w:t>7</w:t>
            </w:r>
          </w:p>
        </w:tc>
        <w:tc>
          <w:tcPr>
            <w:tcW w:w="4329" w:type="dxa"/>
          </w:tcPr>
          <w:p w14:paraId="0C889DB3" w14:textId="77777777" w:rsidR="005825E9" w:rsidRDefault="005825E9" w:rsidP="00292052">
            <w:r w:rsidRPr="00832257">
              <w:t>"</w:t>
            </w:r>
            <w:proofErr w:type="gramStart"/>
            <w:r w:rsidRPr="00832257">
              <w:t>first</w:t>
            </w:r>
            <w:proofErr w:type="gramEnd"/>
            <w:r w:rsidRPr="00832257">
              <w:t xml:space="preserve"> P TRN subfields of each TRN-Unit of the  EDMG Not for each TRN units. "  It should be only once in packet:  only the first in each packet, or the second if the first is used for antenna switching</w:t>
            </w:r>
          </w:p>
        </w:tc>
        <w:tc>
          <w:tcPr>
            <w:tcW w:w="2506" w:type="dxa"/>
          </w:tcPr>
          <w:p w14:paraId="70168F5A" w14:textId="77777777" w:rsidR="005825E9" w:rsidRPr="00832257" w:rsidRDefault="005825E9" w:rsidP="00292052">
            <w:r w:rsidRPr="00832257">
              <w:t>Change to the first valid P sequences in the packet (this is for BRP-TX packets, not clear what to do in BRP-TX-RX packets)</w:t>
            </w:r>
          </w:p>
        </w:tc>
      </w:tr>
    </w:tbl>
    <w:p w14:paraId="392FA261" w14:textId="77777777" w:rsidR="005825E9" w:rsidRDefault="005825E9" w:rsidP="005825E9"/>
    <w:p w14:paraId="737530B6" w14:textId="77777777" w:rsidR="005825E9" w:rsidRDefault="005825E9" w:rsidP="005825E9">
      <w:r w:rsidRPr="00547F72">
        <w:rPr>
          <w:b/>
        </w:rPr>
        <w:t>Proposed resolution</w:t>
      </w:r>
      <w:r>
        <w:t>: Revised</w:t>
      </w:r>
    </w:p>
    <w:p w14:paraId="71DAAF46" w14:textId="77777777" w:rsidR="005825E9" w:rsidRDefault="005825E9" w:rsidP="005825E9"/>
    <w:p w14:paraId="6ADB2CDF" w14:textId="77777777" w:rsidR="00C801E8" w:rsidRDefault="00C801E8" w:rsidP="005825E9">
      <w:r>
        <w:rPr>
          <w:i/>
        </w:rPr>
        <w:t>Discussion</w:t>
      </w:r>
      <w:r w:rsidR="00CE516F">
        <w:rPr>
          <w:i/>
        </w:rPr>
        <w:t>:</w:t>
      </w:r>
      <w:r w:rsidR="00CE516F">
        <w:t xml:space="preserve">  </w:t>
      </w:r>
    </w:p>
    <w:p w14:paraId="6F53A550" w14:textId="79A16E8A" w:rsidR="00CE516F" w:rsidRPr="00C801E8" w:rsidRDefault="00CE516F" w:rsidP="00C801E8">
      <w:pPr>
        <w:pStyle w:val="ListParagraph"/>
        <w:numPr>
          <w:ilvl w:val="0"/>
          <w:numId w:val="5"/>
        </w:numPr>
      </w:pPr>
      <w:r w:rsidRPr="00906BF4">
        <w:t xml:space="preserve">A motion </w:t>
      </w:r>
      <w:r>
        <w:t>approved</w:t>
      </w:r>
      <w:r w:rsidRPr="00906BF4">
        <w:t xml:space="preserve"> in the July 2017 plenary </w:t>
      </w:r>
      <w:r>
        <w:t>(</w:t>
      </w:r>
      <w:r w:rsidRPr="00D91C07">
        <w:t>#2</w:t>
      </w:r>
      <w:r>
        <w:t>52</w:t>
      </w:r>
      <w:r w:rsidRPr="00D91C07">
        <w:t xml:space="preserve">, based on the draft text proposed in </w:t>
      </w:r>
      <w:r w:rsidRPr="00CE516F">
        <w:t>11-17-1042-01-00ay</w:t>
      </w:r>
      <w:r>
        <w:t>) added text to the spec draft that specifies that “(</w:t>
      </w:r>
      <w:proofErr w:type="spellStart"/>
      <w:r>
        <w:t>i</w:t>
      </w:r>
      <w:proofErr w:type="spellEnd"/>
      <w:r>
        <w:t>)</w:t>
      </w:r>
      <w:proofErr w:type="spellStart"/>
      <w:r w:rsidRPr="00C801E8">
        <w:rPr>
          <w:szCs w:val="22"/>
          <w:lang w:val="en-US" w:eastAsia="ja-JP"/>
        </w:rPr>
        <w:t>f</w:t>
      </w:r>
      <w:proofErr w:type="spellEnd"/>
      <w:r w:rsidRPr="00C801E8">
        <w:rPr>
          <w:szCs w:val="22"/>
          <w:lang w:val="en-US" w:eastAsia="ja-JP"/>
        </w:rPr>
        <w:t xml:space="preserve"> the Channel Measurement Requested subfield in the DMG Beam Refinement element within a BRP frame is equal to 1, the TXVECTOR parameter EDMG_TRN_P shall not be set to 0.</w:t>
      </w:r>
      <w:r w:rsidR="00597164">
        <w:rPr>
          <w:szCs w:val="22"/>
          <w:lang w:val="en-US" w:eastAsia="ja-JP"/>
        </w:rPr>
        <w:t>”</w:t>
      </w:r>
    </w:p>
    <w:p w14:paraId="73E3E0F9" w14:textId="7DDDDE7F" w:rsidR="00C801E8" w:rsidRPr="00CE516F" w:rsidRDefault="00292052" w:rsidP="00C801E8">
      <w:pPr>
        <w:pStyle w:val="ListParagraph"/>
        <w:numPr>
          <w:ilvl w:val="0"/>
          <w:numId w:val="5"/>
        </w:numPr>
      </w:pPr>
      <w:r>
        <w:t xml:space="preserve">The only normative text present in D0.3/D0.35 that defines specification necessary to enable the switching of antennas is in </w:t>
      </w:r>
      <w:r w:rsidRPr="0036295B">
        <w:t>10.38.9.5.2 (DMG antenna and TRN-Unit configuration during BRP TXSS)</w:t>
      </w:r>
      <w:r>
        <w:t>.  For BRP TXSS, channel measurements can’t be requested.</w:t>
      </w:r>
    </w:p>
    <w:p w14:paraId="76F9CF04" w14:textId="77777777" w:rsidR="00CE516F" w:rsidRDefault="00CE516F" w:rsidP="005825E9">
      <w:pPr>
        <w:rPr>
          <w:i/>
        </w:rPr>
      </w:pPr>
    </w:p>
    <w:p w14:paraId="6D8305B1" w14:textId="77777777" w:rsidR="005825E9" w:rsidRPr="00422025" w:rsidRDefault="005825E9" w:rsidP="005825E9">
      <w:pPr>
        <w:rPr>
          <w:i/>
        </w:rPr>
      </w:pPr>
      <w:r>
        <w:rPr>
          <w:i/>
        </w:rPr>
        <w:t xml:space="preserve">Replace the only paragraph in </w:t>
      </w:r>
      <w:r w:rsidRPr="00235A30">
        <w:rPr>
          <w:i/>
        </w:rPr>
        <w:t>30.9.2.2.</w:t>
      </w:r>
      <w:r>
        <w:rPr>
          <w:i/>
        </w:rPr>
        <w:t>7 with the following</w:t>
      </w:r>
    </w:p>
    <w:p w14:paraId="717A299B" w14:textId="77777777" w:rsidR="002A32EF" w:rsidRPr="00280B92" w:rsidRDefault="002A32EF" w:rsidP="002A32EF">
      <w:pPr>
        <w:rPr>
          <w:szCs w:val="22"/>
        </w:rPr>
      </w:pPr>
    </w:p>
    <w:p w14:paraId="057744C3" w14:textId="411AA037" w:rsidR="0015101C" w:rsidRDefault="002A32EF" w:rsidP="004519E1">
      <w:pPr>
        <w:pStyle w:val="IEEEStdsParagraph"/>
        <w:rPr>
          <w:color w:val="FF0000"/>
          <w:sz w:val="22"/>
          <w:szCs w:val="22"/>
        </w:rPr>
      </w:pPr>
      <w:r w:rsidRPr="00280B92">
        <w:rPr>
          <w:sz w:val="22"/>
          <w:szCs w:val="22"/>
        </w:rPr>
        <w:t xml:space="preserve">The autocorrelation properties of the </w:t>
      </w:r>
      <w:proofErr w:type="spellStart"/>
      <w:r>
        <w:rPr>
          <w:sz w:val="22"/>
          <w:szCs w:val="22"/>
        </w:rPr>
        <w:t>Golay</w:t>
      </w:r>
      <w:proofErr w:type="spellEnd"/>
      <w:r>
        <w:rPr>
          <w:sz w:val="22"/>
          <w:szCs w:val="22"/>
        </w:rPr>
        <w:t xml:space="preserve"> sequence used in the TRN field allow for the estimation of the </w:t>
      </w:r>
      <w:r w:rsidRPr="00280B92">
        <w:rPr>
          <w:sz w:val="22"/>
          <w:szCs w:val="22"/>
        </w:rPr>
        <w:t xml:space="preserve">impulse response of the channel between </w:t>
      </w:r>
      <w:r>
        <w:rPr>
          <w:sz w:val="22"/>
          <w:szCs w:val="22"/>
        </w:rPr>
        <w:t>transmitter and receiver.  When the channel measurement is performed using an EDMG BRP-TX</w:t>
      </w:r>
      <w:r w:rsidR="00597164">
        <w:rPr>
          <w:sz w:val="22"/>
          <w:szCs w:val="22"/>
        </w:rPr>
        <w:t xml:space="preserve"> packet</w:t>
      </w:r>
      <w:r>
        <w:rPr>
          <w:sz w:val="22"/>
          <w:szCs w:val="22"/>
        </w:rPr>
        <w:t xml:space="preserve">, the receiver should </w:t>
      </w:r>
      <w:r w:rsidR="00C801E8">
        <w:rPr>
          <w:sz w:val="22"/>
          <w:szCs w:val="22"/>
        </w:rPr>
        <w:t>determine</w:t>
      </w:r>
      <w:r>
        <w:rPr>
          <w:sz w:val="22"/>
          <w:szCs w:val="22"/>
        </w:rPr>
        <w:t xml:space="preserve"> the channel tap with largest </w:t>
      </w:r>
      <w:r w:rsidR="00C801E8">
        <w:rPr>
          <w:sz w:val="22"/>
          <w:szCs w:val="22"/>
        </w:rPr>
        <w:t>magnitude</w:t>
      </w:r>
      <w:r>
        <w:rPr>
          <w:sz w:val="22"/>
          <w:szCs w:val="22"/>
        </w:rPr>
        <w:t xml:space="preserve"> using the first </w:t>
      </w:r>
      <w:r w:rsidRPr="005219BE">
        <w:rPr>
          <w:i/>
          <w:sz w:val="22"/>
          <w:szCs w:val="22"/>
        </w:rPr>
        <w:t>P</w:t>
      </w:r>
      <w:r>
        <w:rPr>
          <w:sz w:val="22"/>
          <w:szCs w:val="22"/>
        </w:rPr>
        <w:t xml:space="preserve"> TRN </w:t>
      </w:r>
      <w:r w:rsidRPr="00280B92">
        <w:rPr>
          <w:sz w:val="22"/>
          <w:szCs w:val="22"/>
        </w:rPr>
        <w:t xml:space="preserve">subfields of </w:t>
      </w:r>
      <w:r>
        <w:rPr>
          <w:sz w:val="22"/>
          <w:szCs w:val="22"/>
        </w:rPr>
        <w:t>the first</w:t>
      </w:r>
      <w:r w:rsidRPr="00280B92">
        <w:rPr>
          <w:sz w:val="22"/>
          <w:szCs w:val="22"/>
        </w:rPr>
        <w:t xml:space="preserve"> TRN-Unit of the </w:t>
      </w:r>
      <w:r>
        <w:rPr>
          <w:sz w:val="22"/>
          <w:szCs w:val="22"/>
        </w:rPr>
        <w:t xml:space="preserve">packet, </w:t>
      </w:r>
      <w:r w:rsidR="005219BE">
        <w:rPr>
          <w:sz w:val="22"/>
          <w:szCs w:val="22"/>
        </w:rPr>
        <w:t xml:space="preserve">where </w:t>
      </w:r>
      <w:r w:rsidR="005219BE">
        <w:rPr>
          <w:i/>
          <w:sz w:val="22"/>
          <w:szCs w:val="22"/>
        </w:rPr>
        <w:t>P</w:t>
      </w:r>
      <w:r w:rsidR="005219BE">
        <w:rPr>
          <w:sz w:val="22"/>
          <w:szCs w:val="22"/>
        </w:rPr>
        <w:t xml:space="preserve"> is t</w:t>
      </w:r>
      <w:r w:rsidR="005219BE" w:rsidRPr="00B06807">
        <w:rPr>
          <w:sz w:val="22"/>
          <w:szCs w:val="22"/>
        </w:rPr>
        <w:t xml:space="preserve">he </w:t>
      </w:r>
      <w:r w:rsidR="005219BE">
        <w:rPr>
          <w:sz w:val="22"/>
          <w:szCs w:val="22"/>
        </w:rPr>
        <w:t>number of TRN subfields indicated in</w:t>
      </w:r>
      <w:r w:rsidR="005219BE" w:rsidRPr="00B06807">
        <w:rPr>
          <w:sz w:val="22"/>
          <w:szCs w:val="22"/>
        </w:rPr>
        <w:t xml:space="preserve"> the EDMG TRN-Unit </w:t>
      </w:r>
      <w:r w:rsidR="005219BE">
        <w:rPr>
          <w:sz w:val="22"/>
          <w:szCs w:val="22"/>
        </w:rPr>
        <w:t>P</w:t>
      </w:r>
      <w:r w:rsidR="005219BE" w:rsidRPr="00B06807">
        <w:rPr>
          <w:sz w:val="22"/>
          <w:szCs w:val="22"/>
        </w:rPr>
        <w:t xml:space="preserve"> field </w:t>
      </w:r>
      <w:r w:rsidR="005219BE">
        <w:rPr>
          <w:sz w:val="22"/>
          <w:szCs w:val="22"/>
        </w:rPr>
        <w:t>within</w:t>
      </w:r>
      <w:r w:rsidR="005219BE" w:rsidRPr="00B06807">
        <w:rPr>
          <w:sz w:val="22"/>
          <w:szCs w:val="22"/>
        </w:rPr>
        <w:t xml:space="preserve"> the EDMG-Header-A</w:t>
      </w:r>
      <w:r w:rsidR="005219BE">
        <w:rPr>
          <w:sz w:val="22"/>
          <w:szCs w:val="22"/>
        </w:rPr>
        <w:t xml:space="preserve"> of the packet</w:t>
      </w:r>
      <w:r w:rsidR="00292052">
        <w:rPr>
          <w:sz w:val="22"/>
          <w:szCs w:val="22"/>
        </w:rPr>
        <w:t xml:space="preserve">. </w:t>
      </w:r>
      <w:r>
        <w:rPr>
          <w:sz w:val="22"/>
          <w:szCs w:val="22"/>
        </w:rPr>
        <w:t>The receiver</w:t>
      </w:r>
      <w:r w:rsidRPr="009E632B">
        <w:rPr>
          <w:sz w:val="22"/>
          <w:szCs w:val="22"/>
        </w:rPr>
        <w:t xml:space="preserve"> </w:t>
      </w:r>
      <w:r>
        <w:rPr>
          <w:sz w:val="22"/>
          <w:szCs w:val="22"/>
        </w:rPr>
        <w:t xml:space="preserve">then </w:t>
      </w:r>
      <w:r w:rsidRPr="009E632B">
        <w:rPr>
          <w:sz w:val="22"/>
          <w:szCs w:val="22"/>
        </w:rPr>
        <w:t>selects the set of taps that</w:t>
      </w:r>
      <w:r>
        <w:rPr>
          <w:sz w:val="22"/>
          <w:szCs w:val="22"/>
        </w:rPr>
        <w:t xml:space="preserve"> </w:t>
      </w:r>
      <w:r w:rsidRPr="009E632B">
        <w:rPr>
          <w:sz w:val="22"/>
          <w:szCs w:val="22"/>
        </w:rPr>
        <w:t xml:space="preserve">is measured </w:t>
      </w:r>
      <w:r w:rsidRPr="005219BE">
        <w:rPr>
          <w:sz w:val="22"/>
          <w:szCs w:val="22"/>
        </w:rPr>
        <w:t xml:space="preserve">around the tap with the largest </w:t>
      </w:r>
      <w:r w:rsidR="00292052">
        <w:rPr>
          <w:sz w:val="22"/>
          <w:szCs w:val="22"/>
        </w:rPr>
        <w:t>magnitude</w:t>
      </w:r>
      <w:r w:rsidRPr="009E632B">
        <w:rPr>
          <w:sz w:val="22"/>
          <w:szCs w:val="22"/>
        </w:rPr>
        <w:t>, according to dot11ChanMeasFBCKNtaps. It can</w:t>
      </w:r>
      <w:r>
        <w:rPr>
          <w:sz w:val="22"/>
          <w:szCs w:val="22"/>
        </w:rPr>
        <w:t xml:space="preserve"> </w:t>
      </w:r>
      <w:r w:rsidRPr="009E632B">
        <w:rPr>
          <w:sz w:val="22"/>
          <w:szCs w:val="22"/>
        </w:rPr>
        <w:t>select a contiguous set of taps or select a noncontiguous set of taps</w:t>
      </w:r>
      <w:r w:rsidR="00292052">
        <w:rPr>
          <w:sz w:val="22"/>
          <w:szCs w:val="22"/>
        </w:rPr>
        <w:t>.  If a noncontiguous set of taps is selected,</w:t>
      </w:r>
      <w:r w:rsidRPr="009E632B">
        <w:rPr>
          <w:sz w:val="22"/>
          <w:szCs w:val="22"/>
        </w:rPr>
        <w:t xml:space="preserve"> </w:t>
      </w:r>
      <w:r w:rsidR="00292052">
        <w:rPr>
          <w:sz w:val="22"/>
          <w:szCs w:val="22"/>
        </w:rPr>
        <w:t xml:space="preserve">as defined in </w:t>
      </w:r>
      <w:r w:rsidR="00292052" w:rsidRPr="00926E61">
        <w:rPr>
          <w:sz w:val="22"/>
          <w:szCs w:val="22"/>
        </w:rPr>
        <w:t>9.4.2.136</w:t>
      </w:r>
      <w:r w:rsidR="00292052">
        <w:rPr>
          <w:sz w:val="22"/>
          <w:szCs w:val="22"/>
        </w:rPr>
        <w:t xml:space="preserve">, </w:t>
      </w:r>
      <w:r w:rsidRPr="009E632B">
        <w:rPr>
          <w:sz w:val="22"/>
          <w:szCs w:val="22"/>
        </w:rPr>
        <w:t xml:space="preserve">the </w:t>
      </w:r>
      <w:r w:rsidR="004519E1">
        <w:rPr>
          <w:sz w:val="22"/>
          <w:szCs w:val="22"/>
        </w:rPr>
        <w:t>delay</w:t>
      </w:r>
      <w:r w:rsidR="00292052">
        <w:rPr>
          <w:sz w:val="22"/>
          <w:szCs w:val="22"/>
        </w:rPr>
        <w:t>s</w:t>
      </w:r>
      <w:r w:rsidR="004519E1">
        <w:rPr>
          <w:sz w:val="22"/>
          <w:szCs w:val="22"/>
        </w:rPr>
        <w:t xml:space="preserve"> of the selected</w:t>
      </w:r>
      <w:r w:rsidR="00B52593">
        <w:rPr>
          <w:sz w:val="22"/>
          <w:szCs w:val="22"/>
        </w:rPr>
        <w:t xml:space="preserve"> </w:t>
      </w:r>
      <w:r w:rsidR="004519E1">
        <w:rPr>
          <w:sz w:val="22"/>
          <w:szCs w:val="22"/>
        </w:rPr>
        <w:t xml:space="preserve">taps </w:t>
      </w:r>
      <w:r w:rsidR="00292052">
        <w:rPr>
          <w:sz w:val="22"/>
          <w:szCs w:val="22"/>
        </w:rPr>
        <w:t xml:space="preserve">are included </w:t>
      </w:r>
      <w:r w:rsidR="00B52593">
        <w:rPr>
          <w:sz w:val="22"/>
          <w:szCs w:val="22"/>
        </w:rPr>
        <w:t xml:space="preserve">in the </w:t>
      </w:r>
      <w:r w:rsidR="00B52593" w:rsidRPr="00B52593">
        <w:rPr>
          <w:sz w:val="22"/>
          <w:szCs w:val="22"/>
        </w:rPr>
        <w:t>Tap Delay</w:t>
      </w:r>
      <w:r w:rsidR="00B52593">
        <w:rPr>
          <w:sz w:val="22"/>
          <w:szCs w:val="22"/>
        </w:rPr>
        <w:t xml:space="preserve"> field of the </w:t>
      </w:r>
      <w:r w:rsidR="00B52593" w:rsidRPr="00B52593">
        <w:rPr>
          <w:sz w:val="22"/>
          <w:szCs w:val="22"/>
        </w:rPr>
        <w:t>Channel Measurement Feedback element</w:t>
      </w:r>
      <w:r w:rsidR="004519E1">
        <w:rPr>
          <w:sz w:val="22"/>
          <w:szCs w:val="22"/>
        </w:rPr>
        <w:t xml:space="preserve">. </w:t>
      </w:r>
      <w:r w:rsidR="00292052">
        <w:rPr>
          <w:sz w:val="22"/>
          <w:szCs w:val="22"/>
        </w:rPr>
        <w:t>The receiver</w:t>
      </w:r>
      <w:r w:rsidRPr="009E632B">
        <w:rPr>
          <w:sz w:val="22"/>
          <w:szCs w:val="22"/>
        </w:rPr>
        <w:t xml:space="preserve"> then measures the amplitude of the corresponding channel</w:t>
      </w:r>
      <w:r>
        <w:rPr>
          <w:sz w:val="22"/>
          <w:szCs w:val="22"/>
        </w:rPr>
        <w:t xml:space="preserve"> </w:t>
      </w:r>
      <w:r w:rsidRPr="009E632B">
        <w:rPr>
          <w:sz w:val="22"/>
          <w:szCs w:val="22"/>
        </w:rPr>
        <w:t xml:space="preserve">taps in each of the </w:t>
      </w:r>
      <w:r>
        <w:rPr>
          <w:sz w:val="22"/>
          <w:szCs w:val="22"/>
        </w:rPr>
        <w:t xml:space="preserve">last </w:t>
      </w:r>
      <w:r w:rsidRPr="004519E1">
        <w:rPr>
          <w:i/>
          <w:sz w:val="22"/>
          <w:szCs w:val="22"/>
        </w:rPr>
        <w:t>M</w:t>
      </w:r>
      <w:r>
        <w:rPr>
          <w:sz w:val="22"/>
          <w:szCs w:val="22"/>
        </w:rPr>
        <w:t xml:space="preserve"> TRN subfields </w:t>
      </w:r>
      <w:r w:rsidR="00292052">
        <w:rPr>
          <w:sz w:val="22"/>
          <w:szCs w:val="22"/>
        </w:rPr>
        <w:t xml:space="preserve">of all </w:t>
      </w:r>
      <w:r>
        <w:rPr>
          <w:sz w:val="22"/>
          <w:szCs w:val="22"/>
        </w:rPr>
        <w:t>TRN-Unit</w:t>
      </w:r>
      <w:r w:rsidR="00292052">
        <w:rPr>
          <w:sz w:val="22"/>
          <w:szCs w:val="22"/>
        </w:rPr>
        <w:t>s</w:t>
      </w:r>
      <w:r>
        <w:rPr>
          <w:sz w:val="22"/>
          <w:szCs w:val="22"/>
        </w:rPr>
        <w:t xml:space="preserve"> </w:t>
      </w:r>
      <w:r w:rsidR="00292052">
        <w:rPr>
          <w:sz w:val="22"/>
          <w:szCs w:val="22"/>
        </w:rPr>
        <w:t xml:space="preserve">in the packet </w:t>
      </w:r>
      <w:r>
        <w:rPr>
          <w:sz w:val="22"/>
          <w:szCs w:val="22"/>
        </w:rPr>
        <w:t xml:space="preserve">if </w:t>
      </w:r>
      <w:r w:rsidRPr="004519E1">
        <w:rPr>
          <w:i/>
          <w:sz w:val="22"/>
          <w:szCs w:val="22"/>
        </w:rPr>
        <w:t>N</w:t>
      </w:r>
      <w:r>
        <w:rPr>
          <w:sz w:val="22"/>
          <w:szCs w:val="22"/>
        </w:rPr>
        <w:t xml:space="preserve"> is equal to zero, where</w:t>
      </w:r>
      <w:r w:rsidR="004519E1">
        <w:rPr>
          <w:sz w:val="22"/>
          <w:szCs w:val="22"/>
        </w:rPr>
        <w:t xml:space="preserve"> </w:t>
      </w:r>
      <w:r w:rsidR="004519E1">
        <w:rPr>
          <w:i/>
          <w:sz w:val="22"/>
          <w:szCs w:val="22"/>
        </w:rPr>
        <w:t>M</w:t>
      </w:r>
      <w:r>
        <w:rPr>
          <w:sz w:val="22"/>
          <w:szCs w:val="22"/>
        </w:rPr>
        <w:t xml:space="preserve"> </w:t>
      </w:r>
      <w:r w:rsidR="004519E1">
        <w:rPr>
          <w:sz w:val="22"/>
          <w:szCs w:val="22"/>
        </w:rPr>
        <w:t xml:space="preserve">and </w:t>
      </w:r>
      <w:r w:rsidR="004519E1" w:rsidRPr="004519E1">
        <w:rPr>
          <w:i/>
          <w:sz w:val="22"/>
          <w:szCs w:val="22"/>
        </w:rPr>
        <w:t>N</w:t>
      </w:r>
      <w:r w:rsidR="004519E1">
        <w:rPr>
          <w:sz w:val="22"/>
          <w:szCs w:val="22"/>
        </w:rPr>
        <w:t xml:space="preserve"> are t</w:t>
      </w:r>
      <w:r w:rsidR="004519E1" w:rsidRPr="00B06807">
        <w:rPr>
          <w:sz w:val="22"/>
          <w:szCs w:val="22"/>
        </w:rPr>
        <w:t xml:space="preserve">he </w:t>
      </w:r>
      <w:r w:rsidR="004519E1">
        <w:rPr>
          <w:sz w:val="22"/>
          <w:szCs w:val="22"/>
        </w:rPr>
        <w:t>number of TRN subfields indicated in</w:t>
      </w:r>
      <w:r w:rsidR="004519E1" w:rsidRPr="00B06807">
        <w:rPr>
          <w:sz w:val="22"/>
          <w:szCs w:val="22"/>
        </w:rPr>
        <w:t xml:space="preserve"> the EDMG TRN-Unit </w:t>
      </w:r>
      <w:r w:rsidR="004519E1">
        <w:rPr>
          <w:sz w:val="22"/>
          <w:szCs w:val="22"/>
        </w:rPr>
        <w:t>M</w:t>
      </w:r>
      <w:r w:rsidR="004519E1" w:rsidRPr="00B06807">
        <w:rPr>
          <w:sz w:val="22"/>
          <w:szCs w:val="22"/>
        </w:rPr>
        <w:t xml:space="preserve"> field </w:t>
      </w:r>
      <w:r w:rsidR="004519E1">
        <w:rPr>
          <w:sz w:val="22"/>
          <w:szCs w:val="22"/>
        </w:rPr>
        <w:t>and in</w:t>
      </w:r>
      <w:r w:rsidR="004519E1" w:rsidRPr="00B06807">
        <w:rPr>
          <w:sz w:val="22"/>
          <w:szCs w:val="22"/>
        </w:rPr>
        <w:t xml:space="preserve"> the EDMG TRN-Unit </w:t>
      </w:r>
      <w:r w:rsidR="004519E1">
        <w:rPr>
          <w:sz w:val="22"/>
          <w:szCs w:val="22"/>
        </w:rPr>
        <w:t>N</w:t>
      </w:r>
      <w:r w:rsidR="004519E1" w:rsidRPr="00B06807">
        <w:rPr>
          <w:sz w:val="22"/>
          <w:szCs w:val="22"/>
        </w:rPr>
        <w:t xml:space="preserve"> field</w:t>
      </w:r>
      <w:r w:rsidR="004519E1">
        <w:rPr>
          <w:sz w:val="22"/>
          <w:szCs w:val="22"/>
        </w:rPr>
        <w:t xml:space="preserve"> within</w:t>
      </w:r>
      <w:r w:rsidR="004519E1" w:rsidRPr="00B06807">
        <w:rPr>
          <w:sz w:val="22"/>
          <w:szCs w:val="22"/>
        </w:rPr>
        <w:t xml:space="preserve"> the EDMG-Header-A</w:t>
      </w:r>
      <w:r w:rsidR="004519E1">
        <w:rPr>
          <w:sz w:val="22"/>
          <w:szCs w:val="22"/>
        </w:rPr>
        <w:t xml:space="preserve"> of the packet, respectively. </w:t>
      </w:r>
      <w:r>
        <w:rPr>
          <w:sz w:val="22"/>
          <w:szCs w:val="22"/>
        </w:rPr>
        <w:t xml:space="preserve">If </w:t>
      </w:r>
      <w:r w:rsidR="004519E1">
        <w:rPr>
          <w:i/>
          <w:sz w:val="22"/>
          <w:szCs w:val="22"/>
        </w:rPr>
        <w:t>N</w:t>
      </w:r>
      <w:r>
        <w:rPr>
          <w:sz w:val="22"/>
          <w:szCs w:val="22"/>
        </w:rPr>
        <w:t xml:space="preserve"> is </w:t>
      </w:r>
      <w:r w:rsidR="00926E61">
        <w:rPr>
          <w:sz w:val="22"/>
          <w:szCs w:val="22"/>
        </w:rPr>
        <w:t>greater than</w:t>
      </w:r>
      <w:r>
        <w:rPr>
          <w:sz w:val="22"/>
          <w:szCs w:val="22"/>
        </w:rPr>
        <w:t xml:space="preserve"> zero, </w:t>
      </w:r>
      <w:r w:rsidR="003B544A">
        <w:rPr>
          <w:sz w:val="22"/>
          <w:szCs w:val="22"/>
        </w:rPr>
        <w:t>one set of amplitudes</w:t>
      </w:r>
      <w:r w:rsidR="00292052">
        <w:rPr>
          <w:sz w:val="22"/>
          <w:szCs w:val="22"/>
        </w:rPr>
        <w:t xml:space="preserve"> are</w:t>
      </w:r>
      <w:r>
        <w:rPr>
          <w:sz w:val="22"/>
          <w:szCs w:val="22"/>
        </w:rPr>
        <w:t xml:space="preserve"> obtained for each group of </w:t>
      </w:r>
      <w:r w:rsidRPr="004519E1">
        <w:rPr>
          <w:i/>
          <w:sz w:val="22"/>
          <w:szCs w:val="22"/>
        </w:rPr>
        <w:t>N</w:t>
      </w:r>
      <w:r>
        <w:rPr>
          <w:sz w:val="22"/>
          <w:szCs w:val="22"/>
        </w:rPr>
        <w:t xml:space="preserve"> consecutive TRN subfields</w:t>
      </w:r>
      <w:r w:rsidR="00316579">
        <w:rPr>
          <w:sz w:val="22"/>
          <w:szCs w:val="22"/>
        </w:rPr>
        <w:t xml:space="preserve"> that have the same AWV feedback ID, as defined </w:t>
      </w:r>
      <w:r w:rsidR="00316579" w:rsidRPr="00316579">
        <w:rPr>
          <w:sz w:val="22"/>
          <w:szCs w:val="22"/>
        </w:rPr>
        <w:t>in 30.9.2.2.5</w:t>
      </w:r>
      <w:r w:rsidRPr="00316579">
        <w:rPr>
          <w:sz w:val="22"/>
          <w:szCs w:val="22"/>
        </w:rPr>
        <w:t>.</w:t>
      </w:r>
      <w:r>
        <w:rPr>
          <w:sz w:val="22"/>
          <w:szCs w:val="22"/>
        </w:rPr>
        <w:t xml:space="preserve"> </w:t>
      </w:r>
      <w:r w:rsidRPr="009E632B">
        <w:rPr>
          <w:sz w:val="22"/>
          <w:szCs w:val="22"/>
        </w:rPr>
        <w:t xml:space="preserve">The </w:t>
      </w:r>
      <w:r w:rsidR="004519E1">
        <w:rPr>
          <w:sz w:val="22"/>
          <w:szCs w:val="22"/>
        </w:rPr>
        <w:t xml:space="preserve">in-phase and quadrature components of the selected taps </w:t>
      </w:r>
      <w:r w:rsidR="00926E61">
        <w:rPr>
          <w:sz w:val="22"/>
          <w:szCs w:val="22"/>
        </w:rPr>
        <w:t xml:space="preserve">measured using the </w:t>
      </w:r>
      <w:r w:rsidR="00926E61">
        <w:rPr>
          <w:i/>
          <w:sz w:val="22"/>
          <w:szCs w:val="22"/>
        </w:rPr>
        <w:t>k</w:t>
      </w:r>
      <w:r w:rsidR="00926E61">
        <w:rPr>
          <w:sz w:val="22"/>
          <w:szCs w:val="22"/>
          <w:vertAlign w:val="superscript"/>
        </w:rPr>
        <w:t>th</w:t>
      </w:r>
      <w:r w:rsidR="00926E61">
        <w:rPr>
          <w:sz w:val="22"/>
          <w:szCs w:val="22"/>
        </w:rPr>
        <w:t xml:space="preserve"> TRN subfield (if </w:t>
      </w:r>
      <w:r w:rsidR="00926E61" w:rsidRPr="004519E1">
        <w:rPr>
          <w:i/>
          <w:sz w:val="22"/>
          <w:szCs w:val="22"/>
        </w:rPr>
        <w:t>N</w:t>
      </w:r>
      <w:r w:rsidR="00926E61">
        <w:rPr>
          <w:sz w:val="22"/>
          <w:szCs w:val="22"/>
        </w:rPr>
        <w:t xml:space="preserve"> is equal to zero) or </w:t>
      </w:r>
      <w:r w:rsidR="00926E61">
        <w:rPr>
          <w:i/>
          <w:sz w:val="22"/>
          <w:szCs w:val="22"/>
        </w:rPr>
        <w:t>k</w:t>
      </w:r>
      <w:r w:rsidR="00926E61">
        <w:rPr>
          <w:sz w:val="22"/>
          <w:szCs w:val="22"/>
          <w:vertAlign w:val="superscript"/>
        </w:rPr>
        <w:t>th</w:t>
      </w:r>
      <w:r w:rsidR="00926E61">
        <w:rPr>
          <w:sz w:val="22"/>
          <w:szCs w:val="22"/>
        </w:rPr>
        <w:t xml:space="preserve"> group of </w:t>
      </w:r>
      <w:r w:rsidR="00926E61" w:rsidRPr="004519E1">
        <w:rPr>
          <w:i/>
          <w:sz w:val="22"/>
          <w:szCs w:val="22"/>
        </w:rPr>
        <w:t>N</w:t>
      </w:r>
      <w:r w:rsidR="00926E61">
        <w:rPr>
          <w:sz w:val="22"/>
          <w:szCs w:val="22"/>
        </w:rPr>
        <w:t xml:space="preserve"> consecutive TRN subfields that have the same AWV feedback ID (if </w:t>
      </w:r>
      <w:r w:rsidR="00926E61">
        <w:rPr>
          <w:i/>
          <w:sz w:val="22"/>
          <w:szCs w:val="22"/>
        </w:rPr>
        <w:t>N</w:t>
      </w:r>
      <w:r w:rsidR="00926E61">
        <w:rPr>
          <w:sz w:val="22"/>
          <w:szCs w:val="22"/>
        </w:rPr>
        <w:t xml:space="preserve"> is greater than zero) included in the Channel Measurement </w:t>
      </w:r>
      <w:r w:rsidR="00926E61">
        <w:rPr>
          <w:i/>
          <w:sz w:val="22"/>
          <w:szCs w:val="22"/>
        </w:rPr>
        <w:t>k</w:t>
      </w:r>
      <w:r w:rsidR="00926E61">
        <w:rPr>
          <w:sz w:val="22"/>
          <w:szCs w:val="22"/>
        </w:rPr>
        <w:t xml:space="preserve"> subfield of the Channel Measurement field within the </w:t>
      </w:r>
      <w:r w:rsidR="00926E61" w:rsidRPr="00B52593">
        <w:rPr>
          <w:sz w:val="22"/>
          <w:szCs w:val="22"/>
        </w:rPr>
        <w:t>Channel Measurement Feedback element</w:t>
      </w:r>
      <w:r w:rsidR="0015101C" w:rsidRPr="00597164">
        <w:rPr>
          <w:sz w:val="22"/>
          <w:szCs w:val="22"/>
        </w:rPr>
        <w:t>. A</w:t>
      </w:r>
      <w:r w:rsidR="00926E61" w:rsidRPr="00597164">
        <w:rPr>
          <w:sz w:val="22"/>
          <w:szCs w:val="22"/>
        </w:rPr>
        <w:t>s defined in 9.4.2.136</w:t>
      </w:r>
      <w:r w:rsidR="0015101C" w:rsidRPr="00597164">
        <w:rPr>
          <w:sz w:val="22"/>
          <w:szCs w:val="22"/>
        </w:rPr>
        <w:t>, the in-phase and quadrature values in the Channel Measurement field are normalized with respect to the tap with largest magnitude over all measurements made using the TRN field of the EDMG BRP-TX packet.</w:t>
      </w:r>
    </w:p>
    <w:p w14:paraId="6ACA3875" w14:textId="77777777" w:rsidR="00DA1907" w:rsidRDefault="00DA1907" w:rsidP="004519E1">
      <w:pPr>
        <w:pStyle w:val="IEEEStdsParagraph"/>
        <w:rPr>
          <w:color w:val="FF0000"/>
          <w:sz w:val="22"/>
          <w:szCs w:val="22"/>
        </w:rPr>
      </w:pPr>
    </w:p>
    <w:p w14:paraId="6AE4D0F8" w14:textId="77777777" w:rsidR="00DA1907" w:rsidRDefault="00DA1907" w:rsidP="004519E1">
      <w:pPr>
        <w:pStyle w:val="IEEEStdsParagraph"/>
        <w:rPr>
          <w:color w:val="FF0000"/>
          <w:sz w:val="22"/>
          <w:szCs w:val="22"/>
        </w:rPr>
      </w:pPr>
    </w:p>
    <w:p w14:paraId="6731ACA8" w14:textId="3C29B851" w:rsidR="00DA1907" w:rsidRDefault="00597164" w:rsidP="004519E1">
      <w:pPr>
        <w:pStyle w:val="IEEEStdsParagraph"/>
        <w:rPr>
          <w:sz w:val="22"/>
          <w:szCs w:val="22"/>
        </w:rPr>
      </w:pPr>
      <w:r>
        <w:rPr>
          <w:b/>
        </w:rPr>
        <w:t>SP</w:t>
      </w:r>
      <w:r>
        <w:t xml:space="preserve">: </w:t>
      </w:r>
      <w:r w:rsidR="00DA1907" w:rsidRPr="00DA1907">
        <w:rPr>
          <w:sz w:val="22"/>
          <w:szCs w:val="22"/>
        </w:rPr>
        <w:t>Do you agree to accept the resolutions given</w:t>
      </w:r>
      <w:r w:rsidR="005A54D5">
        <w:rPr>
          <w:sz w:val="22"/>
          <w:szCs w:val="22"/>
        </w:rPr>
        <w:t xml:space="preserve"> in 11-17</w:t>
      </w:r>
      <w:bookmarkStart w:id="2" w:name="_GoBack"/>
      <w:bookmarkEnd w:id="2"/>
      <w:r w:rsidR="005A54D5">
        <w:rPr>
          <w:sz w:val="22"/>
          <w:szCs w:val="22"/>
        </w:rPr>
        <w:t>/</w:t>
      </w:r>
      <w:r w:rsidR="00DA1907">
        <w:rPr>
          <w:sz w:val="22"/>
          <w:szCs w:val="22"/>
        </w:rPr>
        <w:t>1175</w:t>
      </w:r>
      <w:r w:rsidR="00DA1907" w:rsidRPr="00DA1907">
        <w:rPr>
          <w:sz w:val="22"/>
          <w:szCs w:val="22"/>
        </w:rPr>
        <w:t>-0</w:t>
      </w:r>
      <w:r w:rsidR="00796A8A">
        <w:rPr>
          <w:sz w:val="22"/>
          <w:szCs w:val="22"/>
        </w:rPr>
        <w:t>1</w:t>
      </w:r>
      <w:r w:rsidR="00DA1907" w:rsidRPr="00DA1907">
        <w:rPr>
          <w:sz w:val="22"/>
          <w:szCs w:val="22"/>
        </w:rPr>
        <w:t xml:space="preserve"> to the following CIDs: </w:t>
      </w:r>
      <w:r w:rsidR="00DA1907">
        <w:rPr>
          <w:sz w:val="22"/>
          <w:szCs w:val="22"/>
        </w:rPr>
        <w:t>74, 76, 102, 292, 295, 297, 301, 332, 399, 430, and 431</w:t>
      </w:r>
      <w:r w:rsidR="00DA1907" w:rsidRPr="00DA1907">
        <w:rPr>
          <w:sz w:val="22"/>
          <w:szCs w:val="22"/>
        </w:rPr>
        <w:t>?</w:t>
      </w:r>
    </w:p>
    <w:p w14:paraId="61F8F075" w14:textId="77777777" w:rsidR="00216413" w:rsidRDefault="00216413" w:rsidP="004519E1">
      <w:pPr>
        <w:pStyle w:val="IEEEStdsParagraph"/>
        <w:rPr>
          <w:sz w:val="22"/>
          <w:szCs w:val="22"/>
        </w:rPr>
      </w:pPr>
    </w:p>
    <w:sectPr w:rsidR="0021641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78211" w14:textId="77777777" w:rsidR="0021740B" w:rsidRDefault="0021740B">
      <w:r>
        <w:separator/>
      </w:r>
    </w:p>
  </w:endnote>
  <w:endnote w:type="continuationSeparator" w:id="0">
    <w:p w14:paraId="7E0C9B91" w14:textId="77777777" w:rsidR="0021740B" w:rsidRDefault="0021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6F62F887" w:rsidR="00292052" w:rsidRDefault="0021740B">
    <w:pPr>
      <w:pStyle w:val="Footer"/>
      <w:tabs>
        <w:tab w:val="clear" w:pos="6480"/>
        <w:tab w:val="center" w:pos="4680"/>
        <w:tab w:val="right" w:pos="9360"/>
      </w:tabs>
    </w:pPr>
    <w:r>
      <w:fldChar w:fldCharType="begin"/>
    </w:r>
    <w:r>
      <w:instrText xml:space="preserve"> SUBJECT  \* MERGEFORMAT </w:instrText>
    </w:r>
    <w:r>
      <w:fldChar w:fldCharType="separate"/>
    </w:r>
    <w:r w:rsidR="00292052">
      <w:t>Submission</w:t>
    </w:r>
    <w:r>
      <w:fldChar w:fldCharType="end"/>
    </w:r>
    <w:r w:rsidR="00292052">
      <w:tab/>
      <w:t xml:space="preserve">page </w:t>
    </w:r>
    <w:r w:rsidR="00292052">
      <w:fldChar w:fldCharType="begin"/>
    </w:r>
    <w:r w:rsidR="00292052">
      <w:instrText xml:space="preserve">page </w:instrText>
    </w:r>
    <w:r w:rsidR="00292052">
      <w:fldChar w:fldCharType="separate"/>
    </w:r>
    <w:r w:rsidR="005A54D5">
      <w:rPr>
        <w:noProof/>
      </w:rPr>
      <w:t>7</w:t>
    </w:r>
    <w:r w:rsidR="00292052">
      <w:fldChar w:fldCharType="end"/>
    </w:r>
    <w:r w:rsidR="00292052">
      <w:tab/>
    </w:r>
    <w:r>
      <w:fldChar w:fldCharType="begin"/>
    </w:r>
    <w:r>
      <w:instrText xml:space="preserve"> COMMENTS  \* MERGEFORMAT </w:instrText>
    </w:r>
    <w:r>
      <w:fldChar w:fldCharType="separate"/>
    </w:r>
    <w:r w:rsidR="00292052">
      <w:t>Claudio da Silva, Intel</w:t>
    </w:r>
    <w:r>
      <w:fldChar w:fldCharType="end"/>
    </w:r>
  </w:p>
  <w:p w14:paraId="2FB899CE" w14:textId="77777777" w:rsidR="00292052" w:rsidRDefault="00292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A3E32" w14:textId="77777777" w:rsidR="0021740B" w:rsidRDefault="0021740B">
      <w:r>
        <w:separator/>
      </w:r>
    </w:p>
  </w:footnote>
  <w:footnote w:type="continuationSeparator" w:id="0">
    <w:p w14:paraId="0BDE0179" w14:textId="77777777" w:rsidR="0021740B" w:rsidRDefault="00217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77D29BA3" w:rsidR="00292052" w:rsidRDefault="0021740B">
    <w:pPr>
      <w:pStyle w:val="Header"/>
      <w:tabs>
        <w:tab w:val="clear" w:pos="6480"/>
        <w:tab w:val="center" w:pos="4680"/>
        <w:tab w:val="right" w:pos="9360"/>
      </w:tabs>
    </w:pPr>
    <w:r>
      <w:fldChar w:fldCharType="begin"/>
    </w:r>
    <w:r>
      <w:instrText xml:space="preserve"> KEYWORDS  \* MERGEFORMAT </w:instrText>
    </w:r>
    <w:r>
      <w:fldChar w:fldCharType="separate"/>
    </w:r>
    <w:r w:rsidR="00364A72">
      <w:t>July</w:t>
    </w:r>
    <w:r w:rsidR="00292052">
      <w:t xml:space="preserve"> 2017</w:t>
    </w:r>
    <w:r>
      <w:fldChar w:fldCharType="end"/>
    </w:r>
    <w:r w:rsidR="00292052">
      <w:tab/>
    </w:r>
    <w:r w:rsidR="00292052">
      <w:tab/>
    </w:r>
    <w:r>
      <w:fldChar w:fldCharType="begin"/>
    </w:r>
    <w:r>
      <w:instrText xml:space="preserve"> TITLE  \* MERGEFORMAT </w:instrText>
    </w:r>
    <w:r>
      <w:fldChar w:fldCharType="separate"/>
    </w:r>
    <w:r w:rsidR="00292052">
      <w:t>doc.: IEEE 802.11-17/1175r0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046"/>
    <w:multiLevelType w:val="hybridMultilevel"/>
    <w:tmpl w:val="B60E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5C1548A3"/>
    <w:multiLevelType w:val="hybridMultilevel"/>
    <w:tmpl w:val="6122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4150E"/>
    <w:multiLevelType w:val="hybridMultilevel"/>
    <w:tmpl w:val="F4BE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4B9"/>
    <w:rsid w:val="0000386A"/>
    <w:rsid w:val="00005B29"/>
    <w:rsid w:val="000106AE"/>
    <w:rsid w:val="000138FC"/>
    <w:rsid w:val="0007676C"/>
    <w:rsid w:val="0008793B"/>
    <w:rsid w:val="000A02ED"/>
    <w:rsid w:val="000B13A9"/>
    <w:rsid w:val="000B6B10"/>
    <w:rsid w:val="000C017A"/>
    <w:rsid w:val="000C64C6"/>
    <w:rsid w:val="000E00AB"/>
    <w:rsid w:val="000E5EDC"/>
    <w:rsid w:val="000F6B29"/>
    <w:rsid w:val="00105F09"/>
    <w:rsid w:val="00111203"/>
    <w:rsid w:val="001113B2"/>
    <w:rsid w:val="00137807"/>
    <w:rsid w:val="00143889"/>
    <w:rsid w:val="0014595A"/>
    <w:rsid w:val="0015101C"/>
    <w:rsid w:val="00175BB1"/>
    <w:rsid w:val="0018399F"/>
    <w:rsid w:val="001B315B"/>
    <w:rsid w:val="001B73AF"/>
    <w:rsid w:val="001C29C9"/>
    <w:rsid w:val="001C4326"/>
    <w:rsid w:val="001D723B"/>
    <w:rsid w:val="001E2A22"/>
    <w:rsid w:val="0020467A"/>
    <w:rsid w:val="002127A3"/>
    <w:rsid w:val="00216413"/>
    <w:rsid w:val="0021740B"/>
    <w:rsid w:val="00226E6D"/>
    <w:rsid w:val="00230FA4"/>
    <w:rsid w:val="002342B6"/>
    <w:rsid w:val="00247B8F"/>
    <w:rsid w:val="0025618F"/>
    <w:rsid w:val="002740AE"/>
    <w:rsid w:val="00282DD0"/>
    <w:rsid w:val="00283EBB"/>
    <w:rsid w:val="00284314"/>
    <w:rsid w:val="00290041"/>
    <w:rsid w:val="0029020B"/>
    <w:rsid w:val="00292052"/>
    <w:rsid w:val="002939FF"/>
    <w:rsid w:val="002A32EF"/>
    <w:rsid w:val="002A4163"/>
    <w:rsid w:val="002A6C56"/>
    <w:rsid w:val="002B25D4"/>
    <w:rsid w:val="002D44BE"/>
    <w:rsid w:val="002D4B04"/>
    <w:rsid w:val="002D6CAE"/>
    <w:rsid w:val="002F2128"/>
    <w:rsid w:val="0031054C"/>
    <w:rsid w:val="00313AAC"/>
    <w:rsid w:val="00316579"/>
    <w:rsid w:val="003230F8"/>
    <w:rsid w:val="00332455"/>
    <w:rsid w:val="0036295B"/>
    <w:rsid w:val="003633D4"/>
    <w:rsid w:val="00364A72"/>
    <w:rsid w:val="0037157B"/>
    <w:rsid w:val="003B544A"/>
    <w:rsid w:val="003E4CF8"/>
    <w:rsid w:val="003E6192"/>
    <w:rsid w:val="003F3682"/>
    <w:rsid w:val="00424881"/>
    <w:rsid w:val="00442037"/>
    <w:rsid w:val="00442901"/>
    <w:rsid w:val="004519E1"/>
    <w:rsid w:val="004678F3"/>
    <w:rsid w:val="00467B4D"/>
    <w:rsid w:val="00471714"/>
    <w:rsid w:val="00475C3C"/>
    <w:rsid w:val="004A0F3F"/>
    <w:rsid w:val="004B064B"/>
    <w:rsid w:val="004B1F1D"/>
    <w:rsid w:val="004C1EB3"/>
    <w:rsid w:val="004D6D1D"/>
    <w:rsid w:val="004E2E7F"/>
    <w:rsid w:val="004E322F"/>
    <w:rsid w:val="004F1D61"/>
    <w:rsid w:val="0051467D"/>
    <w:rsid w:val="005219BE"/>
    <w:rsid w:val="00521AD7"/>
    <w:rsid w:val="005825E9"/>
    <w:rsid w:val="005950C0"/>
    <w:rsid w:val="00597164"/>
    <w:rsid w:val="005A187A"/>
    <w:rsid w:val="005A54D5"/>
    <w:rsid w:val="005B73FB"/>
    <w:rsid w:val="005B7C5E"/>
    <w:rsid w:val="005C39C4"/>
    <w:rsid w:val="005D1FA9"/>
    <w:rsid w:val="005D7EC5"/>
    <w:rsid w:val="005E4EF1"/>
    <w:rsid w:val="0062440B"/>
    <w:rsid w:val="00635150"/>
    <w:rsid w:val="00637930"/>
    <w:rsid w:val="0064306F"/>
    <w:rsid w:val="00661133"/>
    <w:rsid w:val="00671F07"/>
    <w:rsid w:val="00686402"/>
    <w:rsid w:val="00686A7B"/>
    <w:rsid w:val="00686D03"/>
    <w:rsid w:val="006A0543"/>
    <w:rsid w:val="006A2CF9"/>
    <w:rsid w:val="006A5A9A"/>
    <w:rsid w:val="006A6401"/>
    <w:rsid w:val="006A6CA5"/>
    <w:rsid w:val="006B0C97"/>
    <w:rsid w:val="006B2925"/>
    <w:rsid w:val="006B5D67"/>
    <w:rsid w:val="006C0727"/>
    <w:rsid w:val="006C114E"/>
    <w:rsid w:val="006C2822"/>
    <w:rsid w:val="006D2C59"/>
    <w:rsid w:val="006E145F"/>
    <w:rsid w:val="00706664"/>
    <w:rsid w:val="007200D0"/>
    <w:rsid w:val="00722C24"/>
    <w:rsid w:val="00725152"/>
    <w:rsid w:val="00725A24"/>
    <w:rsid w:val="0073149A"/>
    <w:rsid w:val="007423C7"/>
    <w:rsid w:val="00746750"/>
    <w:rsid w:val="00751490"/>
    <w:rsid w:val="00756346"/>
    <w:rsid w:val="00766747"/>
    <w:rsid w:val="00770572"/>
    <w:rsid w:val="0078594A"/>
    <w:rsid w:val="00792800"/>
    <w:rsid w:val="00796A8A"/>
    <w:rsid w:val="007A0241"/>
    <w:rsid w:val="007A0E0A"/>
    <w:rsid w:val="007A23B8"/>
    <w:rsid w:val="007A7F52"/>
    <w:rsid w:val="007B1B08"/>
    <w:rsid w:val="007B76B9"/>
    <w:rsid w:val="007E79F9"/>
    <w:rsid w:val="007F3CF5"/>
    <w:rsid w:val="00821C5C"/>
    <w:rsid w:val="00832257"/>
    <w:rsid w:val="00837697"/>
    <w:rsid w:val="0084733E"/>
    <w:rsid w:val="00854BE3"/>
    <w:rsid w:val="008570DF"/>
    <w:rsid w:val="00870EB3"/>
    <w:rsid w:val="00880ED4"/>
    <w:rsid w:val="00881F0B"/>
    <w:rsid w:val="0088497A"/>
    <w:rsid w:val="00886602"/>
    <w:rsid w:val="00892658"/>
    <w:rsid w:val="008C3309"/>
    <w:rsid w:val="008E420B"/>
    <w:rsid w:val="008F0A12"/>
    <w:rsid w:val="00903FA4"/>
    <w:rsid w:val="00906BF4"/>
    <w:rsid w:val="00922915"/>
    <w:rsid w:val="00926E61"/>
    <w:rsid w:val="00934827"/>
    <w:rsid w:val="00943348"/>
    <w:rsid w:val="00962D62"/>
    <w:rsid w:val="00971358"/>
    <w:rsid w:val="0097420A"/>
    <w:rsid w:val="009763DF"/>
    <w:rsid w:val="009A6E39"/>
    <w:rsid w:val="009B6FAB"/>
    <w:rsid w:val="009E0D0C"/>
    <w:rsid w:val="009F2FBC"/>
    <w:rsid w:val="009F5826"/>
    <w:rsid w:val="009F78AF"/>
    <w:rsid w:val="00A16198"/>
    <w:rsid w:val="00A20750"/>
    <w:rsid w:val="00A21B63"/>
    <w:rsid w:val="00A434C6"/>
    <w:rsid w:val="00A52FC8"/>
    <w:rsid w:val="00A55B46"/>
    <w:rsid w:val="00A56639"/>
    <w:rsid w:val="00A566BF"/>
    <w:rsid w:val="00A635BD"/>
    <w:rsid w:val="00A72AF1"/>
    <w:rsid w:val="00A748DB"/>
    <w:rsid w:val="00A768C9"/>
    <w:rsid w:val="00A85363"/>
    <w:rsid w:val="00A9516C"/>
    <w:rsid w:val="00A97D33"/>
    <w:rsid w:val="00AA427C"/>
    <w:rsid w:val="00AC65F3"/>
    <w:rsid w:val="00AD19D1"/>
    <w:rsid w:val="00AE23C1"/>
    <w:rsid w:val="00AE7527"/>
    <w:rsid w:val="00B01B16"/>
    <w:rsid w:val="00B2071F"/>
    <w:rsid w:val="00B22BD8"/>
    <w:rsid w:val="00B26842"/>
    <w:rsid w:val="00B27013"/>
    <w:rsid w:val="00B44FE6"/>
    <w:rsid w:val="00B52593"/>
    <w:rsid w:val="00B67056"/>
    <w:rsid w:val="00B767C8"/>
    <w:rsid w:val="00B85AFC"/>
    <w:rsid w:val="00BA0693"/>
    <w:rsid w:val="00BB5D7F"/>
    <w:rsid w:val="00BC7F38"/>
    <w:rsid w:val="00BD0544"/>
    <w:rsid w:val="00BD750E"/>
    <w:rsid w:val="00BE68C2"/>
    <w:rsid w:val="00BF33E2"/>
    <w:rsid w:val="00BF70CC"/>
    <w:rsid w:val="00C0117F"/>
    <w:rsid w:val="00C01913"/>
    <w:rsid w:val="00C046B9"/>
    <w:rsid w:val="00C21852"/>
    <w:rsid w:val="00C41BC0"/>
    <w:rsid w:val="00C43087"/>
    <w:rsid w:val="00C57C4A"/>
    <w:rsid w:val="00C61532"/>
    <w:rsid w:val="00C75A1E"/>
    <w:rsid w:val="00C801E8"/>
    <w:rsid w:val="00C95654"/>
    <w:rsid w:val="00C966F7"/>
    <w:rsid w:val="00C969BA"/>
    <w:rsid w:val="00CA09B2"/>
    <w:rsid w:val="00CA44AD"/>
    <w:rsid w:val="00CA5E88"/>
    <w:rsid w:val="00CA6EBF"/>
    <w:rsid w:val="00CA73CD"/>
    <w:rsid w:val="00CB3987"/>
    <w:rsid w:val="00CB7F31"/>
    <w:rsid w:val="00CC1A76"/>
    <w:rsid w:val="00CE516F"/>
    <w:rsid w:val="00CE72E5"/>
    <w:rsid w:val="00D06A88"/>
    <w:rsid w:val="00D07609"/>
    <w:rsid w:val="00D101F6"/>
    <w:rsid w:val="00D225FF"/>
    <w:rsid w:val="00D276AE"/>
    <w:rsid w:val="00D75B21"/>
    <w:rsid w:val="00D91380"/>
    <w:rsid w:val="00D91C07"/>
    <w:rsid w:val="00D96233"/>
    <w:rsid w:val="00D970FC"/>
    <w:rsid w:val="00DA1907"/>
    <w:rsid w:val="00DC1EBF"/>
    <w:rsid w:val="00DC2F38"/>
    <w:rsid w:val="00DC570F"/>
    <w:rsid w:val="00DC5A7B"/>
    <w:rsid w:val="00DF0160"/>
    <w:rsid w:val="00DF279C"/>
    <w:rsid w:val="00DF47F4"/>
    <w:rsid w:val="00E002EC"/>
    <w:rsid w:val="00E17A4A"/>
    <w:rsid w:val="00E242BD"/>
    <w:rsid w:val="00E32EDE"/>
    <w:rsid w:val="00E470FB"/>
    <w:rsid w:val="00E57C80"/>
    <w:rsid w:val="00E63233"/>
    <w:rsid w:val="00E70AF1"/>
    <w:rsid w:val="00E70E45"/>
    <w:rsid w:val="00E710F1"/>
    <w:rsid w:val="00E82F85"/>
    <w:rsid w:val="00E8741E"/>
    <w:rsid w:val="00EA0525"/>
    <w:rsid w:val="00EA31B4"/>
    <w:rsid w:val="00EB6ACE"/>
    <w:rsid w:val="00ED6AD2"/>
    <w:rsid w:val="00EE3F14"/>
    <w:rsid w:val="00EF14C9"/>
    <w:rsid w:val="00EF2908"/>
    <w:rsid w:val="00EF2C29"/>
    <w:rsid w:val="00F31789"/>
    <w:rsid w:val="00F52C0F"/>
    <w:rsid w:val="00F63FC0"/>
    <w:rsid w:val="00F836A5"/>
    <w:rsid w:val="00F94C6A"/>
    <w:rsid w:val="00FC32EC"/>
    <w:rsid w:val="00FD6ED9"/>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styleId="ListParagraph">
    <w:name w:val="List Paragraph"/>
    <w:basedOn w:val="Normal"/>
    <w:uiPriority w:val="34"/>
    <w:qFormat/>
    <w:rsid w:val="00C0117F"/>
    <w:pPr>
      <w:ind w:left="720"/>
      <w:contextualSpacing/>
    </w:pPr>
  </w:style>
  <w:style w:type="paragraph" w:customStyle="1" w:styleId="IEEEStdsTableData-Center">
    <w:name w:val="IEEEStds Table Data - Center"/>
    <w:basedOn w:val="IEEEStdsParagraph"/>
    <w:rsid w:val="00DF0160"/>
    <w:pPr>
      <w:keepNext/>
      <w:keepLines/>
      <w:spacing w:after="0"/>
      <w:jc w:val="center"/>
    </w:pPr>
    <w:rPr>
      <w:sz w:val="18"/>
    </w:rPr>
  </w:style>
  <w:style w:type="paragraph" w:customStyle="1" w:styleId="IEEEStdsRegularTableCaption">
    <w:name w:val="IEEEStds Regular Table Caption"/>
    <w:basedOn w:val="IEEEStdsParagraph"/>
    <w:next w:val="IEEEStdsParagraph"/>
    <w:rsid w:val="00DF0160"/>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paragraph" w:styleId="NoSpacing">
    <w:name w:val="No Spacing"/>
    <w:uiPriority w:val="1"/>
    <w:qFormat/>
    <w:rsid w:val="00E8741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904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3285935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20863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13</TotalTime>
  <Pages>8</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802.11-17/1175r0</vt:lpstr>
    </vt:vector>
  </TitlesOfParts>
  <Company>Some Company</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802.11-17/1175r0</dc:title>
  <dc:subject>Submission</dc:subject>
  <dc:creator>Da Silva, Claudio</dc:creator>
  <cp:keywords>July 2017</cp:keywords>
  <dc:description>Claudio da Silva, Intel</dc:description>
  <cp:lastModifiedBy>Da Silva, Claudio</cp:lastModifiedBy>
  <cp:revision>5</cp:revision>
  <cp:lastPrinted>2017-02-23T01:37:00Z</cp:lastPrinted>
  <dcterms:created xsi:type="dcterms:W3CDTF">2017-07-26T14:48:00Z</dcterms:created>
  <dcterms:modified xsi:type="dcterms:W3CDTF">2017-07-26T15:01:00Z</dcterms:modified>
</cp:coreProperties>
</file>