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505132E0" w:rsidR="00C723BC" w:rsidRPr="00183F4C" w:rsidRDefault="009A219E" w:rsidP="0004227B">
            <w:pPr>
              <w:pStyle w:val="T2"/>
            </w:pPr>
            <w:r>
              <w:rPr>
                <w:lang w:eastAsia="ko-KR"/>
              </w:rPr>
              <w:t xml:space="preserve">Spec text </w:t>
            </w:r>
            <w:r w:rsidR="007F42D1">
              <w:rPr>
                <w:lang w:eastAsia="ko-KR"/>
              </w:rPr>
              <w:t>CID 8426</w:t>
            </w:r>
          </w:p>
        </w:tc>
      </w:tr>
      <w:tr w:rsidR="00C723BC" w:rsidRPr="00183F4C" w14:paraId="49A1434E" w14:textId="77777777" w:rsidTr="000C1267">
        <w:trPr>
          <w:trHeight w:val="359"/>
          <w:jc w:val="center"/>
        </w:trPr>
        <w:tc>
          <w:tcPr>
            <w:tcW w:w="10026" w:type="dxa"/>
            <w:gridSpan w:val="5"/>
            <w:vAlign w:val="center"/>
          </w:tcPr>
          <w:p w14:paraId="04E112F7" w14:textId="3FC14CA6"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F42D1">
              <w:rPr>
                <w:b w:val="0"/>
                <w:sz w:val="20"/>
                <w:lang w:eastAsia="ko-KR"/>
              </w:rPr>
              <w:t>7</w:t>
            </w:r>
            <w:r>
              <w:rPr>
                <w:rFonts w:hint="eastAsia"/>
                <w:b w:val="0"/>
                <w:sz w:val="20"/>
                <w:lang w:eastAsia="ko-KR"/>
              </w:rPr>
              <w:t>-</w:t>
            </w:r>
            <w:r w:rsidR="007F42D1">
              <w:rPr>
                <w:b w:val="0"/>
                <w:sz w:val="20"/>
                <w:lang w:eastAsia="ko-KR"/>
              </w:rPr>
              <w:t>12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bookmarkStart w:id="0" w:name="_GoBack"/>
        <w:bookmarkEnd w:id="0"/>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r w:rsidR="008677EB" w:rsidRPr="00183F4C" w14:paraId="02CF1EC7" w14:textId="77777777" w:rsidTr="000C1267">
        <w:trPr>
          <w:trHeight w:val="359"/>
          <w:jc w:val="center"/>
        </w:trPr>
        <w:tc>
          <w:tcPr>
            <w:tcW w:w="1548" w:type="dxa"/>
            <w:vAlign w:val="center"/>
          </w:tcPr>
          <w:p w14:paraId="448ABE7B" w14:textId="77777777" w:rsidR="008677EB" w:rsidRPr="008677EB" w:rsidRDefault="008677EB" w:rsidP="008677EB">
            <w:pPr>
              <w:pStyle w:val="T2"/>
              <w:spacing w:after="0"/>
              <w:ind w:left="0" w:right="0"/>
              <w:jc w:val="left"/>
              <w:rPr>
                <w:b w:val="0"/>
                <w:sz w:val="18"/>
                <w:szCs w:val="18"/>
                <w:lang w:eastAsia="ko-KR"/>
              </w:rPr>
            </w:pPr>
            <w:r w:rsidRPr="008677EB">
              <w:rPr>
                <w:b w:val="0"/>
                <w:sz w:val="18"/>
                <w:szCs w:val="18"/>
                <w:lang w:eastAsia="ko-KR"/>
              </w:rPr>
              <w:t xml:space="preserve">Laurent </w:t>
            </w:r>
            <w:proofErr w:type="spellStart"/>
            <w:r w:rsidRPr="008677EB">
              <w:rPr>
                <w:b w:val="0"/>
                <w:sz w:val="18"/>
                <w:szCs w:val="18"/>
                <w:lang w:eastAsia="ko-KR"/>
              </w:rPr>
              <w:t>Cariou</w:t>
            </w:r>
            <w:proofErr w:type="spellEnd"/>
          </w:p>
          <w:p w14:paraId="44D4E2B6" w14:textId="77777777" w:rsidR="008677EB" w:rsidRDefault="008677EB" w:rsidP="000A728D">
            <w:pPr>
              <w:pStyle w:val="T2"/>
              <w:spacing w:after="0"/>
              <w:ind w:left="0" w:right="0"/>
              <w:jc w:val="left"/>
              <w:rPr>
                <w:b w:val="0"/>
                <w:sz w:val="18"/>
                <w:szCs w:val="18"/>
                <w:lang w:eastAsia="ko-KR"/>
              </w:rPr>
            </w:pPr>
          </w:p>
        </w:tc>
        <w:tc>
          <w:tcPr>
            <w:tcW w:w="1440" w:type="dxa"/>
            <w:vAlign w:val="center"/>
          </w:tcPr>
          <w:p w14:paraId="360A4113" w14:textId="5A47B2DF" w:rsidR="008677EB" w:rsidRDefault="008677EB" w:rsidP="000A728D">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26F5164" w14:textId="77777777" w:rsidR="008677EB" w:rsidRPr="0089579B" w:rsidRDefault="008677EB" w:rsidP="000A728D">
            <w:pPr>
              <w:pStyle w:val="T2"/>
              <w:spacing w:after="0"/>
              <w:ind w:left="0" w:right="0"/>
              <w:jc w:val="left"/>
              <w:rPr>
                <w:b w:val="0"/>
                <w:sz w:val="18"/>
                <w:szCs w:val="18"/>
                <w:lang w:eastAsia="ko-KR"/>
              </w:rPr>
            </w:pPr>
          </w:p>
        </w:tc>
        <w:tc>
          <w:tcPr>
            <w:tcW w:w="1458" w:type="dxa"/>
            <w:vAlign w:val="center"/>
          </w:tcPr>
          <w:p w14:paraId="43923ADA" w14:textId="77777777" w:rsidR="008677EB" w:rsidRPr="002C60AE" w:rsidRDefault="008677EB" w:rsidP="000A728D">
            <w:pPr>
              <w:pStyle w:val="T2"/>
              <w:spacing w:after="0"/>
              <w:ind w:left="0" w:right="0"/>
              <w:jc w:val="left"/>
              <w:rPr>
                <w:b w:val="0"/>
                <w:sz w:val="18"/>
                <w:szCs w:val="18"/>
                <w:lang w:eastAsia="ko-KR"/>
              </w:rPr>
            </w:pPr>
          </w:p>
        </w:tc>
        <w:tc>
          <w:tcPr>
            <w:tcW w:w="2970" w:type="dxa"/>
            <w:vAlign w:val="center"/>
          </w:tcPr>
          <w:p w14:paraId="21A838C7" w14:textId="77777777" w:rsidR="008677EB" w:rsidRPr="008677EB" w:rsidRDefault="008677EB" w:rsidP="008677EB">
            <w:pPr>
              <w:pStyle w:val="T2"/>
              <w:spacing w:after="0"/>
              <w:ind w:left="0" w:right="0"/>
              <w:jc w:val="left"/>
              <w:rPr>
                <w:b w:val="0"/>
                <w:sz w:val="18"/>
                <w:szCs w:val="18"/>
                <w:lang w:eastAsia="ko-KR"/>
              </w:rPr>
            </w:pPr>
            <w:r w:rsidRPr="008677EB">
              <w:rPr>
                <w:b w:val="0"/>
                <w:sz w:val="18"/>
                <w:szCs w:val="18"/>
                <w:lang w:eastAsia="ko-KR"/>
              </w:rPr>
              <w:t>Laurent.cariou@intel.com</w:t>
            </w:r>
          </w:p>
          <w:p w14:paraId="5BE888A6" w14:textId="77777777" w:rsidR="008677EB" w:rsidRPr="0089579B" w:rsidRDefault="008677EB" w:rsidP="000A728D">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1BE327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6038A">
        <w:rPr>
          <w:lang w:eastAsia="ko-KR"/>
        </w:rPr>
        <w:t>1.4</w:t>
      </w:r>
      <w:r w:rsidR="00E920E1">
        <w:rPr>
          <w:lang w:eastAsia="ko-KR"/>
        </w:rPr>
        <w:t xml:space="preserve"> with the following CIDs:</w:t>
      </w:r>
    </w:p>
    <w:p w14:paraId="07BFE9C2" w14:textId="41BAD75B" w:rsidR="00E920E1" w:rsidRPr="002F2E6D" w:rsidRDefault="007F42D1" w:rsidP="009B303F">
      <w:pPr>
        <w:pStyle w:val="ListParagraph"/>
        <w:numPr>
          <w:ilvl w:val="0"/>
          <w:numId w:val="10"/>
        </w:numPr>
        <w:ind w:leftChars="0"/>
        <w:jc w:val="both"/>
        <w:rPr>
          <w:lang w:eastAsia="ko-KR"/>
        </w:rPr>
      </w:pPr>
      <w:r>
        <w:rPr>
          <w:lang w:eastAsia="ko-KR"/>
        </w:rPr>
        <w:t xml:space="preserve">8426 </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68A1B5E5" w14:textId="1ECC0FC6" w:rsidR="00F6038A" w:rsidRDefault="00F6038A" w:rsidP="006B1DC2">
      <w:pPr>
        <w:pStyle w:val="ListParagraph"/>
        <w:numPr>
          <w:ilvl w:val="0"/>
          <w:numId w:val="9"/>
        </w:numPr>
        <w:ind w:leftChars="0"/>
        <w:jc w:val="both"/>
      </w:pPr>
      <w:r>
        <w:t xml:space="preserve">Rev 1: Port to D1.4.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A6E3F" w:rsidRPr="001F620B" w14:paraId="5C3E24DD" w14:textId="77777777" w:rsidTr="00AF41BA">
        <w:trPr>
          <w:trHeight w:val="233"/>
        </w:trPr>
        <w:tc>
          <w:tcPr>
            <w:tcW w:w="580" w:type="dxa"/>
            <w:shd w:val="clear" w:color="auto" w:fill="auto"/>
            <w:noWrap/>
          </w:tcPr>
          <w:p w14:paraId="5E197544" w14:textId="7287D178" w:rsidR="00DA6E3F" w:rsidRPr="00A44BEC" w:rsidRDefault="00DA6E3F" w:rsidP="00A44BEC">
            <w:pPr>
              <w:jc w:val="both"/>
              <w:rPr>
                <w:sz w:val="16"/>
                <w:szCs w:val="16"/>
              </w:rPr>
            </w:pPr>
            <w:r w:rsidRPr="00F315AC">
              <w:rPr>
                <w:sz w:val="16"/>
                <w:szCs w:val="16"/>
              </w:rPr>
              <w:t>8426</w:t>
            </w:r>
          </w:p>
        </w:tc>
        <w:tc>
          <w:tcPr>
            <w:tcW w:w="1107" w:type="dxa"/>
            <w:shd w:val="clear" w:color="auto" w:fill="auto"/>
            <w:noWrap/>
          </w:tcPr>
          <w:p w14:paraId="11B4A0FA" w14:textId="5F7BE7D2" w:rsidR="00DA6E3F" w:rsidRPr="00A44BE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5990402E" w14:textId="2F794D77" w:rsidR="00DA6E3F" w:rsidRPr="00A44BEC" w:rsidRDefault="00DA6E3F" w:rsidP="00A44BEC">
            <w:pPr>
              <w:jc w:val="both"/>
              <w:rPr>
                <w:sz w:val="16"/>
                <w:szCs w:val="16"/>
              </w:rPr>
            </w:pPr>
            <w:r w:rsidRPr="005F6108">
              <w:rPr>
                <w:rFonts w:eastAsia="Times New Roman"/>
                <w:bCs/>
                <w:color w:val="000000"/>
                <w:sz w:val="16"/>
                <w:szCs w:val="16"/>
                <w:lang w:val="en-US"/>
              </w:rPr>
              <w:t>25.34</w:t>
            </w:r>
          </w:p>
        </w:tc>
        <w:tc>
          <w:tcPr>
            <w:tcW w:w="3060" w:type="dxa"/>
            <w:shd w:val="clear" w:color="auto" w:fill="auto"/>
            <w:noWrap/>
          </w:tcPr>
          <w:p w14:paraId="728B274E" w14:textId="5B9D9077" w:rsidR="00DA6E3F" w:rsidRPr="00A44BEC" w:rsidRDefault="00DA6E3F" w:rsidP="00A44BEC">
            <w:pPr>
              <w:jc w:val="both"/>
              <w:rPr>
                <w:sz w:val="16"/>
                <w:szCs w:val="16"/>
              </w:rPr>
            </w:pPr>
            <w:r w:rsidRPr="00F315AC">
              <w:rPr>
                <w:sz w:val="16"/>
                <w:szCs w:val="16"/>
              </w:rPr>
              <w:t xml:space="preserve">The two methods for reporting queue size (Queue Size field in </w:t>
            </w:r>
            <w:proofErr w:type="spellStart"/>
            <w:r w:rsidRPr="00F315AC">
              <w:rPr>
                <w:sz w:val="16"/>
                <w:szCs w:val="16"/>
              </w:rPr>
              <w:t>QoS</w:t>
            </w:r>
            <w:proofErr w:type="spellEnd"/>
            <w:r w:rsidRPr="00F315AC">
              <w:rPr>
                <w:sz w:val="16"/>
                <w:szCs w:val="16"/>
              </w:rPr>
              <w:t xml:space="preserve"> Data and BSR A-Control) are not compatible with each other. The Queue Size in </w:t>
            </w:r>
            <w:proofErr w:type="spellStart"/>
            <w:r w:rsidRPr="00F315AC">
              <w:rPr>
                <w:sz w:val="16"/>
                <w:szCs w:val="16"/>
              </w:rPr>
              <w:t>QoS</w:t>
            </w:r>
            <w:proofErr w:type="spellEnd"/>
            <w:r w:rsidRPr="00F315AC">
              <w:rPr>
                <w:sz w:val="16"/>
                <w:szCs w:val="16"/>
              </w:rPr>
              <w:t xml:space="preserve">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710" w:type="dxa"/>
            <w:shd w:val="clear" w:color="auto" w:fill="auto"/>
            <w:noWrap/>
          </w:tcPr>
          <w:p w14:paraId="5F6FC3B6" w14:textId="46BC14F3" w:rsidR="00DA6E3F" w:rsidRPr="00A44BEC" w:rsidRDefault="00DA6E3F" w:rsidP="00A44BEC">
            <w:pPr>
              <w:jc w:val="both"/>
              <w:rPr>
                <w:sz w:val="16"/>
                <w:szCs w:val="16"/>
              </w:rPr>
            </w:pPr>
            <w:r w:rsidRPr="00F315AC">
              <w:rPr>
                <w:sz w:val="16"/>
                <w:szCs w:val="16"/>
              </w:rPr>
              <w:t xml:space="preserve">Change the BSR so that it either reports queue size per TID or simplify it so that it just indicates which </w:t>
            </w:r>
            <w:proofErr w:type="spellStart"/>
            <w:r w:rsidRPr="00F315AC">
              <w:rPr>
                <w:sz w:val="16"/>
                <w:szCs w:val="16"/>
              </w:rPr>
              <w:t>Acs</w:t>
            </w:r>
            <w:proofErr w:type="spellEnd"/>
            <w:r w:rsidRPr="00F315AC">
              <w:rPr>
                <w:sz w:val="16"/>
                <w:szCs w:val="16"/>
              </w:rPr>
              <w:t xml:space="preserve"> have traffic.</w:t>
            </w:r>
          </w:p>
        </w:tc>
        <w:tc>
          <w:tcPr>
            <w:tcW w:w="3301" w:type="dxa"/>
            <w:shd w:val="clear" w:color="auto" w:fill="auto"/>
            <w:vAlign w:val="center"/>
          </w:tcPr>
          <w:p w14:paraId="387C8173" w14:textId="77777777" w:rsidR="00DA6E3F" w:rsidRDefault="00DA6E3F" w:rsidP="00A1220E">
            <w:pPr>
              <w:jc w:val="both"/>
              <w:rPr>
                <w:rFonts w:eastAsia="Times New Roman"/>
                <w:bCs/>
                <w:color w:val="000000"/>
                <w:sz w:val="16"/>
                <w:szCs w:val="16"/>
                <w:lang w:val="en-US"/>
              </w:rPr>
            </w:pPr>
            <w:r>
              <w:rPr>
                <w:rFonts w:eastAsia="Times New Roman"/>
                <w:bCs/>
                <w:color w:val="000000"/>
                <w:sz w:val="16"/>
                <w:szCs w:val="16"/>
                <w:lang w:val="en-US"/>
              </w:rPr>
              <w:t>Revised –</w:t>
            </w:r>
          </w:p>
          <w:p w14:paraId="1B7EE415" w14:textId="77777777" w:rsidR="00DA6E3F" w:rsidRDefault="00DA6E3F" w:rsidP="00A1220E">
            <w:pPr>
              <w:jc w:val="both"/>
              <w:rPr>
                <w:rFonts w:eastAsia="Times New Roman"/>
                <w:bCs/>
                <w:color w:val="000000"/>
                <w:sz w:val="16"/>
                <w:szCs w:val="16"/>
                <w:highlight w:val="yellow"/>
                <w:lang w:val="en-US"/>
              </w:rPr>
            </w:pPr>
          </w:p>
          <w:p w14:paraId="197177E2" w14:textId="77777777" w:rsidR="00DA6E3F" w:rsidRDefault="00DA6E3F" w:rsidP="00A44BEC">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357814E" w14:textId="3631B471" w:rsidR="00DA6E3F" w:rsidRDefault="007F42D1" w:rsidP="00A44BEC">
            <w:pPr>
              <w:jc w:val="both"/>
              <w:rPr>
                <w:rFonts w:eastAsia="Times New Roman"/>
                <w:bCs/>
                <w:color w:val="000000"/>
                <w:sz w:val="16"/>
                <w:szCs w:val="16"/>
                <w:lang w:val="en-US"/>
              </w:rPr>
            </w:pPr>
            <w:r>
              <w:rPr>
                <w:rFonts w:eastAsia="Times New Roman"/>
                <w:bCs/>
                <w:color w:val="000000"/>
                <w:sz w:val="16"/>
                <w:szCs w:val="16"/>
                <w:lang w:val="en-US"/>
              </w:rPr>
              <w:t>Refer to IEEE 802.11-17/1132</w:t>
            </w:r>
            <w:r w:rsidR="00DA6E3F">
              <w:rPr>
                <w:rFonts w:eastAsia="Times New Roman"/>
                <w:bCs/>
                <w:color w:val="000000"/>
                <w:sz w:val="16"/>
                <w:szCs w:val="16"/>
                <w:lang w:val="en-US"/>
              </w:rPr>
              <w:t>r0 for discussions</w:t>
            </w:r>
          </w:p>
          <w:p w14:paraId="047AD627" w14:textId="77777777" w:rsidR="00DA6E3F" w:rsidRDefault="00DA6E3F" w:rsidP="00A44BEC">
            <w:pPr>
              <w:jc w:val="both"/>
              <w:rPr>
                <w:sz w:val="16"/>
                <w:szCs w:val="16"/>
              </w:rPr>
            </w:pPr>
          </w:p>
          <w:p w14:paraId="5DB3F801" w14:textId="7FDE64D2" w:rsidR="00DA6E3F" w:rsidRPr="00D4199D" w:rsidRDefault="00DA6E3F" w:rsidP="00A44BEC">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w:t>
            </w:r>
            <w:r w:rsidR="007F42D1">
              <w:rPr>
                <w:bCs/>
                <w:sz w:val="16"/>
                <w:szCs w:val="18"/>
                <w:lang w:eastAsia="ko-KR"/>
              </w:rPr>
              <w:t xml:space="preserve"> the changes shown in 11-17/1131r0</w:t>
            </w:r>
            <w:r w:rsidRPr="00AF0EEA">
              <w:rPr>
                <w:bCs/>
                <w:sz w:val="16"/>
                <w:szCs w:val="18"/>
                <w:lang w:eastAsia="ko-KR"/>
              </w:rPr>
              <w:t xml:space="preserve"> </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0E6C7769" w:rsidR="00534A56" w:rsidRPr="001E397F"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sidR="000C2252">
        <w:rPr>
          <w:color w:val="000000" w:themeColor="text1"/>
          <w:lang w:val="en-US" w:eastAsia="ko-KR"/>
        </w:rPr>
        <w:t>1132</w:t>
      </w:r>
      <w:r>
        <w:rPr>
          <w:color w:val="000000" w:themeColor="text1"/>
          <w:lang w:val="en-US" w:eastAsia="ko-KR"/>
        </w:rPr>
        <w:t>r0</w:t>
      </w:r>
      <w:r w:rsidR="0003710C" w:rsidRPr="006B1DC2">
        <w:rPr>
          <w:color w:val="000000" w:themeColor="text1"/>
          <w:lang w:val="en-US" w:eastAsia="ko-KR"/>
        </w:rPr>
        <w:t>.</w:t>
      </w:r>
      <w:r w:rsidR="0004702D">
        <w:rPr>
          <w:color w:val="000000" w:themeColor="text1"/>
          <w:lang w:val="en-US" w:eastAsia="ko-KR"/>
        </w:rPr>
        <w:t xml:space="preserve"> This contribution provides spec text replacing </w:t>
      </w:r>
      <w:proofErr w:type="gramStart"/>
      <w:r w:rsidR="0004702D">
        <w:rPr>
          <w:color w:val="000000" w:themeColor="text1"/>
          <w:lang w:val="en-US" w:eastAsia="ko-KR"/>
        </w:rPr>
        <w:t>the per</w:t>
      </w:r>
      <w:proofErr w:type="gramEnd"/>
      <w:r w:rsidR="0004702D">
        <w:rPr>
          <w:color w:val="000000" w:themeColor="text1"/>
          <w:lang w:val="en-US" w:eastAsia="ko-KR"/>
        </w:rPr>
        <w:t xml:space="preserve"> AC based queue size report with per TID based queue size report. </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80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gridCol w:w="1530"/>
        <w:gridCol w:w="1710"/>
      </w:tblGrid>
      <w:tr w:rsidR="00741D80" w14:paraId="0F0D14B7" w14:textId="4D34C964" w:rsidTr="000C2252">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741D80" w:rsidRDefault="00741D80"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741D80" w:rsidRDefault="00741D80"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27D3478A" w:rsidR="00741D80" w:rsidRDefault="009F4BA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w:t>
            </w:r>
            <w:r w:rsidR="00741D80">
              <w:rPr>
                <w:rFonts w:ascii="Arial" w:hAnsi="Arial" w:cs="Arial"/>
                <w:w w:val="100"/>
                <w:sz w:val="16"/>
                <w:szCs w:val="16"/>
              </w:rPr>
              <w:t xml:space="preserve">   </w:t>
            </w:r>
            <w:r w:rsidR="000C2252">
              <w:rPr>
                <w:rFonts w:ascii="Arial" w:hAnsi="Arial" w:cs="Arial"/>
                <w:w w:val="100"/>
                <w:sz w:val="16"/>
                <w:szCs w:val="16"/>
              </w:rPr>
              <w:t xml:space="preserve">      </w:t>
            </w:r>
            <w:r w:rsidR="00741D80">
              <w:rPr>
                <w:rFonts w:ascii="Arial" w:hAnsi="Arial" w:cs="Arial"/>
                <w:w w:val="100"/>
                <w:sz w:val="16"/>
                <w:szCs w:val="16"/>
              </w:rPr>
              <w:t xml:space="preserve">       B</w:t>
            </w:r>
            <w:r>
              <w:rPr>
                <w:rFonts w:ascii="Arial" w:hAnsi="Arial" w:cs="Arial"/>
                <w:w w:val="100"/>
                <w:sz w:val="16"/>
                <w:szCs w:val="16"/>
              </w:rPr>
              <w:t>1</w:t>
            </w:r>
            <w:r w:rsidR="000C2252">
              <w:rPr>
                <w:rFonts w:ascii="Arial" w:hAnsi="Arial" w:cs="Arial"/>
                <w:w w:val="100"/>
                <w:sz w:val="16"/>
                <w:szCs w:val="16"/>
              </w:rPr>
              <w:t>7</w:t>
            </w:r>
          </w:p>
        </w:tc>
        <w:tc>
          <w:tcPr>
            <w:tcW w:w="1260" w:type="dxa"/>
            <w:tcBorders>
              <w:top w:val="nil"/>
              <w:left w:val="nil"/>
              <w:bottom w:val="nil"/>
              <w:right w:val="nil"/>
            </w:tcBorders>
            <w:tcMar>
              <w:top w:w="120" w:type="dxa"/>
              <w:left w:w="115" w:type="dxa"/>
              <w:bottom w:w="60" w:type="dxa"/>
              <w:right w:w="115" w:type="dxa"/>
            </w:tcMar>
            <w:vAlign w:val="center"/>
          </w:tcPr>
          <w:p w14:paraId="0846613D" w14:textId="7FE007F0"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B18</w:t>
            </w:r>
            <w:r w:rsidR="00741D80">
              <w:rPr>
                <w:rFonts w:ascii="Arial" w:hAnsi="Arial" w:cs="Arial"/>
                <w:w w:val="100"/>
                <w:sz w:val="16"/>
                <w:szCs w:val="16"/>
              </w:rPr>
              <w:t xml:space="preserve">          B</w:t>
            </w:r>
            <w:r w:rsidR="009F4BA2">
              <w:rPr>
                <w:rFonts w:ascii="Arial" w:hAnsi="Arial" w:cs="Arial"/>
                <w:w w:val="100"/>
                <w:sz w:val="16"/>
                <w:szCs w:val="16"/>
              </w:rPr>
              <w:t>1</w:t>
            </w:r>
            <w:r>
              <w:rPr>
                <w:rFonts w:ascii="Arial" w:hAnsi="Arial" w:cs="Arial"/>
                <w:w w:val="100"/>
                <w:sz w:val="16"/>
                <w:szCs w:val="16"/>
              </w:rPr>
              <w:t>9</w:t>
            </w:r>
          </w:p>
        </w:tc>
        <w:tc>
          <w:tcPr>
            <w:tcW w:w="1530" w:type="dxa"/>
            <w:tcBorders>
              <w:top w:val="nil"/>
              <w:left w:val="nil"/>
              <w:bottom w:val="nil"/>
              <w:right w:val="nil"/>
            </w:tcBorders>
          </w:tcPr>
          <w:p w14:paraId="6B405502" w14:textId="2465696E"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B20</w:t>
            </w:r>
            <w:r w:rsidR="00741D80">
              <w:rPr>
                <w:rFonts w:ascii="Arial" w:hAnsi="Arial" w:cs="Arial"/>
                <w:w w:val="100"/>
                <w:sz w:val="16"/>
                <w:szCs w:val="16"/>
              </w:rPr>
              <w:t xml:space="preserve">       </w:t>
            </w:r>
            <w:r>
              <w:rPr>
                <w:rFonts w:ascii="Arial" w:hAnsi="Arial" w:cs="Arial"/>
                <w:w w:val="100"/>
                <w:sz w:val="16"/>
                <w:szCs w:val="16"/>
              </w:rPr>
              <w:t xml:space="preserve">      </w:t>
            </w:r>
            <w:r w:rsidR="00741D80">
              <w:rPr>
                <w:rFonts w:ascii="Arial" w:hAnsi="Arial" w:cs="Arial"/>
                <w:w w:val="100"/>
                <w:sz w:val="16"/>
                <w:szCs w:val="16"/>
              </w:rPr>
              <w:t xml:space="preserve">   B</w:t>
            </w:r>
            <w:r w:rsidR="009F4BA2">
              <w:rPr>
                <w:rFonts w:ascii="Arial" w:hAnsi="Arial" w:cs="Arial"/>
                <w:w w:val="100"/>
                <w:sz w:val="16"/>
                <w:szCs w:val="16"/>
              </w:rPr>
              <w:t>2</w:t>
            </w:r>
            <w:r>
              <w:rPr>
                <w:rFonts w:ascii="Arial" w:hAnsi="Arial" w:cs="Arial"/>
                <w:w w:val="100"/>
                <w:sz w:val="16"/>
                <w:szCs w:val="16"/>
              </w:rPr>
              <w:t>4</w:t>
            </w:r>
          </w:p>
        </w:tc>
        <w:tc>
          <w:tcPr>
            <w:tcW w:w="1710" w:type="dxa"/>
            <w:tcBorders>
              <w:top w:val="nil"/>
              <w:left w:val="nil"/>
              <w:bottom w:val="nil"/>
              <w:right w:val="nil"/>
            </w:tcBorders>
          </w:tcPr>
          <w:p w14:paraId="7D1EDB9D" w14:textId="296CB4CE"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w:t>
            </w:r>
            <w:r w:rsidR="00741D80">
              <w:rPr>
                <w:rFonts w:ascii="Arial" w:hAnsi="Arial" w:cs="Arial"/>
                <w:w w:val="100"/>
                <w:sz w:val="16"/>
                <w:szCs w:val="16"/>
              </w:rPr>
              <w:t>B</w:t>
            </w:r>
            <w:r w:rsidR="009F4BA2">
              <w:rPr>
                <w:rFonts w:ascii="Arial" w:hAnsi="Arial" w:cs="Arial"/>
                <w:w w:val="100"/>
                <w:sz w:val="16"/>
                <w:szCs w:val="16"/>
              </w:rPr>
              <w:t>25</w:t>
            </w:r>
          </w:p>
        </w:tc>
      </w:tr>
      <w:tr w:rsidR="00741D80" w14:paraId="19D006D2" w14:textId="23DC1185" w:rsidTr="000C2252">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741D80" w:rsidRDefault="00741D80"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4504C45C"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37AC02E4" w:rsidR="00741D80" w:rsidRDefault="000C2252"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br/>
              <w:t>Queue size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CDBD129" w:rsidR="00741D80" w:rsidRPr="00741D80" w:rsidRDefault="000C2252"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Scaling factor</w:t>
            </w:r>
          </w:p>
        </w:tc>
        <w:tc>
          <w:tcPr>
            <w:tcW w:w="1530" w:type="dxa"/>
            <w:tcBorders>
              <w:top w:val="single" w:sz="10" w:space="0" w:color="000000"/>
              <w:left w:val="single" w:sz="10" w:space="0" w:color="000000"/>
              <w:bottom w:val="single" w:sz="10" w:space="0" w:color="000000"/>
              <w:right w:val="single" w:sz="10" w:space="0" w:color="000000"/>
            </w:tcBorders>
          </w:tcPr>
          <w:p w14:paraId="06D8DD7D" w14:textId="39AC7E0E" w:rsidR="00FE7288" w:rsidRDefault="000C2252" w:rsidP="000C2252">
            <w:pPr>
              <w:pStyle w:val="CellBody"/>
              <w:spacing w:line="160" w:lineRule="atLeast"/>
              <w:jc w:val="center"/>
              <w:rPr>
                <w:rFonts w:ascii="Arial" w:hAnsi="Arial" w:cs="Arial"/>
                <w:w w:val="100"/>
                <w:sz w:val="16"/>
                <w:szCs w:val="16"/>
              </w:rPr>
            </w:pPr>
            <w:r>
              <w:rPr>
                <w:rFonts w:ascii="Arial" w:hAnsi="Arial" w:cs="Arial"/>
                <w:w w:val="100"/>
                <w:sz w:val="16"/>
                <w:szCs w:val="16"/>
              </w:rPr>
              <w:br/>
              <w:t>UL power headroom</w:t>
            </w:r>
          </w:p>
        </w:tc>
        <w:tc>
          <w:tcPr>
            <w:tcW w:w="1710" w:type="dxa"/>
            <w:tcBorders>
              <w:top w:val="single" w:sz="10" w:space="0" w:color="000000"/>
              <w:left w:val="single" w:sz="10" w:space="0" w:color="000000"/>
              <w:bottom w:val="single" w:sz="10" w:space="0" w:color="000000"/>
              <w:right w:val="single" w:sz="10" w:space="0" w:color="000000"/>
            </w:tcBorders>
          </w:tcPr>
          <w:p w14:paraId="16EBD393" w14:textId="2029C0F2" w:rsidR="00741D80"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br/>
            </w:r>
            <w:r w:rsidR="000C2252">
              <w:rPr>
                <w:rFonts w:ascii="Arial" w:hAnsi="Arial" w:cs="Arial"/>
                <w:w w:val="100"/>
                <w:sz w:val="16"/>
                <w:szCs w:val="16"/>
              </w:rPr>
              <w:t>Maximum transmit power flag</w:t>
            </w:r>
          </w:p>
          <w:p w14:paraId="4C98DBFB" w14:textId="5DF87A8C" w:rsidR="00FE7288" w:rsidRDefault="00FE7288" w:rsidP="00A1220E">
            <w:pPr>
              <w:pStyle w:val="CellBody"/>
              <w:spacing w:line="160" w:lineRule="atLeast"/>
              <w:jc w:val="center"/>
              <w:rPr>
                <w:rFonts w:ascii="Arial" w:hAnsi="Arial" w:cs="Arial"/>
                <w:w w:val="100"/>
                <w:sz w:val="16"/>
                <w:szCs w:val="16"/>
              </w:rPr>
            </w:pPr>
          </w:p>
        </w:tc>
      </w:tr>
      <w:tr w:rsidR="00741D80" w14:paraId="537519FB" w14:textId="1F3BFCA9" w:rsidTr="000C2252">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7D5B225D" w:rsidR="00741D80" w:rsidRDefault="000C225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14</w:t>
            </w:r>
          </w:p>
        </w:tc>
        <w:tc>
          <w:tcPr>
            <w:tcW w:w="1260" w:type="dxa"/>
            <w:tcBorders>
              <w:top w:val="nil"/>
              <w:left w:val="nil"/>
              <w:bottom w:val="nil"/>
              <w:right w:val="nil"/>
            </w:tcBorders>
            <w:tcMar>
              <w:top w:w="120" w:type="dxa"/>
              <w:left w:w="120" w:type="dxa"/>
              <w:bottom w:w="60" w:type="dxa"/>
              <w:right w:w="120" w:type="dxa"/>
            </w:tcMar>
          </w:tcPr>
          <w:p w14:paraId="0C632AFE" w14:textId="287F4FB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530" w:type="dxa"/>
            <w:tcBorders>
              <w:top w:val="nil"/>
              <w:left w:val="nil"/>
              <w:bottom w:val="nil"/>
              <w:right w:val="nil"/>
            </w:tcBorders>
          </w:tcPr>
          <w:p w14:paraId="7E9E6E29" w14:textId="48E7F1B8" w:rsidR="00741D80" w:rsidRDefault="000C2252" w:rsidP="00A1220E">
            <w:pPr>
              <w:pStyle w:val="CellBody"/>
              <w:spacing w:line="160" w:lineRule="atLeast"/>
              <w:jc w:val="center"/>
              <w:rPr>
                <w:rFonts w:ascii="Arial" w:hAnsi="Arial" w:cs="Arial"/>
                <w:w w:val="100"/>
                <w:sz w:val="16"/>
                <w:szCs w:val="16"/>
              </w:rPr>
            </w:pPr>
            <w:r>
              <w:rPr>
                <w:rFonts w:ascii="Arial" w:hAnsi="Arial" w:cs="Arial"/>
                <w:w w:val="100"/>
                <w:sz w:val="16"/>
                <w:szCs w:val="16"/>
              </w:rPr>
              <w:t>5</w:t>
            </w:r>
          </w:p>
        </w:tc>
        <w:tc>
          <w:tcPr>
            <w:tcW w:w="1710" w:type="dxa"/>
            <w:tcBorders>
              <w:top w:val="nil"/>
              <w:left w:val="nil"/>
              <w:bottom w:val="nil"/>
              <w:right w:val="nil"/>
            </w:tcBorders>
          </w:tcPr>
          <w:p w14:paraId="5B589604" w14:textId="43DEB520" w:rsidR="00741D80" w:rsidRDefault="000C2252" w:rsidP="00A1220E">
            <w:pPr>
              <w:pStyle w:val="CellBody"/>
              <w:spacing w:line="160" w:lineRule="atLeast"/>
              <w:jc w:val="center"/>
              <w:rPr>
                <w:rFonts w:ascii="Arial" w:hAnsi="Arial" w:cs="Arial"/>
                <w:w w:val="100"/>
                <w:sz w:val="16"/>
                <w:szCs w:val="16"/>
              </w:rPr>
            </w:pPr>
            <w:r>
              <w:rPr>
                <w:rFonts w:ascii="Arial" w:hAnsi="Arial" w:cs="Arial"/>
                <w:w w:val="100"/>
                <w:sz w:val="16"/>
                <w:szCs w:val="16"/>
              </w:rPr>
              <w:t>1</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6B586904" w:rsidR="007E1996" w:rsidRDefault="000C2252"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0559D4">
        <w:rPr>
          <w:rFonts w:ascii="TimesNewRoman" w:eastAsia="TimesNewRoman" w:cs="TimesNewRoman"/>
          <w:sz w:val="20"/>
          <w:lang w:val="en-US" w:eastAsia="ko-KR"/>
        </w:rPr>
        <w:t xml:space="preserve">TID subfield indicates the TID for which the following Queue Size of the </w:t>
      </w:r>
      <w:r w:rsidR="00BB0206">
        <w:rPr>
          <w:rFonts w:ascii="TimesNewRoman" w:eastAsia="TimesNewRoman" w:cs="TimesNewRoman"/>
          <w:sz w:val="20"/>
          <w:lang w:val="en-US" w:eastAsia="ko-KR"/>
        </w:rPr>
        <w:t xml:space="preserve">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77D78247" w:rsidR="00FE7288" w:rsidRDefault="00481301"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w:t>
      </w:r>
      <w:r w:rsidR="007E1996">
        <w:rPr>
          <w:rFonts w:ascii="TimesNewRoman" w:eastAsia="TimesNewRoman" w:cs="TimesNewRoman"/>
          <w:sz w:val="20"/>
          <w:lang w:val="en-US" w:eastAsia="ko-KR"/>
        </w:rPr>
        <w:t xml:space="preserve">subfield </w:t>
      </w:r>
      <w:r w:rsidR="00112C6F">
        <w:rPr>
          <w:rFonts w:ascii="TimesNewRoman" w:eastAsia="TimesNewRoman" w:cs="TimesNewRoman"/>
          <w:sz w:val="20"/>
          <w:lang w:val="en-US" w:eastAsia="ko-KR"/>
        </w:rPr>
        <w:t xml:space="preserve">indicates the amount of buffered traffic in units of SF octets of the TID identified by the TID subfield that is intended for the STA identified by the receive address of the frame containing the BSR Control field. </w:t>
      </w:r>
    </w:p>
    <w:p w14:paraId="5DCB618D"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B5770F" w:rsidR="00503394" w:rsidRP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256</w:t>
      </w:r>
      <w:r w:rsidR="00503394" w:rsidRPr="00503394">
        <w:rPr>
          <w:rFonts w:ascii="TimesNewRoman" w:eastAsia="TimesNewRoman" w:cs="TimesNewRoman"/>
          <w:sz w:val="20"/>
          <w:lang w:val="en-US" w:eastAsia="ko-KR"/>
        </w:rPr>
        <w:t xml:space="preserve">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6B0D0530" w14:textId="3296BE60" w:rsid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 xml:space="preserve">32768 </w:t>
      </w:r>
      <w:r w:rsidR="00503394" w:rsidRPr="00503394">
        <w:rPr>
          <w:rFonts w:ascii="TimesNewRoman" w:eastAsia="TimesNewRoman" w:cs="TimesNewRoman"/>
          <w:sz w:val="20"/>
          <w:lang w:val="en-US" w:eastAsia="ko-KR"/>
        </w:rPr>
        <w:t>if the Scaling Factor subfield is 3</w:t>
      </w:r>
    </w:p>
    <w:p w14:paraId="1BE1C758" w14:textId="77777777" w:rsidR="00F428F3" w:rsidRDefault="00F428F3" w:rsidP="00503394">
      <w:pPr>
        <w:autoSpaceDE w:val="0"/>
        <w:autoSpaceDN w:val="0"/>
        <w:adjustRightInd w:val="0"/>
        <w:ind w:left="720"/>
        <w:rPr>
          <w:rFonts w:ascii="TimesNewRoman" w:eastAsia="TimesNewRoman" w:cs="TimesNewRoman"/>
          <w:sz w:val="20"/>
          <w:lang w:val="en-US" w:eastAsia="ko-KR"/>
        </w:rPr>
      </w:pPr>
    </w:p>
    <w:p w14:paraId="58987AE3" w14:textId="551CD42D" w:rsidR="00F428F3" w:rsidRDefault="00503394" w:rsidP="008113F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subfields </w:t>
      </w:r>
      <w:r>
        <w:rPr>
          <w:sz w:val="20"/>
        </w:rPr>
        <w:t xml:space="preserve">are the total sizes, rounded up to the nearest multiple of SF octets, of all MSDUs </w:t>
      </w:r>
      <w:r w:rsidR="00561D92">
        <w:rPr>
          <w:sz w:val="20"/>
        </w:rPr>
        <w:t xml:space="preserve">and A-MSDUs buffered at the STA. </w:t>
      </w:r>
      <w:r>
        <w:rPr>
          <w:sz w:val="20"/>
        </w:rPr>
        <w:t xml:space="preserve">A queue size value of 254 is used for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1C8BCD92" w14:textId="77777777" w:rsidR="00573AAE" w:rsidRDefault="00573AAE" w:rsidP="008113F4">
      <w:pPr>
        <w:autoSpaceDE w:val="0"/>
        <w:autoSpaceDN w:val="0"/>
        <w:adjustRightInd w:val="0"/>
        <w:jc w:val="both"/>
        <w:rPr>
          <w:sz w:val="20"/>
        </w:rPr>
      </w:pPr>
    </w:p>
    <w:p w14:paraId="3A5A2498" w14:textId="7E0B4C2A" w:rsidR="00573AAE" w:rsidRDefault="00573AAE" w:rsidP="008113F4">
      <w:pPr>
        <w:autoSpaceDE w:val="0"/>
        <w:autoSpaceDN w:val="0"/>
        <w:adjustRightInd w:val="0"/>
        <w:jc w:val="both"/>
        <w:rPr>
          <w:sz w:val="20"/>
        </w:rPr>
      </w:pPr>
      <w:r>
        <w:rPr>
          <w:sz w:val="20"/>
        </w:rPr>
        <w:t xml:space="preserve">The UL Power Headroom subfield indicates the available power headroom in units of dB, for the current MCS as defined in section 9.2.4.6.4.6. </w:t>
      </w:r>
    </w:p>
    <w:p w14:paraId="1275DD6C" w14:textId="77777777" w:rsidR="00573AAE" w:rsidRDefault="00573AAE" w:rsidP="008113F4">
      <w:pPr>
        <w:autoSpaceDE w:val="0"/>
        <w:autoSpaceDN w:val="0"/>
        <w:adjustRightInd w:val="0"/>
        <w:jc w:val="both"/>
        <w:rPr>
          <w:sz w:val="20"/>
        </w:rPr>
      </w:pPr>
    </w:p>
    <w:p w14:paraId="4EBC3CF1" w14:textId="679254CA" w:rsidR="00573AAE" w:rsidRDefault="00573AAE" w:rsidP="008113F4">
      <w:pPr>
        <w:autoSpaceDE w:val="0"/>
        <w:autoSpaceDN w:val="0"/>
        <w:adjustRightInd w:val="0"/>
        <w:jc w:val="both"/>
        <w:rPr>
          <w:sz w:val="20"/>
        </w:rPr>
      </w:pPr>
      <w:proofErr w:type="spellStart"/>
      <w:r>
        <w:rPr>
          <w:sz w:val="20"/>
        </w:rPr>
        <w:t>Ther</w:t>
      </w:r>
      <w:proofErr w:type="spellEnd"/>
      <w:r>
        <w:rPr>
          <w:sz w:val="20"/>
        </w:rPr>
        <w:t xml:space="preserve"> Maximum Transmit Power Flag subfield indicates </w:t>
      </w:r>
      <w:proofErr w:type="gramStart"/>
      <w:r>
        <w:rPr>
          <w:sz w:val="20"/>
        </w:rPr>
        <w:t>the that</w:t>
      </w:r>
      <w:proofErr w:type="gramEnd"/>
      <w:r>
        <w:rPr>
          <w:sz w:val="20"/>
        </w:rPr>
        <w:t xml:space="preserve"> </w:t>
      </w:r>
      <w:proofErr w:type="spellStart"/>
      <w:r>
        <w:rPr>
          <w:sz w:val="20"/>
        </w:rPr>
        <w:t>maxmimum</w:t>
      </w:r>
      <w:proofErr w:type="spellEnd"/>
      <w:r>
        <w:rPr>
          <w:sz w:val="20"/>
        </w:rPr>
        <w:t xml:space="preserve"> transmit power of the current MCS is reached by the STA as defined in section 9.2.4.6.4.6.</w:t>
      </w:r>
    </w:p>
    <w:p w14:paraId="18CB8747" w14:textId="77777777" w:rsidR="00F428F3" w:rsidRDefault="00F428F3" w:rsidP="008113F4">
      <w:pPr>
        <w:autoSpaceDE w:val="0"/>
        <w:autoSpaceDN w:val="0"/>
        <w:adjustRightInd w:val="0"/>
        <w:jc w:val="both"/>
        <w:rPr>
          <w:sz w:val="20"/>
        </w:rPr>
      </w:pPr>
    </w:p>
    <w:p w14:paraId="5311651D" w14:textId="5D60FDD3" w:rsidR="00F428F3" w:rsidRDefault="00F428F3" w:rsidP="00F428F3">
      <w:pPr>
        <w:pStyle w:val="SP10282754"/>
        <w:spacing w:before="480" w:after="240"/>
        <w:rPr>
          <w:rStyle w:val="SC12323589"/>
        </w:rPr>
      </w:pPr>
      <w:r w:rsidRPr="00F428F3">
        <w:rPr>
          <w:rStyle w:val="SC12323589"/>
        </w:rPr>
        <w:t>27.5.2.5 HE buffer status feedback operation for UL MU</w:t>
      </w:r>
    </w:p>
    <w:p w14:paraId="039C9296" w14:textId="20EC4693"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1B0FAB">
        <w:rPr>
          <w:rFonts w:eastAsia="Times New Roman"/>
          <w:b/>
          <w:i/>
          <w:color w:val="000000"/>
          <w:sz w:val="20"/>
          <w:highlight w:val="yellow"/>
        </w:rPr>
        <w:t>modify section 27.5.2.5</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696890A5" w14:textId="29038F51" w:rsidR="004D677D" w:rsidRDefault="004D677D" w:rsidP="00F428F3">
      <w:pPr>
        <w:autoSpaceDE w:val="0"/>
        <w:autoSpaceDN w:val="0"/>
        <w:adjustRightInd w:val="0"/>
        <w:jc w:val="both"/>
        <w:rPr>
          <w:sz w:val="20"/>
        </w:rPr>
      </w:pPr>
      <w:r>
        <w:rPr>
          <w:sz w:val="20"/>
        </w:rPr>
        <w:t xml:space="preserve">A non-AP STA delivers buffer status reports (BSRs) to assist its AP in allocating UL MU </w:t>
      </w:r>
      <w:proofErr w:type="gramStart"/>
      <w:r>
        <w:rPr>
          <w:sz w:val="20"/>
        </w:rPr>
        <w:t>resources(</w:t>
      </w:r>
      <w:proofErr w:type="gramEnd"/>
      <w:r>
        <w:rPr>
          <w:sz w:val="20"/>
        </w:rPr>
        <w:t xml:space="preserve">#8218). The non-AP STA can either implicitly deliver BSRs in the </w:t>
      </w:r>
      <w:proofErr w:type="spellStart"/>
      <w:r>
        <w:rPr>
          <w:sz w:val="20"/>
        </w:rPr>
        <w:t>QoS</w:t>
      </w:r>
      <w:proofErr w:type="spellEnd"/>
      <w:r>
        <w:rPr>
          <w:sz w:val="20"/>
        </w:rPr>
        <w:t xml:space="preserve"> Control field or BSR Control field(#4727) of any frame transmitted to the AP (unsolicited BSR) or explicitly deliver BSRs in any frame sent to the AP in response to a BSRP Trigger frame(#8485) (solicited BSR).</w:t>
      </w:r>
    </w:p>
    <w:p w14:paraId="089DE57B" w14:textId="77777777" w:rsidR="004D677D" w:rsidRDefault="004D677D" w:rsidP="00F428F3">
      <w:pPr>
        <w:autoSpaceDE w:val="0"/>
        <w:autoSpaceDN w:val="0"/>
        <w:adjustRightInd w:val="0"/>
        <w:jc w:val="both"/>
        <w:rPr>
          <w:sz w:val="20"/>
        </w:rPr>
      </w:pPr>
    </w:p>
    <w:p w14:paraId="2C794500" w14:textId="4216EFBB" w:rsidR="004D677D" w:rsidRDefault="004D677D"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field(</w:t>
      </w:r>
      <w:proofErr w:type="gramEnd"/>
      <w:r>
        <w:rPr>
          <w:sz w:val="20"/>
        </w:rPr>
        <w:t>#4727) of frames it transmits as defined below:</w:t>
      </w:r>
    </w:p>
    <w:p w14:paraId="365409DD" w14:textId="77777777" w:rsidR="00F428F3" w:rsidRDefault="00F428F3" w:rsidP="00F428F3">
      <w:pPr>
        <w:autoSpaceDE w:val="0"/>
        <w:autoSpaceDN w:val="0"/>
        <w:adjustRightInd w:val="0"/>
        <w:jc w:val="both"/>
        <w:rPr>
          <w:sz w:val="20"/>
        </w:rPr>
      </w:pPr>
    </w:p>
    <w:p w14:paraId="510B45D1" w14:textId="382DEF78" w:rsidR="00F428F3" w:rsidRPr="00800295" w:rsidRDefault="00F428F3" w:rsidP="001B0FAB">
      <w:pPr>
        <w:pStyle w:val="ListParagraph"/>
        <w:numPr>
          <w:ilvl w:val="0"/>
          <w:numId w:val="39"/>
        </w:numPr>
        <w:autoSpaceDE w:val="0"/>
        <w:autoSpaceDN w:val="0"/>
        <w:adjustRightInd w:val="0"/>
        <w:ind w:leftChars="0"/>
        <w:jc w:val="both"/>
        <w:rPr>
          <w:sz w:val="20"/>
          <w:u w:val="single"/>
        </w:rPr>
      </w:pPr>
      <w:r w:rsidRPr="001B0FAB">
        <w:rPr>
          <w:sz w:val="20"/>
        </w:rPr>
        <w:t xml:space="preserve">The HE STA shall report the buffer status for a given TID in the Queue Size subfield of the </w:t>
      </w:r>
      <w:proofErr w:type="spellStart"/>
      <w:r w:rsidRPr="001B0FAB">
        <w:rPr>
          <w:sz w:val="20"/>
        </w:rPr>
        <w:t>QoS</w:t>
      </w:r>
      <w:proofErr w:type="spellEnd"/>
      <w:r w:rsidRPr="001B0FAB">
        <w:rPr>
          <w:sz w:val="20"/>
        </w:rPr>
        <w:t xml:space="preserve"> Control field in </w:t>
      </w:r>
      <w:proofErr w:type="spellStart"/>
      <w:r w:rsidRPr="001B0FAB">
        <w:rPr>
          <w:sz w:val="20"/>
        </w:rPr>
        <w:t>QoS</w:t>
      </w:r>
      <w:proofErr w:type="spellEnd"/>
      <w:r w:rsidRPr="001B0FAB">
        <w:rPr>
          <w:sz w:val="20"/>
        </w:rPr>
        <w:t xml:space="preserve"> Data or </w:t>
      </w:r>
      <w:proofErr w:type="spellStart"/>
      <w:r w:rsidRPr="001B0FAB">
        <w:rPr>
          <w:sz w:val="20"/>
        </w:rPr>
        <w:t>QoS</w:t>
      </w:r>
      <w:proofErr w:type="spellEnd"/>
      <w:r w:rsidRPr="001B0FAB">
        <w:rPr>
          <w:sz w:val="20"/>
        </w:rPr>
        <w:t xml:space="preserve"> Null frames it transmits; except that the STA may set the Queue Size subfield to 255 to indicate an unknown/unspecified BSR for that TID.</w:t>
      </w:r>
      <w:r w:rsidR="00800295">
        <w:rPr>
          <w:sz w:val="20"/>
        </w:rPr>
        <w:t xml:space="preserve"> </w:t>
      </w:r>
      <w:r w:rsidR="00800295" w:rsidRPr="00800295">
        <w:rPr>
          <w:sz w:val="20"/>
          <w:u w:val="single"/>
        </w:rPr>
        <w:t>The HE STA m</w:t>
      </w:r>
      <w:r w:rsidR="00800295">
        <w:rPr>
          <w:sz w:val="20"/>
          <w:u w:val="single"/>
        </w:rPr>
        <w:t xml:space="preserve">ay report the buffer status </w:t>
      </w:r>
      <w:r w:rsidR="00800295" w:rsidRPr="00800295">
        <w:rPr>
          <w:sz w:val="20"/>
          <w:u w:val="single"/>
        </w:rPr>
        <w:t xml:space="preserve">for a given TID </w:t>
      </w:r>
      <w:r w:rsidR="00800295" w:rsidRPr="00081721">
        <w:rPr>
          <w:sz w:val="20"/>
          <w:u w:val="single"/>
        </w:rPr>
        <w:t>in the Queue Si</w:t>
      </w:r>
      <w:r w:rsidR="00573AAE">
        <w:rPr>
          <w:sz w:val="20"/>
          <w:u w:val="single"/>
        </w:rPr>
        <w:t xml:space="preserve">ze </w:t>
      </w:r>
      <w:r w:rsidR="00800295">
        <w:rPr>
          <w:sz w:val="20"/>
          <w:u w:val="single"/>
        </w:rPr>
        <w:t>subfi</w:t>
      </w:r>
      <w:r w:rsidR="00800295" w:rsidRPr="00081721">
        <w:rPr>
          <w:sz w:val="20"/>
          <w:u w:val="single"/>
        </w:rPr>
        <w:t>eld of the BSR Control field</w:t>
      </w:r>
      <w:r w:rsidR="00800295">
        <w:rPr>
          <w:sz w:val="20"/>
          <w:u w:val="single"/>
        </w:rPr>
        <w:t xml:space="preserve"> </w:t>
      </w:r>
      <w:r w:rsidR="00800295" w:rsidRPr="00800295">
        <w:rPr>
          <w:sz w:val="20"/>
          <w:u w:val="single"/>
        </w:rPr>
        <w:t>if the AP has indicated its support in</w:t>
      </w:r>
      <w:r w:rsidR="00800295">
        <w:rPr>
          <w:sz w:val="20"/>
          <w:u w:val="single"/>
        </w:rPr>
        <w:t xml:space="preserve"> the BSR Support subfield</w:t>
      </w:r>
      <w:r w:rsidR="00800295" w:rsidRPr="00800295">
        <w:rPr>
          <w:sz w:val="20"/>
          <w:u w:val="single"/>
        </w:rPr>
        <w:t xml:space="preserve"> of its HE Capabilities element; otherwise the STA shall not report the buffer status</w:t>
      </w:r>
      <w:r w:rsidR="00800295">
        <w:rPr>
          <w:sz w:val="20"/>
          <w:u w:val="single"/>
        </w:rPr>
        <w:t xml:space="preserve"> in the BSR Control field</w:t>
      </w:r>
      <w:r w:rsidR="00800295" w:rsidRPr="00800295">
        <w:rPr>
          <w:sz w:val="20"/>
          <w:u w:val="single"/>
        </w:rPr>
        <w:t>.</w:t>
      </w:r>
    </w:p>
    <w:p w14:paraId="7C9312A2" w14:textId="77777777" w:rsidR="003965AD" w:rsidRDefault="003965AD" w:rsidP="00F428F3">
      <w:pPr>
        <w:autoSpaceDE w:val="0"/>
        <w:autoSpaceDN w:val="0"/>
        <w:adjustRightInd w:val="0"/>
        <w:jc w:val="both"/>
        <w:rPr>
          <w:sz w:val="20"/>
        </w:rPr>
      </w:pPr>
    </w:p>
    <w:p w14:paraId="50026861" w14:textId="55E2C3F1" w:rsidR="00F428F3" w:rsidRPr="001B0FAB"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4F0F440D" w14:textId="77777777" w:rsidR="00F428F3" w:rsidRDefault="00F428F3" w:rsidP="00F428F3">
      <w:pPr>
        <w:pStyle w:val="Default"/>
      </w:pPr>
    </w:p>
    <w:p w14:paraId="17B28955" w14:textId="235C4607" w:rsidR="00F428F3" w:rsidRPr="0043399F" w:rsidRDefault="001B0FAB" w:rsidP="001B0FAB">
      <w:pPr>
        <w:pStyle w:val="Default"/>
        <w:numPr>
          <w:ilvl w:val="0"/>
          <w:numId w:val="39"/>
        </w:numPr>
        <w:rPr>
          <w:strike/>
        </w:rPr>
      </w:pPr>
      <w:r w:rsidRPr="0043399F">
        <w:rPr>
          <w:strike/>
          <w:sz w:val="20"/>
          <w:szCs w:val="20"/>
        </w:rPr>
        <w:t xml:space="preserve">The HE STA may report the buffer status in the BSR Control </w:t>
      </w:r>
      <w:proofErr w:type="gramStart"/>
      <w:r w:rsidRPr="0043399F">
        <w:rPr>
          <w:strike/>
          <w:sz w:val="20"/>
          <w:szCs w:val="20"/>
        </w:rPr>
        <w:t>field(</w:t>
      </w:r>
      <w:proofErr w:type="gramEnd"/>
      <w:r w:rsidRPr="0043399F">
        <w:rPr>
          <w:strike/>
          <w:sz w:val="20"/>
          <w:szCs w:val="20"/>
        </w:rPr>
        <w:t>#4727) of frames it transmits if the AP has indicated its support in the BSR Support subfield(#4727) of its HE Capabilities element; otherwise the STA shall not report the buffer status in the BSR Control field(#4727).</w:t>
      </w:r>
    </w:p>
    <w:p w14:paraId="39A5EE71" w14:textId="77777777" w:rsidR="00B30D02" w:rsidRPr="0043399F" w:rsidRDefault="00B30D02" w:rsidP="00B30D02">
      <w:pPr>
        <w:pStyle w:val="Default"/>
        <w:ind w:left="720"/>
        <w:rPr>
          <w:strike/>
        </w:rPr>
      </w:pPr>
    </w:p>
    <w:p w14:paraId="4462B571" w14:textId="7DEB74D3"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its preferred AC, indicated by the ACI High subfield, in the Queue Size High subfield of the BSR Control field(#4727); except that the STA may set the Queue Size High subfield to 255 to indicate an unknown/unspecified BSR for that AC</w:t>
      </w:r>
    </w:p>
    <w:p w14:paraId="4CEDAE2D" w14:textId="469A9EDA"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all ACs, indicated by the ACI Bitmap subfield, in the Queue Size All subfield of the BSR Control field(#4727); except that the STA may set the Queue Size All subfield to 255 to indicate an unknown/unspecified BSR for those ACs</w:t>
      </w:r>
    </w:p>
    <w:p w14:paraId="34CCE2F1" w14:textId="17410FC0"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lastRenderedPageBreak/>
        <w:t>The HE STA shall set the Delta TID subfield according to Table 9-</w:t>
      </w:r>
      <w:proofErr w:type="gramStart"/>
      <w:r w:rsidRPr="0043399F">
        <w:rPr>
          <w:strike/>
          <w:sz w:val="20"/>
        </w:rPr>
        <w:t>18c(</w:t>
      </w:r>
      <w:proofErr w:type="gramEnd"/>
      <w:r w:rsidRPr="0043399F">
        <w:rPr>
          <w:strike/>
          <w:sz w:val="20"/>
        </w:rPr>
        <w:t>#6695, #8705), and the Scaling Factor subfield as defined in 9.2.4.6.4.5 (Buffer status report (BSR) Control(#4727)).</w:t>
      </w:r>
    </w:p>
    <w:p w14:paraId="296FA373" w14:textId="77777777" w:rsidR="00B30D02" w:rsidRDefault="00B30D02" w:rsidP="00B30D02">
      <w:pPr>
        <w:pStyle w:val="ListParagraph"/>
        <w:autoSpaceDE w:val="0"/>
        <w:autoSpaceDN w:val="0"/>
        <w:adjustRightInd w:val="0"/>
        <w:ind w:leftChars="0" w:left="1440"/>
        <w:jc w:val="both"/>
        <w:rPr>
          <w:sz w:val="20"/>
        </w:rPr>
      </w:pPr>
    </w:p>
    <w:p w14:paraId="4AE9818B" w14:textId="6C4CC1EF" w:rsidR="00AC7126" w:rsidRDefault="00AC7126" w:rsidP="00B30D02">
      <w:pPr>
        <w:autoSpaceDE w:val="0"/>
        <w:autoSpaceDN w:val="0"/>
        <w:adjustRightInd w:val="0"/>
        <w:jc w:val="both"/>
        <w:rPr>
          <w:szCs w:val="18"/>
        </w:rPr>
      </w:pPr>
      <w:r>
        <w:rPr>
          <w:szCs w:val="18"/>
        </w:rPr>
        <w:t xml:space="preserve">NOTE 1—The STA can send an unsolicited BSR in response to any variant of the Trigger frame except MU-RTS and </w:t>
      </w:r>
      <w:proofErr w:type="gramStart"/>
      <w:r>
        <w:rPr>
          <w:szCs w:val="18"/>
        </w:rPr>
        <w:t>BSRP(</w:t>
      </w:r>
      <w:proofErr w:type="gramEnd"/>
      <w:r>
        <w:rPr>
          <w:szCs w:val="18"/>
        </w:rPr>
        <w:t xml:space="preserve">#5996) (with or without random access RUs(17/646r4), as defined in 27.5.2.3 (STA </w:t>
      </w:r>
      <w:proofErr w:type="spellStart"/>
      <w:r>
        <w:rPr>
          <w:szCs w:val="18"/>
        </w:rPr>
        <w:t>behavior</w:t>
      </w:r>
      <w:proofErr w:type="spellEnd"/>
      <w:r>
        <w:rPr>
          <w:szCs w:val="18"/>
        </w:rPr>
        <w:t xml:space="preserve"> for UL MU operation(# 8151)) and in 27.5.4 (UL OFDMA-based random access (UORA))) or it can send the unsolicited BSR after accessing the WM using EDCA.</w:t>
      </w:r>
    </w:p>
    <w:p w14:paraId="57B8F046" w14:textId="77777777" w:rsidR="00AC7126" w:rsidRDefault="00AC7126" w:rsidP="00B30D02">
      <w:pPr>
        <w:autoSpaceDE w:val="0"/>
        <w:autoSpaceDN w:val="0"/>
        <w:adjustRightInd w:val="0"/>
        <w:jc w:val="both"/>
        <w:rPr>
          <w:szCs w:val="18"/>
        </w:rPr>
      </w:pPr>
    </w:p>
    <w:p w14:paraId="6CE69068" w14:textId="5BBC29B6" w:rsidR="00AC7126" w:rsidRDefault="00AC7126" w:rsidP="00B30D02">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w:t>
      </w:r>
      <w:proofErr w:type="gramStart"/>
      <w:r>
        <w:rPr>
          <w:szCs w:val="18"/>
        </w:rPr>
        <w:t>field(</w:t>
      </w:r>
      <w:proofErr w:type="gramEnd"/>
      <w:r>
        <w:rPr>
          <w:szCs w:val="18"/>
        </w:rPr>
        <w:t>#4727) in the same frame. In this case it can set the Queue Size subfield of either field to a value of 255 or have both fields carry the same value in the Queue Size subfield</w:t>
      </w:r>
      <w:proofErr w:type="gramStart"/>
      <w:r>
        <w:rPr>
          <w:szCs w:val="18"/>
        </w:rPr>
        <w:t>.(</w:t>
      </w:r>
      <w:proofErr w:type="gramEnd"/>
      <w:r>
        <w:rPr>
          <w:szCs w:val="18"/>
        </w:rPr>
        <w:t>#7974)</w:t>
      </w:r>
    </w:p>
    <w:p w14:paraId="5C9900AF" w14:textId="77777777" w:rsidR="00AC7126" w:rsidRDefault="00AC7126" w:rsidP="00B30D02">
      <w:pPr>
        <w:autoSpaceDE w:val="0"/>
        <w:autoSpaceDN w:val="0"/>
        <w:adjustRightInd w:val="0"/>
        <w:jc w:val="both"/>
        <w:rPr>
          <w:sz w:val="20"/>
        </w:rPr>
      </w:pPr>
    </w:p>
    <w:p w14:paraId="74BC240B" w14:textId="06FAE0D5" w:rsidR="00AC7126" w:rsidRDefault="00AC7126" w:rsidP="00B30D02">
      <w:pPr>
        <w:autoSpaceDE w:val="0"/>
        <w:autoSpaceDN w:val="0"/>
        <w:adjustRightInd w:val="0"/>
        <w:jc w:val="both"/>
        <w:rPr>
          <w:sz w:val="20"/>
        </w:rPr>
      </w:pPr>
      <w:r>
        <w:rPr>
          <w:sz w:val="20"/>
        </w:rPr>
        <w:t xml:space="preserve">An AP can also solicit one or more </w:t>
      </w:r>
      <w:proofErr w:type="gramStart"/>
      <w:r>
        <w:rPr>
          <w:sz w:val="20"/>
        </w:rPr>
        <w:t>associated(</w:t>
      </w:r>
      <w:proofErr w:type="gramEnd"/>
      <w:r>
        <w:rPr>
          <w:sz w:val="20"/>
        </w:rPr>
        <w:t>#8427) non-AP STAs for their BSR(s) by sending a BSRP Trigger frame(#8485) (see 9.3.1.23 (Trigger frame format)). The non-AP STA responds (solicited BSR) as defined below:</w:t>
      </w:r>
    </w:p>
    <w:p w14:paraId="0D88C2EB" w14:textId="77777777" w:rsidR="00B30D02" w:rsidRDefault="00B30D02" w:rsidP="00B30D02">
      <w:pPr>
        <w:autoSpaceDE w:val="0"/>
        <w:autoSpaceDN w:val="0"/>
        <w:adjustRightInd w:val="0"/>
        <w:jc w:val="both"/>
        <w:rPr>
          <w:sz w:val="20"/>
        </w:rPr>
      </w:pPr>
    </w:p>
    <w:p w14:paraId="618FF9C2" w14:textId="60BC3542" w:rsidR="00AC7126" w:rsidRPr="00B30D02" w:rsidRDefault="00AC7126" w:rsidP="00081721">
      <w:pPr>
        <w:pStyle w:val="Default"/>
        <w:numPr>
          <w:ilvl w:val="0"/>
          <w:numId w:val="39"/>
        </w:numPr>
        <w:jc w:val="both"/>
        <w:rPr>
          <w:sz w:val="20"/>
          <w:szCs w:val="20"/>
        </w:rPr>
      </w:pPr>
      <w:r>
        <w:rPr>
          <w:sz w:val="20"/>
          <w:szCs w:val="20"/>
        </w:rPr>
        <w:t>The STA that receives a BSRP Trigger frame(#Ed) shall follow the rules defined in 27.5.2.3 (STA behavior for UL MU operation(#8151)) to generate the HE TB PPDU(#6696) when the Trigger frame contains the 12 LSBs of the STA's AID(#7817) in any of the User Info fields; otherwise if the STA's buffers are not empty and the STA supports the UL OFDMA-based random access procedure, it may(#5365, #9916) follow the rules defined in 27.5.4 (UL OFDMA-based random access (UORA)) to gain access to a random access RU(17/646r4) and generate the HE TB PPDU(#6697) when the Trigger frame contains one or more random access RUs(17/646r4).</w:t>
      </w:r>
    </w:p>
    <w:p w14:paraId="44972745" w14:textId="77777777" w:rsidR="00AC7126" w:rsidRPr="00AC7126" w:rsidRDefault="00AC7126" w:rsidP="00AC7126">
      <w:pPr>
        <w:rPr>
          <w:sz w:val="20"/>
        </w:rPr>
      </w:pPr>
    </w:p>
    <w:p w14:paraId="2F54002A" w14:textId="6F852154" w:rsidR="00AC7126" w:rsidRPr="00B30D02" w:rsidRDefault="00AC7126" w:rsidP="00B30D02">
      <w:pPr>
        <w:pStyle w:val="Default"/>
        <w:numPr>
          <w:ilvl w:val="0"/>
          <w:numId w:val="39"/>
        </w:numPr>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76733007" w14:textId="77777777" w:rsidR="00B30D02" w:rsidRDefault="00B30D02" w:rsidP="00B30D02">
      <w:pPr>
        <w:autoSpaceDE w:val="0"/>
        <w:autoSpaceDN w:val="0"/>
        <w:adjustRightInd w:val="0"/>
        <w:jc w:val="both"/>
        <w:rPr>
          <w:sz w:val="20"/>
        </w:rPr>
      </w:pPr>
    </w:p>
    <w:p w14:paraId="5F0D7656" w14:textId="6201BC78" w:rsidR="00AC7126" w:rsidRDefault="00AC7126" w:rsidP="00AC7126">
      <w:pPr>
        <w:pStyle w:val="ListParagraph"/>
        <w:numPr>
          <w:ilvl w:val="1"/>
          <w:numId w:val="40"/>
        </w:numPr>
        <w:autoSpaceDE w:val="0"/>
        <w:autoSpaceDN w:val="0"/>
        <w:adjustRightInd w:val="0"/>
        <w:ind w:leftChars="0"/>
        <w:jc w:val="both"/>
        <w:rPr>
          <w:sz w:val="20"/>
        </w:rPr>
      </w:pPr>
      <w:r>
        <w:rPr>
          <w:sz w:val="20"/>
        </w:rPr>
        <w:t xml:space="preserve">The </w:t>
      </w:r>
      <w:proofErr w:type="spellStart"/>
      <w:r>
        <w:rPr>
          <w:sz w:val="20"/>
        </w:rPr>
        <w:t>QoS</w:t>
      </w:r>
      <w:proofErr w:type="spellEnd"/>
      <w:r>
        <w:rPr>
          <w:sz w:val="20"/>
        </w:rPr>
        <w:t xml:space="preserve"> Control field(s) with Queue Size subfields for each of the TIDs for which the STA has buffer status to report to the AP.</w:t>
      </w:r>
    </w:p>
    <w:p w14:paraId="38DDD056" w14:textId="77777777" w:rsidR="00AC7126" w:rsidRPr="00AC7126" w:rsidRDefault="00AC7126" w:rsidP="00AC7126">
      <w:pPr>
        <w:rPr>
          <w:strike/>
          <w:sz w:val="20"/>
        </w:rPr>
      </w:pPr>
    </w:p>
    <w:p w14:paraId="4E694DE3" w14:textId="364B60DD" w:rsidR="00AC7126" w:rsidRPr="00AC7126" w:rsidRDefault="00AC7126" w:rsidP="00B30D02">
      <w:pPr>
        <w:pStyle w:val="ListParagraph"/>
        <w:numPr>
          <w:ilvl w:val="1"/>
          <w:numId w:val="40"/>
        </w:numPr>
        <w:autoSpaceDE w:val="0"/>
        <w:autoSpaceDN w:val="0"/>
        <w:adjustRightInd w:val="0"/>
        <w:ind w:leftChars="0"/>
        <w:jc w:val="both"/>
        <w:rPr>
          <w:sz w:val="20"/>
        </w:rPr>
      </w:pPr>
      <w:r>
        <w:rPr>
          <w:sz w:val="20"/>
        </w:rPr>
        <w:t xml:space="preserve">The BSR Control </w:t>
      </w:r>
      <w:proofErr w:type="gramStart"/>
      <w:r>
        <w:rPr>
          <w:sz w:val="20"/>
        </w:rPr>
        <w:t>field(</w:t>
      </w:r>
      <w:proofErr w:type="gramEnd"/>
      <w:r>
        <w:rPr>
          <w:sz w:val="20"/>
        </w:rPr>
        <w:t xml:space="preserve">#4727) with the </w:t>
      </w:r>
      <w:r w:rsidRPr="00AC7126">
        <w:rPr>
          <w:strike/>
          <w:sz w:val="20"/>
        </w:rPr>
        <w:t>Queue Size All subfield</w:t>
      </w:r>
      <w:r>
        <w:rPr>
          <w:sz w:val="20"/>
        </w:rPr>
        <w:t xml:space="preserve"> </w:t>
      </w:r>
      <w:r w:rsidRPr="00382294">
        <w:rPr>
          <w:sz w:val="20"/>
          <w:u w:val="single"/>
        </w:rPr>
        <w:t>Qu</w:t>
      </w:r>
      <w:r>
        <w:rPr>
          <w:sz w:val="20"/>
          <w:u w:val="single"/>
        </w:rPr>
        <w:t xml:space="preserve">eue Size </w:t>
      </w:r>
      <w:proofErr w:type="spellStart"/>
      <w:r w:rsidRPr="00382294">
        <w:rPr>
          <w:sz w:val="20"/>
          <w:u w:val="single"/>
        </w:rPr>
        <w:t>subfieled</w:t>
      </w:r>
      <w:proofErr w:type="spellEnd"/>
      <w:r>
        <w:rPr>
          <w:sz w:val="20"/>
        </w:rPr>
        <w:t xml:space="preserve"> indicating the queue size for </w:t>
      </w:r>
      <w:r w:rsidRPr="00AC7126">
        <w:rPr>
          <w:strike/>
          <w:sz w:val="20"/>
        </w:rPr>
        <w:t>all the ACs</w:t>
      </w:r>
      <w:r>
        <w:rPr>
          <w:strike/>
          <w:sz w:val="20"/>
        </w:rPr>
        <w:t xml:space="preserve"> </w:t>
      </w:r>
      <w:r w:rsidRPr="00382294">
        <w:rPr>
          <w:sz w:val="20"/>
          <w:u w:val="single"/>
        </w:rPr>
        <w:t>the TIDs</w:t>
      </w:r>
      <w:r>
        <w:rPr>
          <w:sz w:val="20"/>
        </w:rPr>
        <w:t xml:space="preserve">, indicated by the ACI Bitmap subfield, for which the STA has buffer status to report to the AP when the AP has indicated its support in the BSR Support subfield(#4727) of its HE Capabilities element. </w:t>
      </w:r>
      <w:r w:rsidRPr="00AC7126">
        <w:rPr>
          <w:strike/>
          <w:sz w:val="20"/>
        </w:rPr>
        <w:t>The STA shall set Delta TID, SF, ACI High and Queue Size High subfields of the BSR Control field(#4727) as defined in 9.2.4.6.4.5 (BSR Control(#4727)(#3104)).</w:t>
      </w:r>
    </w:p>
    <w:p w14:paraId="7B76CD78" w14:textId="77777777" w:rsidR="00B30D02" w:rsidRDefault="00B30D02" w:rsidP="00B30D02">
      <w:pPr>
        <w:autoSpaceDE w:val="0"/>
        <w:autoSpaceDN w:val="0"/>
        <w:adjustRightInd w:val="0"/>
        <w:jc w:val="both"/>
        <w:rPr>
          <w:sz w:val="20"/>
        </w:rPr>
      </w:pPr>
    </w:p>
    <w:p w14:paraId="728475F5" w14:textId="5EAE30A3" w:rsidR="00AC7126" w:rsidRPr="00B30D02" w:rsidRDefault="00AC7126" w:rsidP="00B30D02">
      <w:pPr>
        <w:pStyle w:val="Default"/>
        <w:numPr>
          <w:ilvl w:val="0"/>
          <w:numId w:val="39"/>
        </w:numPr>
        <w:rPr>
          <w:sz w:val="20"/>
          <w:szCs w:val="20"/>
        </w:rPr>
      </w:pPr>
      <w:r>
        <w:rPr>
          <w:sz w:val="20"/>
          <w:szCs w:val="20"/>
        </w:rPr>
        <w:t xml:space="preserve">The HE STA shall not solicit an immediate response for the frames carried in the HE TB </w:t>
      </w:r>
      <w:proofErr w:type="gramStart"/>
      <w:r>
        <w:rPr>
          <w:sz w:val="20"/>
          <w:szCs w:val="20"/>
        </w:rPr>
        <w:t>PPDU(</w:t>
      </w:r>
      <w:proofErr w:type="gramEnd"/>
      <w:r>
        <w:rPr>
          <w:sz w:val="20"/>
          <w:szCs w:val="20"/>
        </w:rPr>
        <w:t xml:space="preserve">#6697)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Block </w:t>
      </w:r>
      <w:proofErr w:type="spellStart"/>
      <w:r>
        <w:rPr>
          <w:sz w:val="20"/>
          <w:szCs w:val="20"/>
        </w:rPr>
        <w:t>Ack</w:t>
      </w:r>
      <w:proofErr w:type="spellEnd"/>
      <w:r>
        <w:rPr>
          <w:sz w:val="20"/>
          <w:szCs w:val="20"/>
        </w:rPr>
        <w:t xml:space="preserve"> Request(#5566)).</w:t>
      </w:r>
    </w:p>
    <w:p w14:paraId="5B8CC823" w14:textId="77777777" w:rsidR="00AC7126" w:rsidRDefault="00AC7126" w:rsidP="00B30D02">
      <w:pPr>
        <w:autoSpaceDE w:val="0"/>
        <w:autoSpaceDN w:val="0"/>
        <w:adjustRightInd w:val="0"/>
        <w:jc w:val="both"/>
        <w:rPr>
          <w:szCs w:val="18"/>
        </w:rPr>
      </w:pPr>
    </w:p>
    <w:p w14:paraId="42E6C846" w14:textId="07712D1C" w:rsidR="00AC7126" w:rsidRDefault="00AC7126"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w:t>
      </w:r>
      <w:proofErr w:type="gramStart"/>
      <w:r>
        <w:rPr>
          <w:szCs w:val="18"/>
        </w:rPr>
        <w:t>field(</w:t>
      </w:r>
      <w:proofErr w:type="gramEnd"/>
      <w:r>
        <w:rPr>
          <w:szCs w:val="18"/>
        </w:rPr>
        <w:t>#4727) to 255 to indicate unknown/unspecified BSR for a TID</w:t>
      </w:r>
      <w:r w:rsidRPr="00AC7126">
        <w:rPr>
          <w:strike/>
          <w:szCs w:val="18"/>
        </w:rPr>
        <w:t>, AC or all AC</w:t>
      </w:r>
      <w:r>
        <w:rPr>
          <w:szCs w:val="18"/>
        </w:rPr>
        <w:t>.</w:t>
      </w:r>
    </w:p>
    <w:p w14:paraId="1BDC3343" w14:textId="77777777" w:rsidR="00AC7126" w:rsidRDefault="00AC7126" w:rsidP="00B30D02">
      <w:pPr>
        <w:autoSpaceDE w:val="0"/>
        <w:autoSpaceDN w:val="0"/>
        <w:adjustRightInd w:val="0"/>
        <w:jc w:val="both"/>
        <w:rPr>
          <w:sz w:val="20"/>
        </w:rPr>
      </w:pPr>
    </w:p>
    <w:p w14:paraId="69A74BA2" w14:textId="67EE8605" w:rsidR="00AC7126" w:rsidRPr="00B30D02" w:rsidRDefault="00AC7126" w:rsidP="00B30D02">
      <w:pPr>
        <w:autoSpaceDE w:val="0"/>
        <w:autoSpaceDN w:val="0"/>
        <w:adjustRightInd w:val="0"/>
        <w:jc w:val="both"/>
        <w:rPr>
          <w:sz w:val="20"/>
        </w:rPr>
      </w:pPr>
      <w:r>
        <w:rPr>
          <w:sz w:val="20"/>
        </w:rPr>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 solicits an acknowledgement, the response A-MPDU shall contain MPDUs in the order described in Table 9-425 (A-MPDU contents in the data enabled immediate response context)(#5998, #6701).</w:t>
      </w:r>
    </w:p>
    <w:sectPr w:rsidR="00AC7126"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DC4D6" w14:textId="77777777" w:rsidR="00541850" w:rsidRDefault="00541850">
      <w:r>
        <w:separator/>
      </w:r>
    </w:p>
  </w:endnote>
  <w:endnote w:type="continuationSeparator" w:id="0">
    <w:p w14:paraId="396F584E" w14:textId="77777777" w:rsidR="00541850" w:rsidRDefault="0054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541850">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B17F60">
      <w:rPr>
        <w:noProof/>
      </w:rPr>
      <w:t>1</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55080" w14:textId="77777777" w:rsidR="00541850" w:rsidRDefault="00541850">
      <w:r>
        <w:separator/>
      </w:r>
    </w:p>
  </w:footnote>
  <w:footnote w:type="continuationSeparator" w:id="0">
    <w:p w14:paraId="7D191A0E" w14:textId="77777777" w:rsidR="00541850" w:rsidRDefault="0054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9E22FDA" w:rsidR="002D72B2" w:rsidRDefault="0044721F">
    <w:pPr>
      <w:pStyle w:val="Header"/>
      <w:tabs>
        <w:tab w:val="clear" w:pos="6480"/>
        <w:tab w:val="center" w:pos="4680"/>
        <w:tab w:val="right" w:pos="9360"/>
      </w:tabs>
    </w:pPr>
    <w:r>
      <w:rPr>
        <w:lang w:eastAsia="ko-KR"/>
      </w:rPr>
      <w:t>September</w:t>
    </w:r>
    <w:r w:rsidR="002D72B2">
      <w:rPr>
        <w:lang w:eastAsia="ko-KR"/>
      </w:rPr>
      <w:t xml:space="preserve"> 2017</w:t>
    </w:r>
    <w:r w:rsidR="002D72B2">
      <w:tab/>
    </w:r>
    <w:r w:rsidR="002D72B2">
      <w:tab/>
    </w:r>
    <w:r w:rsidR="002D72B2">
      <w:fldChar w:fldCharType="begin"/>
    </w:r>
    <w:r w:rsidR="002D72B2">
      <w:instrText xml:space="preserve"> TITLE  \* MERGEFORMAT </w:instrText>
    </w:r>
    <w:r w:rsidR="002D72B2">
      <w:fldChar w:fldCharType="end"/>
    </w:r>
    <w:r w:rsidR="00541850">
      <w:fldChar w:fldCharType="begin"/>
    </w:r>
    <w:r w:rsidR="00541850">
      <w:instrText xml:space="preserve"> TITLE  \* MERGEFORMAT </w:instrText>
    </w:r>
    <w:r w:rsidR="00541850">
      <w:fldChar w:fldCharType="separate"/>
    </w:r>
    <w:r w:rsidR="002D72B2">
      <w:t>doc.: IEEE 802.11-17/</w:t>
    </w:r>
    <w:r w:rsidR="007F42D1">
      <w:rPr>
        <w:lang w:eastAsia="ko-KR"/>
      </w:rPr>
      <w:t>1131</w:t>
    </w:r>
    <w:r w:rsidR="002D72B2">
      <w:rPr>
        <w:lang w:eastAsia="ko-KR"/>
      </w:rPr>
      <w:t>r</w:t>
    </w:r>
    <w:r w:rsidR="00541850">
      <w:rPr>
        <w:lang w:eastAsia="ko-KR"/>
      </w:rPr>
      <w:fldChar w:fldCharType="end"/>
    </w:r>
    <w:r w:rsidR="008677E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5B"/>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6AA8-4E5A-4E43-BB40-0F0320DA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10508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2017-09-12T21:02:00Z</dcterms:created>
  <dcterms:modified xsi:type="dcterms:W3CDTF">2017-09-12T21:02:00Z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